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200"/>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51" w:lineRule="exact"/>
        <w:rPr>
          <w:sz w:val="24"/>
          <w:szCs w:val="24"/>
          <w:color w:val="auto"/>
        </w:rPr>
      </w:pPr>
    </w:p>
    <w:p>
      <w:pPr>
        <w:jc w:val="center"/>
        <w:ind w:right="-1200"/>
        <w:spacing w:after="0"/>
        <w:rPr>
          <w:sz w:val="20"/>
          <w:szCs w:val="20"/>
          <w:color w:val="auto"/>
        </w:rPr>
      </w:pPr>
      <w:r>
        <w:rPr>
          <w:rFonts w:ascii="Arial" w:cs="Arial" w:eastAsia="Arial" w:hAnsi="Arial"/>
          <w:sz w:val="32"/>
          <w:szCs w:val="32"/>
          <w:b w:val="1"/>
          <w:bCs w:val="1"/>
          <w:color w:val="auto"/>
        </w:rPr>
        <w:t>SCHEDULE 14A</w:t>
      </w:r>
    </w:p>
    <w:p>
      <w:pPr>
        <w:spacing w:after="0" w:line="240" w:lineRule="exact"/>
        <w:rPr>
          <w:sz w:val="24"/>
          <w:szCs w:val="24"/>
          <w:color w:val="auto"/>
        </w:rPr>
      </w:pPr>
    </w:p>
    <w:p>
      <w:pPr>
        <w:jc w:val="center"/>
        <w:ind w:right="-1200"/>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28" w:lineRule="exact"/>
        <w:rPr>
          <w:sz w:val="24"/>
          <w:szCs w:val="24"/>
          <w:color w:val="auto"/>
        </w:rPr>
      </w:pPr>
    </w:p>
    <w:p>
      <w:pPr>
        <w:jc w:val="center"/>
        <w:ind w:right="-1200"/>
        <w:spacing w:after="0"/>
        <w:rPr>
          <w:sz w:val="20"/>
          <w:szCs w:val="20"/>
          <w:color w:val="auto"/>
        </w:rPr>
      </w:pPr>
      <w:r>
        <w:rPr>
          <w:rFonts w:ascii="Arial" w:cs="Arial" w:eastAsia="Arial" w:hAnsi="Arial"/>
          <w:sz w:val="22"/>
          <w:szCs w:val="22"/>
          <w:b w:val="1"/>
          <w:bCs w:val="1"/>
          <w:color w:val="auto"/>
        </w:rPr>
        <w:t>Securities Exchange Act of 1934</w:t>
      </w:r>
    </w:p>
    <w:p>
      <w:pPr>
        <w:spacing w:after="0" w:line="4" w:lineRule="exact"/>
        <w:rPr>
          <w:sz w:val="24"/>
          <w:szCs w:val="24"/>
          <w:color w:val="auto"/>
        </w:rPr>
      </w:pPr>
    </w:p>
    <w:p>
      <w:pPr>
        <w:jc w:val="center"/>
        <w:ind w:right="-1220"/>
        <w:spacing w:after="0"/>
        <w:tabs>
          <w:tab w:leader="none" w:pos="24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4057015</wp:posOffset>
            </wp:positionH>
            <wp:positionV relativeFrom="paragraph">
              <wp:posOffset>-29210</wp:posOffset>
            </wp:positionV>
            <wp:extent cx="137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78" w:lineRule="exact"/>
        <w:rPr>
          <w:sz w:val="24"/>
          <w:szCs w:val="24"/>
          <w:color w:val="auto"/>
        </w:rPr>
      </w:pPr>
    </w:p>
    <w:p>
      <w:pPr>
        <w:spacing w:after="0" w:line="207" w:lineRule="exact"/>
        <w:tabs>
          <w:tab w:leader="none" w:pos="1900" w:val="left"/>
        </w:tabs>
        <w:rPr>
          <w:sz w:val="20"/>
          <w:szCs w:val="20"/>
          <w:color w:val="auto"/>
        </w:rPr>
      </w:pPr>
      <w:r>
        <w:rPr>
          <w:rFonts w:ascii="Arial" w:cs="Arial" w:eastAsia="Arial" w:hAnsi="Arial"/>
          <w:sz w:val="18"/>
          <w:szCs w:val="18"/>
          <w:color w:val="auto"/>
        </w:rPr>
        <w:t>Filed by the Registrant x</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00" w:lineRule="exact"/>
        <w:rPr>
          <w:sz w:val="24"/>
          <w:szCs w:val="24"/>
          <w:color w:val="auto"/>
        </w:rPr>
      </w:pPr>
    </w:p>
    <w:p>
      <w:pPr>
        <w:spacing w:after="0" w:line="295" w:lineRule="exact"/>
        <w:rPr>
          <w:sz w:val="24"/>
          <w:szCs w:val="24"/>
          <w:color w:val="auto"/>
        </w:rPr>
      </w:pPr>
    </w:p>
    <w:p>
      <w:pPr>
        <w:ind w:left="500" w:hanging="465"/>
        <w:spacing w:after="0"/>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23" w:lineRule="exact"/>
        <w:rPr>
          <w:rFonts w:ascii="Arial" w:cs="Arial" w:eastAsia="Arial" w:hAnsi="Arial"/>
          <w:sz w:val="18"/>
          <w:szCs w:val="18"/>
          <w:color w:val="auto"/>
        </w:rPr>
      </w:pPr>
    </w:p>
    <w:p>
      <w:pPr>
        <w:ind w:left="500" w:hanging="465"/>
        <w:spacing w:after="0" w:line="203" w:lineRule="auto"/>
        <w:tabs>
          <w:tab w:leader="none" w:pos="500" w:val="left"/>
        </w:tabs>
        <w:numPr>
          <w:ilvl w:val="0"/>
          <w:numId w:val="1"/>
        </w:numPr>
        <w:rPr>
          <w:rFonts w:ascii="Arial" w:cs="Arial" w:eastAsia="Arial" w:hAnsi="Arial"/>
          <w:sz w:val="36"/>
          <w:szCs w:val="36"/>
          <w:color w:val="auto"/>
          <w:vertAlign w:val="superscript"/>
        </w:rPr>
      </w:pPr>
      <w:r>
        <w:rPr>
          <w:rFonts w:ascii="Arial" w:cs="Arial" w:eastAsia="Arial" w:hAnsi="Arial"/>
          <w:sz w:val="18"/>
          <w:szCs w:val="18"/>
          <w:color w:val="auto"/>
        </w:rPr>
        <w:t>Confidential, for Use of the Commission Only (as permitted by Rule 14a-6(e)(2))</w:t>
      </w:r>
    </w:p>
    <w:p>
      <w:pPr>
        <w:ind w:left="500" w:hanging="465"/>
        <w:spacing w:after="0" w:line="229" w:lineRule="auto"/>
        <w:tabs>
          <w:tab w:leader="none" w:pos="500" w:val="left"/>
        </w:tabs>
        <w:numPr>
          <w:ilvl w:val="0"/>
          <w:numId w:val="2"/>
        </w:numPr>
        <w:rPr>
          <w:rFonts w:ascii="Arial" w:cs="Arial" w:eastAsia="Arial" w:hAnsi="Arial"/>
          <w:sz w:val="32"/>
          <w:szCs w:val="32"/>
          <w:color w:val="auto"/>
          <w:vertAlign w:val="superscript"/>
        </w:rPr>
      </w:pPr>
      <w:r>
        <w:rPr>
          <w:rFonts w:ascii="Arial" w:cs="Arial" w:eastAsia="Arial" w:hAnsi="Arial"/>
          <w:sz w:val="18"/>
          <w:szCs w:val="18"/>
          <w:color w:val="auto"/>
        </w:rPr>
        <w:t>Definitive Proxy Statement</w:t>
      </w:r>
    </w:p>
    <w:p>
      <w:pPr>
        <w:spacing w:after="0" w:line="122" w:lineRule="exact"/>
        <w:rPr>
          <w:sz w:val="24"/>
          <w:szCs w:val="24"/>
          <w:color w:val="auto"/>
        </w:rPr>
      </w:pPr>
    </w:p>
    <w:p>
      <w:pPr>
        <w:ind w:left="500" w:hanging="465"/>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144" w:lineRule="exact"/>
        <w:rPr>
          <w:rFonts w:ascii="Arial" w:cs="Arial" w:eastAsia="Arial" w:hAnsi="Arial"/>
          <w:sz w:val="18"/>
          <w:szCs w:val="18"/>
          <w:color w:val="auto"/>
        </w:rPr>
      </w:pPr>
    </w:p>
    <w:p>
      <w:pPr>
        <w:ind w:left="500" w:hanging="465"/>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Soliciting Material Pursuant to §240.14a-12</w:t>
      </w:r>
    </w:p>
    <w:p>
      <w:pPr>
        <w:spacing w:after="0" w:line="200" w:lineRule="exact"/>
        <w:rPr>
          <w:sz w:val="24"/>
          <w:szCs w:val="24"/>
          <w:color w:val="auto"/>
        </w:rPr>
      </w:pPr>
    </w:p>
    <w:p>
      <w:pPr>
        <w:spacing w:after="0" w:line="363" w:lineRule="exact"/>
        <w:rPr>
          <w:sz w:val="24"/>
          <w:szCs w:val="24"/>
          <w:color w:val="auto"/>
        </w:rPr>
      </w:pPr>
    </w:p>
    <w:p>
      <w:pPr>
        <w:jc w:val="center"/>
        <w:ind w:right="-1200"/>
        <w:spacing w:after="0"/>
        <w:rPr>
          <w:sz w:val="20"/>
          <w:szCs w:val="20"/>
          <w:color w:val="auto"/>
        </w:rPr>
      </w:pPr>
      <w:r>
        <w:rPr>
          <w:rFonts w:ascii="Arial" w:cs="Arial" w:eastAsia="Arial" w:hAnsi="Arial"/>
          <w:sz w:val="22"/>
          <w:szCs w:val="22"/>
          <w:b w:val="1"/>
          <w:bCs w:val="1"/>
          <w:color w:val="auto"/>
        </w:rPr>
        <w:t>ELI LILLY AND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2" w:lineRule="exact"/>
        <w:rPr>
          <w:sz w:val="24"/>
          <w:szCs w:val="24"/>
          <w:color w:val="auto"/>
        </w:rPr>
      </w:pPr>
    </w:p>
    <w:p>
      <w:pPr>
        <w:ind w:left="4240"/>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00" w:lineRule="exact"/>
        <w:rPr>
          <w:sz w:val="24"/>
          <w:szCs w:val="24"/>
          <w:color w:val="auto"/>
        </w:rPr>
      </w:pPr>
    </w:p>
    <w:p>
      <w:pPr>
        <w:ind w:left="350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ectPr>
          <w:pgSz w:w="11900" w:h="16838" w:orient="portrait"/>
          <w:cols w:equalWidth="0" w:num="1">
            <w:col w:w="10219"/>
          </w:cols>
          <w:pgMar w:left="240" w:top="684" w:right="1440" w:bottom="1440" w:gutter="0" w:footer="0" w:header="0"/>
        </w:sectPr>
      </w:pPr>
    </w:p>
    <w:bookmarkStart w:id="1" w:name="page2"/>
    <w:bookmarkEnd w:id="1"/>
    <w:p>
      <w:pPr>
        <w:ind w:left="5"/>
        <w:spacing w:after="0"/>
        <w:rPr>
          <w:sz w:val="20"/>
          <w:szCs w:val="20"/>
          <w:color w:val="auto"/>
        </w:rPr>
      </w:pPr>
      <w:r>
        <w:rPr>
          <w:rFonts w:ascii="Arial" w:cs="Arial" w:eastAsia="Arial" w:hAnsi="Arial"/>
          <w:sz w:val="18"/>
          <w:szCs w:val="18"/>
          <w:color w:val="auto"/>
        </w:rPr>
        <w:t>Payment of Filing Fee (Check the appropriate box):</w:t>
      </w:r>
    </w:p>
    <w:p>
      <w:pPr>
        <w:spacing w:after="0" w:line="156" w:lineRule="exact"/>
        <w:rPr>
          <w:sz w:val="20"/>
          <w:szCs w:val="20"/>
          <w:color w:val="auto"/>
        </w:rPr>
      </w:pPr>
    </w:p>
    <w:p>
      <w:pPr>
        <w:ind w:left="5"/>
        <w:spacing w:after="0"/>
        <w:rPr>
          <w:sz w:val="20"/>
          <w:szCs w:val="20"/>
          <w:color w:val="auto"/>
        </w:rPr>
      </w:pPr>
      <w:r>
        <w:rPr>
          <w:rFonts w:ascii="Arial" w:cs="Arial" w:eastAsia="Arial" w:hAnsi="Arial"/>
          <w:sz w:val="18"/>
          <w:szCs w:val="18"/>
          <w:color w:val="auto"/>
        </w:rPr>
        <w:t>x</w:t>
      </w:r>
    </w:p>
    <w:p>
      <w:pPr>
        <w:ind w:left="485"/>
        <w:spacing w:after="0"/>
        <w:rPr>
          <w:sz w:val="20"/>
          <w:szCs w:val="20"/>
          <w:color w:val="auto"/>
        </w:rPr>
      </w:pPr>
      <w:r>
        <w:rPr>
          <w:rFonts w:ascii="Arial" w:cs="Arial" w:eastAsia="Arial" w:hAnsi="Arial"/>
          <w:sz w:val="18"/>
          <w:szCs w:val="18"/>
          <w:color w:val="auto"/>
        </w:rPr>
        <w:t>No fee required.</w:t>
      </w:r>
    </w:p>
    <w:p>
      <w:pPr>
        <w:spacing w:after="0" w:line="66" w:lineRule="exact"/>
        <w:rPr>
          <w:sz w:val="20"/>
          <w:szCs w:val="20"/>
          <w:color w:val="auto"/>
        </w:rPr>
      </w:pPr>
    </w:p>
    <w:p>
      <w:pPr>
        <w:ind w:left="485" w:hanging="485"/>
        <w:spacing w:after="0"/>
        <w:tabs>
          <w:tab w:leader="none" w:pos="485" w:val="left"/>
        </w:tabs>
        <w:numPr>
          <w:ilvl w:val="0"/>
          <w:numId w:val="4"/>
        </w:numPr>
        <w:rPr>
          <w:rFonts w:ascii="Arial" w:cs="Arial" w:eastAsia="Arial" w:hAnsi="Arial"/>
          <w:sz w:val="36"/>
          <w:szCs w:val="36"/>
          <w:color w:val="auto"/>
          <w:vertAlign w:val="superscript"/>
        </w:rPr>
      </w:pPr>
      <w:r>
        <w:rPr>
          <w:rFonts w:ascii="Arial" w:cs="Arial" w:eastAsia="Arial" w:hAnsi="Arial"/>
          <w:sz w:val="18"/>
          <w:szCs w:val="18"/>
          <w:color w:val="auto"/>
        </w:rPr>
        <w:t>Fee computed on table below per Exchange Act Rules 14a-6(i)(4) and 0-11.</w:t>
      </w:r>
    </w:p>
    <w:p>
      <w:pPr>
        <w:spacing w:after="0" w:line="161" w:lineRule="exact"/>
        <w:rPr>
          <w:rFonts w:ascii="Arial" w:cs="Arial" w:eastAsia="Arial" w:hAnsi="Arial"/>
          <w:sz w:val="36"/>
          <w:szCs w:val="36"/>
          <w:color w:val="auto"/>
          <w:vertAlign w:val="superscript"/>
        </w:rPr>
      </w:pPr>
    </w:p>
    <w:p>
      <w:pPr>
        <w:ind w:left="1045" w:hanging="475"/>
        <w:spacing w:after="0"/>
        <w:tabs>
          <w:tab w:leader="none" w:pos="1045"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1045" w:hanging="475"/>
        <w:spacing w:after="0"/>
        <w:tabs>
          <w:tab w:leader="none" w:pos="1045"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1045" w:hanging="475"/>
        <w:spacing w:after="0" w:line="277" w:lineRule="auto"/>
        <w:tabs>
          <w:tab w:leader="none" w:pos="1045"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46" w:lineRule="exact"/>
        <w:rPr>
          <w:rFonts w:ascii="Arial" w:cs="Arial" w:eastAsia="Arial" w:hAnsi="Arial"/>
          <w:sz w:val="18"/>
          <w:szCs w:val="18"/>
          <w:color w:val="auto"/>
        </w:rPr>
      </w:pPr>
    </w:p>
    <w:p>
      <w:pPr>
        <w:ind w:left="1045" w:hanging="475"/>
        <w:spacing w:after="0"/>
        <w:tabs>
          <w:tab w:leader="none" w:pos="1045"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1045" w:hanging="475"/>
        <w:spacing w:after="0"/>
        <w:tabs>
          <w:tab w:leader="none" w:pos="1045"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238125</wp:posOffset>
            </wp:positionV>
            <wp:extent cx="69462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46265" cy="8890"/>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-147320</wp:posOffset>
            </wp:positionV>
            <wp:extent cx="69462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46265" cy="8890"/>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-533400</wp:posOffset>
            </wp:positionV>
            <wp:extent cx="69462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46265" cy="8890"/>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-1056640</wp:posOffset>
            </wp:positionV>
            <wp:extent cx="69462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46265" cy="8890"/>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-1442085</wp:posOffset>
            </wp:positionV>
            <wp:extent cx="69462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46265" cy="889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5"/>
        <w:spacing w:after="0"/>
        <w:rPr>
          <w:sz w:val="20"/>
          <w:szCs w:val="20"/>
          <w:color w:val="auto"/>
        </w:rPr>
      </w:pPr>
      <w:r>
        <w:rPr>
          <w:rFonts w:ascii="Arial" w:cs="Arial" w:eastAsia="Arial" w:hAnsi="Arial"/>
          <w:sz w:val="18"/>
          <w:szCs w:val="18"/>
          <w:color w:val="auto"/>
        </w:rPr>
        <w:t>o</w:t>
      </w:r>
    </w:p>
    <w:p>
      <w:pPr>
        <w:ind w:left="485"/>
        <w:spacing w:after="0"/>
        <w:rPr>
          <w:sz w:val="20"/>
          <w:szCs w:val="20"/>
          <w:color w:val="auto"/>
        </w:rPr>
      </w:pPr>
      <w:r>
        <w:rPr>
          <w:rFonts w:ascii="Arial" w:cs="Arial" w:eastAsia="Arial" w:hAnsi="Arial"/>
          <w:sz w:val="18"/>
          <w:szCs w:val="18"/>
          <w:color w:val="auto"/>
        </w:rPr>
        <w:t>Fee paid previously with preliminary materials.</w:t>
      </w:r>
    </w:p>
    <w:p>
      <w:pPr>
        <w:spacing w:after="0" w:line="169" w:lineRule="exact"/>
        <w:rPr>
          <w:sz w:val="20"/>
          <w:szCs w:val="20"/>
          <w:color w:val="auto"/>
        </w:rPr>
      </w:pPr>
    </w:p>
    <w:p>
      <w:pPr>
        <w:ind w:left="465" w:right="300" w:hanging="465"/>
        <w:spacing w:after="0" w:line="308" w:lineRule="auto"/>
        <w:tabs>
          <w:tab w:leader="none" w:pos="465"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06" w:lineRule="exact"/>
        <w:rPr>
          <w:rFonts w:ascii="Arial" w:cs="Arial" w:eastAsia="Arial" w:hAnsi="Arial"/>
          <w:sz w:val="17"/>
          <w:szCs w:val="17"/>
          <w:color w:val="auto"/>
        </w:rPr>
      </w:pPr>
    </w:p>
    <w:p>
      <w:pPr>
        <w:ind w:left="1045" w:hanging="475"/>
        <w:spacing w:after="0"/>
        <w:tabs>
          <w:tab w:leader="none" w:pos="1045"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1045" w:hanging="475"/>
        <w:spacing w:after="0"/>
        <w:tabs>
          <w:tab w:leader="none" w:pos="1045"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1045" w:hanging="475"/>
        <w:spacing w:after="0"/>
        <w:tabs>
          <w:tab w:leader="none" w:pos="1045"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1045" w:hanging="475"/>
        <w:spacing w:after="0"/>
        <w:tabs>
          <w:tab w:leader="none" w:pos="1045"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238125</wp:posOffset>
            </wp:positionV>
            <wp:extent cx="69462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46265" cy="8890"/>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-147320</wp:posOffset>
            </wp:positionV>
            <wp:extent cx="69462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46265" cy="8890"/>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-533400</wp:posOffset>
            </wp:positionV>
            <wp:extent cx="69462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46265" cy="8890"/>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-919480</wp:posOffset>
            </wp:positionV>
            <wp:extent cx="69462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462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945"/>
        <w:spacing w:after="0"/>
        <w:rPr>
          <w:sz w:val="20"/>
          <w:szCs w:val="20"/>
          <w:color w:val="auto"/>
        </w:rPr>
      </w:pPr>
      <w:r>
        <w:rPr>
          <w:rFonts w:ascii="Arial" w:cs="Arial" w:eastAsia="Arial" w:hAnsi="Arial"/>
          <w:sz w:val="16"/>
          <w:szCs w:val="16"/>
          <w:b w:val="1"/>
          <w:bCs w:val="1"/>
          <w:color w:val="auto"/>
        </w:rPr>
        <w:t>Persons who are to respond to the collection of information contained in this form are not required to respond unless the</w:t>
      </w:r>
    </w:p>
    <w:p>
      <w:pPr>
        <w:spacing w:after="0" w:line="50" w:lineRule="exact"/>
        <w:rPr>
          <w:sz w:val="20"/>
          <w:szCs w:val="20"/>
          <w:color w:val="auto"/>
        </w:rPr>
      </w:pPr>
    </w:p>
    <w:p>
      <w:pPr>
        <w:ind w:left="125"/>
        <w:spacing w:after="0"/>
        <w:tabs>
          <w:tab w:leader="none" w:pos="1925" w:val="left"/>
        </w:tabs>
        <w:rPr>
          <w:sz w:val="20"/>
          <w:szCs w:val="20"/>
          <w:color w:val="auto"/>
        </w:rPr>
      </w:pPr>
      <w:r>
        <w:rPr>
          <w:rFonts w:ascii="Arial" w:cs="Arial" w:eastAsia="Arial" w:hAnsi="Arial"/>
          <w:sz w:val="18"/>
          <w:szCs w:val="18"/>
          <w:color w:val="auto"/>
        </w:rPr>
        <w:t>SEC 1913 (11-01)</w:t>
      </w:r>
      <w:r>
        <w:rPr>
          <w:sz w:val="20"/>
          <w:szCs w:val="20"/>
          <w:color w:val="auto"/>
        </w:rPr>
        <w:tab/>
      </w:r>
      <w:r>
        <w:rPr>
          <w:rFonts w:ascii="Arial" w:cs="Arial" w:eastAsia="Arial" w:hAnsi="Arial"/>
          <w:sz w:val="16"/>
          <w:szCs w:val="16"/>
          <w:b w:val="1"/>
          <w:bCs w:val="1"/>
          <w:color w:val="auto"/>
        </w:rPr>
        <w:t>form displays a currently valid OMB control number.</w:t>
      </w:r>
    </w:p>
    <w:p>
      <w:pPr>
        <w:sectPr>
          <w:pgSz w:w="11900" w:h="16838" w:orient="portrait"/>
          <w:cols w:equalWidth="0" w:num="1">
            <w:col w:w="11285"/>
          </w:cols>
          <w:pgMar w:left="275" w:top="922" w:right="3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4116705" cy="22383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4116705" cy="2238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639"/>
        <w:spacing w:after="0" w:line="292" w:lineRule="auto"/>
        <w:rPr>
          <w:sz w:val="20"/>
          <w:szCs w:val="20"/>
          <w:color w:val="auto"/>
        </w:rPr>
      </w:pPr>
      <w:r>
        <w:rPr>
          <w:rFonts w:ascii="Arial" w:cs="Arial" w:eastAsia="Arial" w:hAnsi="Arial"/>
          <w:sz w:val="57"/>
          <w:szCs w:val="57"/>
          <w:b w:val="1"/>
          <w:bCs w:val="1"/>
          <w:color w:val="auto"/>
        </w:rPr>
        <w:t>Notice of 2018 Annual Meeting of Shareholders and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Your vote is important</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Please vote online, by telephone, or by signing, dating, and returning the enclosed proxy card by mail.</w:t>
      </w:r>
    </w:p>
    <w:p>
      <w:pPr>
        <w:sectPr>
          <w:pgSz w:w="11900" w:h="16838" w:orient="portrait"/>
          <w:cols w:equalWidth="0" w:num="1">
            <w:col w:w="10219"/>
          </w:cols>
          <w:pgMar w:left="240" w:top="1440" w:right="1440" w:bottom="1440" w:gutter="0" w:footer="0" w:header="0"/>
        </w:sectPr>
      </w:pPr>
    </w:p>
    <w:bookmarkStart w:id="3" w:name="page4"/>
    <w:bookmarkEnd w:id="3"/>
    <w:p>
      <w:pPr>
        <w:spacing w:after="0"/>
        <w:rPr>
          <w:sz w:val="20"/>
          <w:szCs w:val="20"/>
          <w:color w:val="auto"/>
        </w:rPr>
      </w:pPr>
      <w:r>
        <w:rPr>
          <w:rFonts w:ascii="Arial" w:cs="Arial" w:eastAsia="Arial" w:hAnsi="Arial"/>
          <w:sz w:val="29"/>
          <w:szCs w:val="29"/>
          <w:b w:val="1"/>
          <w:bCs w:val="1"/>
          <w:color w:val="FF0000"/>
        </w:rPr>
        <w:t>Table of Contents</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267"/>
        </w:trPr>
        <w:tc>
          <w:tcPr>
            <w:tcW w:w="7920" w:type="dxa"/>
            <w:vAlign w:val="bottom"/>
          </w:tcPr>
          <w:p>
            <w:pPr>
              <w:spacing w:after="0"/>
              <w:rPr>
                <w:rFonts w:ascii="Arial" w:cs="Arial" w:eastAsia="Arial" w:hAnsi="Arial"/>
                <w:sz w:val="20"/>
                <w:szCs w:val="20"/>
                <w:b w:val="1"/>
                <w:bCs w:val="1"/>
                <w:color w:val="EE2724"/>
              </w:rPr>
            </w:pPr>
            <w:hyperlink w:anchor="page5">
              <w:r>
                <w:rPr>
                  <w:rFonts w:ascii="Arial" w:cs="Arial" w:eastAsia="Arial" w:hAnsi="Arial"/>
                  <w:sz w:val="20"/>
                  <w:szCs w:val="20"/>
                  <w:b w:val="1"/>
                  <w:bCs w:val="1"/>
                  <w:color w:val="EE2724"/>
                </w:rPr>
                <w:t>Notice of Annual Meeting of Shareholders</w:t>
              </w:r>
            </w:hyperlink>
          </w:p>
        </w:tc>
        <w:tc>
          <w:tcPr>
            <w:tcW w:w="780" w:type="dxa"/>
            <w:vAlign w:val="bottom"/>
          </w:tcPr>
          <w:p>
            <w:pPr>
              <w:jc w:val="right"/>
              <w:spacing w:after="0"/>
              <w:rPr>
                <w:rFonts w:ascii="Arial" w:cs="Arial" w:eastAsia="Arial" w:hAnsi="Arial"/>
                <w:sz w:val="22"/>
                <w:szCs w:val="22"/>
                <w:color w:val="auto"/>
              </w:rPr>
            </w:pPr>
            <w:hyperlink w:anchor="page5">
              <w:r>
                <w:rPr>
                  <w:rFonts w:ascii="Arial" w:cs="Arial" w:eastAsia="Arial" w:hAnsi="Arial"/>
                  <w:sz w:val="22"/>
                  <w:szCs w:val="22"/>
                  <w:color w:val="auto"/>
                </w:rPr>
                <w:t>P1</w:t>
              </w:r>
            </w:hyperlink>
          </w:p>
        </w:tc>
        <w:tc>
          <w:tcPr>
            <w:tcW w:w="0" w:type="dxa"/>
            <w:vAlign w:val="bottom"/>
          </w:tcPr>
          <w:p>
            <w:pPr>
              <w:spacing w:after="0"/>
              <w:rPr>
                <w:sz w:val="1"/>
                <w:szCs w:val="1"/>
                <w:color w:val="auto"/>
              </w:rPr>
            </w:pPr>
          </w:p>
        </w:tc>
      </w:tr>
      <w:tr>
        <w:trPr>
          <w:trHeight w:val="297"/>
        </w:trPr>
        <w:tc>
          <w:tcPr>
            <w:tcW w:w="7920" w:type="dxa"/>
            <w:vAlign w:val="bottom"/>
          </w:tcPr>
          <w:p>
            <w:pPr>
              <w:spacing w:after="0"/>
              <w:rPr>
                <w:rFonts w:ascii="Arial" w:cs="Arial" w:eastAsia="Arial" w:hAnsi="Arial"/>
                <w:sz w:val="20"/>
                <w:szCs w:val="20"/>
                <w:b w:val="1"/>
                <w:bCs w:val="1"/>
                <w:color w:val="EE2724"/>
              </w:rPr>
            </w:pPr>
            <w:hyperlink w:anchor="page6">
              <w:r>
                <w:rPr>
                  <w:rFonts w:ascii="Arial" w:cs="Arial" w:eastAsia="Arial" w:hAnsi="Arial"/>
                  <w:sz w:val="20"/>
                  <w:szCs w:val="20"/>
                  <w:b w:val="1"/>
                  <w:bCs w:val="1"/>
                  <w:color w:val="EE2724"/>
                </w:rPr>
                <w:t>Proxy Statement Summary</w:t>
              </w:r>
            </w:hyperlink>
          </w:p>
        </w:tc>
        <w:tc>
          <w:tcPr>
            <w:tcW w:w="780" w:type="dxa"/>
            <w:vAlign w:val="bottom"/>
          </w:tcPr>
          <w:p>
            <w:pPr>
              <w:jc w:val="right"/>
              <w:spacing w:after="0"/>
              <w:rPr>
                <w:rFonts w:ascii="Arial" w:cs="Arial" w:eastAsia="Arial" w:hAnsi="Arial"/>
                <w:sz w:val="22"/>
                <w:szCs w:val="22"/>
                <w:color w:val="auto"/>
              </w:rPr>
            </w:pPr>
            <w:hyperlink w:anchor="page6">
              <w:r>
                <w:rPr>
                  <w:rFonts w:ascii="Arial" w:cs="Arial" w:eastAsia="Arial" w:hAnsi="Arial"/>
                  <w:sz w:val="22"/>
                  <w:szCs w:val="22"/>
                  <w:color w:val="auto"/>
                </w:rPr>
                <w:t>P2</w:t>
              </w:r>
            </w:hyperlink>
          </w:p>
        </w:tc>
        <w:tc>
          <w:tcPr>
            <w:tcW w:w="0" w:type="dxa"/>
            <w:vAlign w:val="bottom"/>
          </w:tcPr>
          <w:p>
            <w:pPr>
              <w:spacing w:after="0"/>
              <w:rPr>
                <w:sz w:val="1"/>
                <w:szCs w:val="1"/>
                <w:color w:val="auto"/>
              </w:rPr>
            </w:pPr>
          </w:p>
        </w:tc>
      </w:tr>
      <w:tr>
        <w:trPr>
          <w:trHeight w:val="297"/>
        </w:trPr>
        <w:tc>
          <w:tcPr>
            <w:tcW w:w="7920" w:type="dxa"/>
            <w:vAlign w:val="bottom"/>
          </w:tcPr>
          <w:p>
            <w:pPr>
              <w:spacing w:after="0"/>
              <w:rPr>
                <w:rFonts w:ascii="Arial" w:cs="Arial" w:eastAsia="Arial" w:hAnsi="Arial"/>
                <w:sz w:val="20"/>
                <w:szCs w:val="20"/>
                <w:b w:val="1"/>
                <w:bCs w:val="1"/>
                <w:color w:val="EE2724"/>
              </w:rPr>
            </w:pPr>
            <w:hyperlink w:anchor="page15">
              <w:r>
                <w:rPr>
                  <w:rFonts w:ascii="Arial" w:cs="Arial" w:eastAsia="Arial" w:hAnsi="Arial"/>
                  <w:sz w:val="20"/>
                  <w:szCs w:val="20"/>
                  <w:b w:val="1"/>
                  <w:bCs w:val="1"/>
                  <w:color w:val="EE2724"/>
                </w:rPr>
                <w:t>Governance</w:t>
              </w:r>
            </w:hyperlink>
          </w:p>
        </w:tc>
        <w:tc>
          <w:tcPr>
            <w:tcW w:w="780" w:type="dxa"/>
            <w:vAlign w:val="bottom"/>
          </w:tcPr>
          <w:p>
            <w:pPr>
              <w:jc w:val="right"/>
              <w:spacing w:after="0"/>
              <w:rPr>
                <w:rFonts w:ascii="Arial" w:cs="Arial" w:eastAsia="Arial" w:hAnsi="Arial"/>
                <w:sz w:val="22"/>
                <w:szCs w:val="22"/>
                <w:color w:val="auto"/>
              </w:rPr>
            </w:pPr>
            <w:hyperlink w:anchor="page15">
              <w:r>
                <w:rPr>
                  <w:rFonts w:ascii="Arial" w:cs="Arial" w:eastAsia="Arial" w:hAnsi="Arial"/>
                  <w:sz w:val="22"/>
                  <w:szCs w:val="22"/>
                  <w:color w:val="auto"/>
                </w:rPr>
                <w:t>P11</w:t>
              </w:r>
            </w:hyperlink>
          </w:p>
        </w:tc>
        <w:tc>
          <w:tcPr>
            <w:tcW w:w="0" w:type="dxa"/>
            <w:vAlign w:val="bottom"/>
          </w:tcPr>
          <w:p>
            <w:pPr>
              <w:spacing w:after="0"/>
              <w:rPr>
                <w:sz w:val="1"/>
                <w:szCs w:val="1"/>
                <w:color w:val="auto"/>
              </w:rPr>
            </w:pPr>
          </w:p>
        </w:tc>
      </w:tr>
      <w:tr>
        <w:trPr>
          <w:trHeight w:val="297"/>
        </w:trPr>
        <w:tc>
          <w:tcPr>
            <w:tcW w:w="7920" w:type="dxa"/>
            <w:vAlign w:val="bottom"/>
          </w:tcPr>
          <w:p>
            <w:pPr>
              <w:ind w:left="340"/>
              <w:spacing w:after="0"/>
              <w:rPr>
                <w:rFonts w:ascii="Arial" w:cs="Arial" w:eastAsia="Arial" w:hAnsi="Arial"/>
                <w:sz w:val="18"/>
                <w:szCs w:val="18"/>
                <w:b w:val="1"/>
                <w:bCs w:val="1"/>
                <w:color w:val="auto"/>
              </w:rPr>
            </w:pPr>
            <w:hyperlink w:anchor="page15">
              <w:r>
                <w:rPr>
                  <w:rFonts w:ascii="Arial" w:cs="Arial" w:eastAsia="Arial" w:hAnsi="Arial"/>
                  <w:sz w:val="18"/>
                  <w:szCs w:val="18"/>
                  <w:b w:val="1"/>
                  <w:bCs w:val="1"/>
                  <w:color w:val="auto"/>
                </w:rPr>
                <w:t>Item 1 - Election of Directors</w:t>
              </w:r>
            </w:hyperlink>
          </w:p>
        </w:tc>
        <w:tc>
          <w:tcPr>
            <w:tcW w:w="780" w:type="dxa"/>
            <w:vAlign w:val="bottom"/>
          </w:tcPr>
          <w:p>
            <w:pPr>
              <w:jc w:val="right"/>
              <w:spacing w:after="0"/>
              <w:rPr>
                <w:rFonts w:ascii="Arial" w:cs="Arial" w:eastAsia="Arial" w:hAnsi="Arial"/>
                <w:sz w:val="22"/>
                <w:szCs w:val="22"/>
                <w:color w:val="auto"/>
              </w:rPr>
            </w:pPr>
            <w:hyperlink w:anchor="page15">
              <w:r>
                <w:rPr>
                  <w:rFonts w:ascii="Arial" w:cs="Arial" w:eastAsia="Arial" w:hAnsi="Arial"/>
                  <w:sz w:val="22"/>
                  <w:szCs w:val="22"/>
                  <w:color w:val="auto"/>
                </w:rPr>
                <w:t>P11</w:t>
              </w:r>
            </w:hyperlink>
          </w:p>
        </w:tc>
        <w:tc>
          <w:tcPr>
            <w:tcW w:w="0" w:type="dxa"/>
            <w:vAlign w:val="bottom"/>
          </w:tcPr>
          <w:p>
            <w:pPr>
              <w:spacing w:after="0"/>
              <w:rPr>
                <w:sz w:val="1"/>
                <w:szCs w:val="1"/>
                <w:color w:val="auto"/>
              </w:rPr>
            </w:pPr>
          </w:p>
        </w:tc>
      </w:tr>
      <w:tr>
        <w:trPr>
          <w:trHeight w:val="297"/>
        </w:trPr>
        <w:tc>
          <w:tcPr>
            <w:tcW w:w="7920" w:type="dxa"/>
            <w:vAlign w:val="bottom"/>
          </w:tcPr>
          <w:p>
            <w:pPr>
              <w:ind w:left="340"/>
              <w:spacing w:after="0"/>
              <w:rPr>
                <w:rFonts w:ascii="Arial" w:cs="Arial" w:eastAsia="Arial" w:hAnsi="Arial"/>
                <w:sz w:val="18"/>
                <w:szCs w:val="18"/>
                <w:color w:val="auto"/>
              </w:rPr>
            </w:pPr>
            <w:hyperlink w:anchor="page15">
              <w:r>
                <w:rPr>
                  <w:rFonts w:ascii="Arial" w:cs="Arial" w:eastAsia="Arial" w:hAnsi="Arial"/>
                  <w:sz w:val="18"/>
                  <w:szCs w:val="18"/>
                  <w:color w:val="auto"/>
                </w:rPr>
                <w:t>Board Operations and Governance</w:t>
              </w:r>
            </w:hyperlink>
          </w:p>
        </w:tc>
        <w:tc>
          <w:tcPr>
            <w:tcW w:w="780" w:type="dxa"/>
            <w:vAlign w:val="bottom"/>
          </w:tcPr>
          <w:p>
            <w:pPr>
              <w:jc w:val="right"/>
              <w:spacing w:after="0"/>
              <w:rPr>
                <w:rFonts w:ascii="Arial" w:cs="Arial" w:eastAsia="Arial" w:hAnsi="Arial"/>
                <w:sz w:val="22"/>
                <w:szCs w:val="22"/>
                <w:color w:val="auto"/>
              </w:rPr>
            </w:pPr>
            <w:hyperlink w:anchor="page15">
              <w:r>
                <w:rPr>
                  <w:rFonts w:ascii="Arial" w:cs="Arial" w:eastAsia="Arial" w:hAnsi="Arial"/>
                  <w:sz w:val="22"/>
                  <w:szCs w:val="22"/>
                  <w:color w:val="auto"/>
                </w:rPr>
                <w:t>P11</w:t>
              </w:r>
            </w:hyperlink>
          </w:p>
        </w:tc>
        <w:tc>
          <w:tcPr>
            <w:tcW w:w="0" w:type="dxa"/>
            <w:vAlign w:val="bottom"/>
          </w:tcPr>
          <w:p>
            <w:pPr>
              <w:spacing w:after="0"/>
              <w:rPr>
                <w:sz w:val="1"/>
                <w:szCs w:val="1"/>
                <w:color w:val="auto"/>
              </w:rPr>
            </w:pPr>
          </w:p>
        </w:tc>
      </w:tr>
      <w:tr>
        <w:trPr>
          <w:trHeight w:val="297"/>
        </w:trPr>
        <w:tc>
          <w:tcPr>
            <w:tcW w:w="7920" w:type="dxa"/>
            <w:vAlign w:val="bottom"/>
          </w:tcPr>
          <w:p>
            <w:pPr>
              <w:ind w:left="340"/>
              <w:spacing w:after="0"/>
              <w:rPr>
                <w:rFonts w:ascii="Arial" w:cs="Arial" w:eastAsia="Arial" w:hAnsi="Arial"/>
                <w:sz w:val="18"/>
                <w:szCs w:val="18"/>
                <w:color w:val="auto"/>
              </w:rPr>
            </w:pPr>
            <w:hyperlink w:anchor="page23">
              <w:r>
                <w:rPr>
                  <w:rFonts w:ascii="Arial" w:cs="Arial" w:eastAsia="Arial" w:hAnsi="Arial"/>
                  <w:sz w:val="18"/>
                  <w:szCs w:val="18"/>
                  <w:color w:val="auto"/>
                </w:rPr>
                <w:t>Director Qualifications and Nomination Process</w:t>
              </w:r>
            </w:hyperlink>
          </w:p>
        </w:tc>
        <w:tc>
          <w:tcPr>
            <w:tcW w:w="780" w:type="dxa"/>
            <w:vAlign w:val="bottom"/>
          </w:tcPr>
          <w:p>
            <w:pPr>
              <w:jc w:val="right"/>
              <w:spacing w:after="0"/>
              <w:rPr>
                <w:rFonts w:ascii="Arial" w:cs="Arial" w:eastAsia="Arial" w:hAnsi="Arial"/>
                <w:sz w:val="22"/>
                <w:szCs w:val="22"/>
                <w:color w:val="auto"/>
              </w:rPr>
            </w:pPr>
            <w:hyperlink w:anchor="page23">
              <w:r>
                <w:rPr>
                  <w:rFonts w:ascii="Arial" w:cs="Arial" w:eastAsia="Arial" w:hAnsi="Arial"/>
                  <w:sz w:val="22"/>
                  <w:szCs w:val="22"/>
                  <w:color w:val="auto"/>
                </w:rPr>
                <w:t>P19</w:t>
              </w:r>
            </w:hyperlink>
          </w:p>
        </w:tc>
        <w:tc>
          <w:tcPr>
            <w:tcW w:w="0" w:type="dxa"/>
            <w:vAlign w:val="bottom"/>
          </w:tcPr>
          <w:p>
            <w:pPr>
              <w:spacing w:after="0"/>
              <w:rPr>
                <w:sz w:val="1"/>
                <w:szCs w:val="1"/>
                <w:color w:val="auto"/>
              </w:rPr>
            </w:pPr>
          </w:p>
        </w:tc>
      </w:tr>
      <w:tr>
        <w:trPr>
          <w:trHeight w:val="297"/>
        </w:trPr>
        <w:tc>
          <w:tcPr>
            <w:tcW w:w="7920" w:type="dxa"/>
            <w:vAlign w:val="bottom"/>
          </w:tcPr>
          <w:p>
            <w:pPr>
              <w:ind w:left="340"/>
              <w:spacing w:after="0"/>
              <w:rPr>
                <w:rFonts w:ascii="Arial" w:cs="Arial" w:eastAsia="Arial" w:hAnsi="Arial"/>
                <w:sz w:val="18"/>
                <w:szCs w:val="18"/>
                <w:color w:val="auto"/>
              </w:rPr>
            </w:pPr>
            <w:hyperlink w:anchor="page25">
              <w:r>
                <w:rPr>
                  <w:rFonts w:ascii="Arial" w:cs="Arial" w:eastAsia="Arial" w:hAnsi="Arial"/>
                  <w:sz w:val="18"/>
                  <w:szCs w:val="18"/>
                  <w:color w:val="auto"/>
                </w:rPr>
                <w:t>Director Compensation</w:t>
              </w:r>
            </w:hyperlink>
          </w:p>
        </w:tc>
        <w:tc>
          <w:tcPr>
            <w:tcW w:w="780" w:type="dxa"/>
            <w:vAlign w:val="bottom"/>
          </w:tcPr>
          <w:p>
            <w:pPr>
              <w:jc w:val="right"/>
              <w:spacing w:after="0"/>
              <w:rPr>
                <w:rFonts w:ascii="Arial" w:cs="Arial" w:eastAsia="Arial" w:hAnsi="Arial"/>
                <w:sz w:val="22"/>
                <w:szCs w:val="22"/>
                <w:color w:val="auto"/>
              </w:rPr>
            </w:pPr>
            <w:hyperlink w:anchor="page25">
              <w:r>
                <w:rPr>
                  <w:rFonts w:ascii="Arial" w:cs="Arial" w:eastAsia="Arial" w:hAnsi="Arial"/>
                  <w:sz w:val="22"/>
                  <w:szCs w:val="22"/>
                  <w:color w:val="auto"/>
                </w:rPr>
                <w:t>P21</w:t>
              </w:r>
            </w:hyperlink>
          </w:p>
        </w:tc>
        <w:tc>
          <w:tcPr>
            <w:tcW w:w="0" w:type="dxa"/>
            <w:vAlign w:val="bottom"/>
          </w:tcPr>
          <w:p>
            <w:pPr>
              <w:spacing w:after="0"/>
              <w:rPr>
                <w:sz w:val="1"/>
                <w:szCs w:val="1"/>
                <w:color w:val="auto"/>
              </w:rPr>
            </w:pPr>
          </w:p>
        </w:tc>
      </w:tr>
      <w:tr>
        <w:trPr>
          <w:trHeight w:val="297"/>
        </w:trPr>
        <w:tc>
          <w:tcPr>
            <w:tcW w:w="7920" w:type="dxa"/>
            <w:vAlign w:val="bottom"/>
          </w:tcPr>
          <w:p>
            <w:pPr>
              <w:ind w:left="340"/>
              <w:spacing w:after="0"/>
              <w:rPr>
                <w:rFonts w:ascii="Arial" w:cs="Arial" w:eastAsia="Arial" w:hAnsi="Arial"/>
                <w:sz w:val="18"/>
                <w:szCs w:val="18"/>
                <w:color w:val="auto"/>
              </w:rPr>
            </w:pPr>
            <w:hyperlink w:anchor="page27">
              <w:r>
                <w:rPr>
                  <w:rFonts w:ascii="Arial" w:cs="Arial" w:eastAsia="Arial" w:hAnsi="Arial"/>
                  <w:sz w:val="18"/>
                  <w:szCs w:val="18"/>
                  <w:color w:val="auto"/>
                </w:rPr>
                <w:t>Director Independence</w:t>
              </w:r>
            </w:hyperlink>
          </w:p>
        </w:tc>
        <w:tc>
          <w:tcPr>
            <w:tcW w:w="780" w:type="dxa"/>
            <w:vAlign w:val="bottom"/>
          </w:tcPr>
          <w:p>
            <w:pPr>
              <w:jc w:val="right"/>
              <w:spacing w:after="0"/>
              <w:rPr>
                <w:rFonts w:ascii="Arial" w:cs="Arial" w:eastAsia="Arial" w:hAnsi="Arial"/>
                <w:sz w:val="22"/>
                <w:szCs w:val="22"/>
                <w:color w:val="auto"/>
              </w:rPr>
            </w:pPr>
            <w:hyperlink w:anchor="page27">
              <w:r>
                <w:rPr>
                  <w:rFonts w:ascii="Arial" w:cs="Arial" w:eastAsia="Arial" w:hAnsi="Arial"/>
                  <w:sz w:val="22"/>
                  <w:szCs w:val="22"/>
                  <w:color w:val="auto"/>
                </w:rPr>
                <w:t>P23</w:t>
              </w:r>
            </w:hyperlink>
          </w:p>
        </w:tc>
        <w:tc>
          <w:tcPr>
            <w:tcW w:w="0" w:type="dxa"/>
            <w:vAlign w:val="bottom"/>
          </w:tcPr>
          <w:p>
            <w:pPr>
              <w:spacing w:after="0"/>
              <w:rPr>
                <w:sz w:val="1"/>
                <w:szCs w:val="1"/>
                <w:color w:val="auto"/>
              </w:rPr>
            </w:pPr>
          </w:p>
        </w:tc>
      </w:tr>
      <w:tr>
        <w:trPr>
          <w:trHeight w:val="297"/>
        </w:trPr>
        <w:tc>
          <w:tcPr>
            <w:tcW w:w="7920" w:type="dxa"/>
            <w:vAlign w:val="bottom"/>
          </w:tcPr>
          <w:p>
            <w:pPr>
              <w:ind w:left="340"/>
              <w:spacing w:after="0"/>
              <w:rPr>
                <w:rFonts w:ascii="Arial" w:cs="Arial" w:eastAsia="Arial" w:hAnsi="Arial"/>
                <w:sz w:val="18"/>
                <w:szCs w:val="18"/>
                <w:color w:val="auto"/>
              </w:rPr>
            </w:pPr>
            <w:hyperlink w:anchor="page28">
              <w:r>
                <w:rPr>
                  <w:rFonts w:ascii="Arial" w:cs="Arial" w:eastAsia="Arial" w:hAnsi="Arial"/>
                  <w:sz w:val="18"/>
                  <w:szCs w:val="18"/>
                  <w:color w:val="auto"/>
                </w:rPr>
                <w:t>Committees of the Board of Directors</w:t>
              </w:r>
            </w:hyperlink>
          </w:p>
        </w:tc>
        <w:tc>
          <w:tcPr>
            <w:tcW w:w="780" w:type="dxa"/>
            <w:vAlign w:val="bottom"/>
          </w:tcPr>
          <w:p>
            <w:pPr>
              <w:jc w:val="right"/>
              <w:spacing w:after="0"/>
              <w:rPr>
                <w:rFonts w:ascii="Arial" w:cs="Arial" w:eastAsia="Arial" w:hAnsi="Arial"/>
                <w:sz w:val="22"/>
                <w:szCs w:val="22"/>
                <w:color w:val="auto"/>
              </w:rPr>
            </w:pPr>
            <w:hyperlink w:anchor="page28">
              <w:r>
                <w:rPr>
                  <w:rFonts w:ascii="Arial" w:cs="Arial" w:eastAsia="Arial" w:hAnsi="Arial"/>
                  <w:sz w:val="22"/>
                  <w:szCs w:val="22"/>
                  <w:color w:val="auto"/>
                </w:rPr>
                <w:t>P24</w:t>
              </w:r>
            </w:hyperlink>
          </w:p>
        </w:tc>
        <w:tc>
          <w:tcPr>
            <w:tcW w:w="0" w:type="dxa"/>
            <w:vAlign w:val="bottom"/>
          </w:tcPr>
          <w:p>
            <w:pPr>
              <w:spacing w:after="0"/>
              <w:rPr>
                <w:sz w:val="1"/>
                <w:szCs w:val="1"/>
                <w:color w:val="auto"/>
              </w:rPr>
            </w:pPr>
          </w:p>
        </w:tc>
      </w:tr>
      <w:tr>
        <w:trPr>
          <w:trHeight w:val="297"/>
        </w:trPr>
        <w:tc>
          <w:tcPr>
            <w:tcW w:w="7920" w:type="dxa"/>
            <w:vAlign w:val="bottom"/>
          </w:tcPr>
          <w:p>
            <w:pPr>
              <w:ind w:left="340"/>
              <w:spacing w:after="0"/>
              <w:rPr>
                <w:rFonts w:ascii="Arial" w:cs="Arial" w:eastAsia="Arial" w:hAnsi="Arial"/>
                <w:sz w:val="18"/>
                <w:szCs w:val="18"/>
                <w:color w:val="auto"/>
              </w:rPr>
            </w:pPr>
            <w:hyperlink w:anchor="page29">
              <w:r>
                <w:rPr>
                  <w:rFonts w:ascii="Arial" w:cs="Arial" w:eastAsia="Arial" w:hAnsi="Arial"/>
                  <w:sz w:val="18"/>
                  <w:szCs w:val="18"/>
                  <w:color w:val="auto"/>
                </w:rPr>
                <w:t>Membership and Meetings of the Board and Its Committees</w:t>
              </w:r>
            </w:hyperlink>
          </w:p>
        </w:tc>
        <w:tc>
          <w:tcPr>
            <w:tcW w:w="780" w:type="dxa"/>
            <w:vAlign w:val="bottom"/>
          </w:tcPr>
          <w:p>
            <w:pPr>
              <w:jc w:val="right"/>
              <w:spacing w:after="0"/>
              <w:rPr>
                <w:rFonts w:ascii="Arial" w:cs="Arial" w:eastAsia="Arial" w:hAnsi="Arial"/>
                <w:sz w:val="22"/>
                <w:szCs w:val="22"/>
                <w:color w:val="auto"/>
              </w:rPr>
            </w:pPr>
            <w:hyperlink w:anchor="page29">
              <w:r>
                <w:rPr>
                  <w:rFonts w:ascii="Arial" w:cs="Arial" w:eastAsia="Arial" w:hAnsi="Arial"/>
                  <w:sz w:val="22"/>
                  <w:szCs w:val="22"/>
                  <w:color w:val="auto"/>
                </w:rPr>
                <w:t>P25</w:t>
              </w:r>
            </w:hyperlink>
          </w:p>
        </w:tc>
        <w:tc>
          <w:tcPr>
            <w:tcW w:w="0" w:type="dxa"/>
            <w:vAlign w:val="bottom"/>
          </w:tcPr>
          <w:p>
            <w:pPr>
              <w:spacing w:after="0"/>
              <w:rPr>
                <w:sz w:val="1"/>
                <w:szCs w:val="1"/>
                <w:color w:val="auto"/>
              </w:rPr>
            </w:pPr>
          </w:p>
        </w:tc>
      </w:tr>
      <w:tr>
        <w:trPr>
          <w:trHeight w:val="297"/>
        </w:trPr>
        <w:tc>
          <w:tcPr>
            <w:tcW w:w="7920" w:type="dxa"/>
            <w:vAlign w:val="bottom"/>
          </w:tcPr>
          <w:p>
            <w:pPr>
              <w:ind w:left="340"/>
              <w:spacing w:after="0"/>
              <w:rPr>
                <w:rFonts w:ascii="Arial" w:cs="Arial" w:eastAsia="Arial" w:hAnsi="Arial"/>
                <w:sz w:val="18"/>
                <w:szCs w:val="18"/>
                <w:color w:val="auto"/>
              </w:rPr>
            </w:pPr>
            <w:hyperlink w:anchor="page31">
              <w:r>
                <w:rPr>
                  <w:rFonts w:ascii="Arial" w:cs="Arial" w:eastAsia="Arial" w:hAnsi="Arial"/>
                  <w:sz w:val="18"/>
                  <w:szCs w:val="18"/>
                  <w:color w:val="auto"/>
                </w:rPr>
                <w:t>Board Oversight of Compliance and Risk Management</w:t>
              </w:r>
            </w:hyperlink>
          </w:p>
        </w:tc>
        <w:tc>
          <w:tcPr>
            <w:tcW w:w="780" w:type="dxa"/>
            <w:vAlign w:val="bottom"/>
          </w:tcPr>
          <w:p>
            <w:pPr>
              <w:jc w:val="right"/>
              <w:spacing w:after="0"/>
              <w:rPr>
                <w:rFonts w:ascii="Arial" w:cs="Arial" w:eastAsia="Arial" w:hAnsi="Arial"/>
                <w:sz w:val="22"/>
                <w:szCs w:val="22"/>
                <w:color w:val="auto"/>
              </w:rPr>
            </w:pPr>
            <w:hyperlink w:anchor="page31">
              <w:r>
                <w:rPr>
                  <w:rFonts w:ascii="Arial" w:cs="Arial" w:eastAsia="Arial" w:hAnsi="Arial"/>
                  <w:sz w:val="22"/>
                  <w:szCs w:val="22"/>
                  <w:color w:val="auto"/>
                </w:rPr>
                <w:t>P27</w:t>
              </w:r>
            </w:hyperlink>
          </w:p>
        </w:tc>
        <w:tc>
          <w:tcPr>
            <w:tcW w:w="0" w:type="dxa"/>
            <w:vAlign w:val="bottom"/>
          </w:tcPr>
          <w:p>
            <w:pPr>
              <w:spacing w:after="0"/>
              <w:rPr>
                <w:sz w:val="1"/>
                <w:szCs w:val="1"/>
                <w:color w:val="auto"/>
              </w:rPr>
            </w:pPr>
          </w:p>
        </w:tc>
      </w:tr>
      <w:tr>
        <w:trPr>
          <w:trHeight w:val="297"/>
        </w:trPr>
        <w:tc>
          <w:tcPr>
            <w:tcW w:w="7920" w:type="dxa"/>
            <w:vAlign w:val="bottom"/>
          </w:tcPr>
          <w:p>
            <w:pPr>
              <w:ind w:left="340"/>
              <w:spacing w:after="0"/>
              <w:rPr>
                <w:rFonts w:ascii="Arial" w:cs="Arial" w:eastAsia="Arial" w:hAnsi="Arial"/>
                <w:sz w:val="18"/>
                <w:szCs w:val="18"/>
                <w:color w:val="auto"/>
              </w:rPr>
            </w:pPr>
            <w:hyperlink w:anchor="page31">
              <w:r>
                <w:rPr>
                  <w:rFonts w:ascii="Arial" w:cs="Arial" w:eastAsia="Arial" w:hAnsi="Arial"/>
                  <w:sz w:val="18"/>
                  <w:szCs w:val="18"/>
                  <w:color w:val="auto"/>
                </w:rPr>
                <w:t>Highlights of the Company's Corporate Governance</w:t>
              </w:r>
            </w:hyperlink>
          </w:p>
        </w:tc>
        <w:tc>
          <w:tcPr>
            <w:tcW w:w="780" w:type="dxa"/>
            <w:vAlign w:val="bottom"/>
          </w:tcPr>
          <w:p>
            <w:pPr>
              <w:jc w:val="right"/>
              <w:spacing w:after="0"/>
              <w:rPr>
                <w:rFonts w:ascii="Arial" w:cs="Arial" w:eastAsia="Arial" w:hAnsi="Arial"/>
                <w:sz w:val="22"/>
                <w:szCs w:val="22"/>
                <w:color w:val="auto"/>
              </w:rPr>
            </w:pPr>
            <w:hyperlink w:anchor="page31">
              <w:r>
                <w:rPr>
                  <w:rFonts w:ascii="Arial" w:cs="Arial" w:eastAsia="Arial" w:hAnsi="Arial"/>
                  <w:sz w:val="22"/>
                  <w:szCs w:val="22"/>
                  <w:color w:val="auto"/>
                </w:rPr>
                <w:t>P27</w:t>
              </w:r>
            </w:hyperlink>
          </w:p>
        </w:tc>
        <w:tc>
          <w:tcPr>
            <w:tcW w:w="0" w:type="dxa"/>
            <w:vAlign w:val="bottom"/>
          </w:tcPr>
          <w:p>
            <w:pPr>
              <w:spacing w:after="0"/>
              <w:rPr>
                <w:sz w:val="1"/>
                <w:szCs w:val="1"/>
                <w:color w:val="auto"/>
              </w:rPr>
            </w:pPr>
          </w:p>
        </w:tc>
      </w:tr>
      <w:tr>
        <w:trPr>
          <w:trHeight w:val="297"/>
        </w:trPr>
        <w:tc>
          <w:tcPr>
            <w:tcW w:w="7920" w:type="dxa"/>
            <w:vAlign w:val="bottom"/>
          </w:tcPr>
          <w:p>
            <w:pPr>
              <w:ind w:left="680"/>
              <w:spacing w:after="0"/>
              <w:rPr>
                <w:rFonts w:ascii="Arial" w:cs="Arial" w:eastAsia="Arial" w:hAnsi="Arial"/>
                <w:sz w:val="20"/>
                <w:szCs w:val="20"/>
                <w:b w:val="1"/>
                <w:bCs w:val="1"/>
                <w:color w:val="EE2724"/>
              </w:rPr>
            </w:pPr>
            <w:hyperlink w:anchor="page35">
              <w:r>
                <w:rPr>
                  <w:rFonts w:ascii="Arial" w:cs="Arial" w:eastAsia="Arial" w:hAnsi="Arial"/>
                  <w:sz w:val="20"/>
                  <w:szCs w:val="20"/>
                  <w:b w:val="1"/>
                  <w:bCs w:val="1"/>
                  <w:color w:val="EE2724"/>
                </w:rPr>
                <w:t>Shareholder Engagement on Governance Issues</w:t>
              </w:r>
            </w:hyperlink>
          </w:p>
        </w:tc>
        <w:tc>
          <w:tcPr>
            <w:tcW w:w="780" w:type="dxa"/>
            <w:vAlign w:val="bottom"/>
          </w:tcPr>
          <w:p>
            <w:pPr>
              <w:jc w:val="right"/>
              <w:spacing w:after="0"/>
              <w:rPr>
                <w:rFonts w:ascii="Arial" w:cs="Arial" w:eastAsia="Arial" w:hAnsi="Arial"/>
                <w:sz w:val="22"/>
                <w:szCs w:val="22"/>
                <w:color w:val="auto"/>
              </w:rPr>
            </w:pPr>
            <w:hyperlink w:anchor="page35">
              <w:r>
                <w:rPr>
                  <w:rFonts w:ascii="Arial" w:cs="Arial" w:eastAsia="Arial" w:hAnsi="Arial"/>
                  <w:sz w:val="22"/>
                  <w:szCs w:val="22"/>
                  <w:color w:val="auto"/>
                </w:rPr>
                <w:t>P31</w:t>
              </w:r>
            </w:hyperlink>
          </w:p>
        </w:tc>
        <w:tc>
          <w:tcPr>
            <w:tcW w:w="0" w:type="dxa"/>
            <w:vAlign w:val="bottom"/>
          </w:tcPr>
          <w:p>
            <w:pPr>
              <w:spacing w:after="0"/>
              <w:rPr>
                <w:sz w:val="1"/>
                <w:szCs w:val="1"/>
                <w:color w:val="auto"/>
              </w:rPr>
            </w:pPr>
          </w:p>
        </w:tc>
      </w:tr>
      <w:tr>
        <w:trPr>
          <w:trHeight w:val="246"/>
        </w:trPr>
        <w:tc>
          <w:tcPr>
            <w:tcW w:w="7920" w:type="dxa"/>
            <w:vAlign w:val="bottom"/>
          </w:tcPr>
          <w:p>
            <w:pPr>
              <w:ind w:left="340"/>
              <w:spacing w:after="0"/>
              <w:rPr>
                <w:rFonts w:ascii="Arial" w:cs="Arial" w:eastAsia="Arial" w:hAnsi="Arial"/>
                <w:sz w:val="18"/>
                <w:szCs w:val="18"/>
                <w:color w:val="auto"/>
              </w:rPr>
            </w:pPr>
            <w:hyperlink w:anchor="page35">
              <w:r>
                <w:rPr>
                  <w:rFonts w:ascii="Arial" w:cs="Arial" w:eastAsia="Arial" w:hAnsi="Arial"/>
                  <w:sz w:val="18"/>
                  <w:szCs w:val="18"/>
                  <w:color w:val="auto"/>
                </w:rPr>
                <w:t xml:space="preserve">Prior Management Proposals to Eliminate Classified Board </w:t>
              </w:r>
            </w:hyperlink>
            <w:r>
              <w:rPr>
                <w:rFonts w:ascii="Arial" w:cs="Arial" w:eastAsia="Arial" w:hAnsi="Arial"/>
                <w:sz w:val="18"/>
                <w:szCs w:val="18"/>
                <w:color w:val="auto"/>
              </w:rPr>
              <w:t>and Supermajority Voting</w:t>
            </w:r>
          </w:p>
        </w:tc>
        <w:tc>
          <w:tcPr>
            <w:tcW w:w="780" w:type="dxa"/>
            <w:vAlign w:val="bottom"/>
            <w:vMerge w:val="restart"/>
          </w:tcPr>
          <w:p>
            <w:pPr>
              <w:jc w:val="right"/>
              <w:spacing w:after="0"/>
              <w:rPr>
                <w:rFonts w:ascii="Arial" w:cs="Arial" w:eastAsia="Arial" w:hAnsi="Arial"/>
                <w:sz w:val="22"/>
                <w:szCs w:val="22"/>
                <w:color w:val="auto"/>
              </w:rPr>
            </w:pPr>
            <w:hyperlink w:anchor="page35">
              <w:r>
                <w:rPr>
                  <w:rFonts w:ascii="Arial" w:cs="Arial" w:eastAsia="Arial" w:hAnsi="Arial"/>
                  <w:sz w:val="22"/>
                  <w:szCs w:val="22"/>
                  <w:color w:val="auto"/>
                </w:rPr>
                <w:t>P31</w:t>
              </w:r>
            </w:hyperlink>
          </w:p>
        </w:tc>
        <w:tc>
          <w:tcPr>
            <w:tcW w:w="0" w:type="dxa"/>
            <w:vAlign w:val="bottom"/>
          </w:tcPr>
          <w:p>
            <w:pPr>
              <w:spacing w:after="0"/>
              <w:rPr>
                <w:sz w:val="1"/>
                <w:szCs w:val="1"/>
                <w:color w:val="auto"/>
              </w:rPr>
            </w:pPr>
          </w:p>
        </w:tc>
      </w:tr>
      <w:tr>
        <w:trPr>
          <w:trHeight w:val="132"/>
        </w:trPr>
        <w:tc>
          <w:tcPr>
            <w:tcW w:w="7920" w:type="dxa"/>
            <w:vAlign w:val="bottom"/>
            <w:vMerge w:val="restart"/>
          </w:tcPr>
          <w:p>
            <w:pPr>
              <w:ind w:left="340"/>
              <w:spacing w:after="0"/>
              <w:rPr>
                <w:sz w:val="20"/>
                <w:szCs w:val="20"/>
                <w:color w:val="auto"/>
              </w:rPr>
            </w:pPr>
            <w:r>
              <w:rPr>
                <w:rFonts w:ascii="Arial" w:cs="Arial" w:eastAsia="Arial" w:hAnsi="Arial"/>
                <w:sz w:val="18"/>
                <w:szCs w:val="18"/>
                <w:color w:val="auto"/>
              </w:rPr>
              <w:t>Requirements</w:t>
            </w: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792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4"/>
        </w:trPr>
        <w:tc>
          <w:tcPr>
            <w:tcW w:w="7920" w:type="dxa"/>
            <w:vAlign w:val="bottom"/>
          </w:tcPr>
          <w:p>
            <w:pPr>
              <w:ind w:left="340"/>
              <w:spacing w:after="0"/>
              <w:rPr>
                <w:rFonts w:ascii="Arial" w:cs="Arial" w:eastAsia="Arial" w:hAnsi="Arial"/>
                <w:sz w:val="18"/>
                <w:szCs w:val="18"/>
                <w:color w:val="auto"/>
              </w:rPr>
            </w:pPr>
            <w:hyperlink w:anchor="page36">
              <w:r>
                <w:rPr>
                  <w:rFonts w:ascii="Arial" w:cs="Arial" w:eastAsia="Arial" w:hAnsi="Arial"/>
                  <w:sz w:val="18"/>
                  <w:szCs w:val="18"/>
                  <w:color w:val="auto"/>
                </w:rPr>
                <w:t>Shareholder Proposals and Nominations</w:t>
              </w:r>
            </w:hyperlink>
          </w:p>
        </w:tc>
        <w:tc>
          <w:tcPr>
            <w:tcW w:w="780" w:type="dxa"/>
            <w:vAlign w:val="bottom"/>
          </w:tcPr>
          <w:p>
            <w:pPr>
              <w:jc w:val="right"/>
              <w:spacing w:after="0"/>
              <w:rPr>
                <w:rFonts w:ascii="Arial" w:cs="Arial" w:eastAsia="Arial" w:hAnsi="Arial"/>
                <w:sz w:val="22"/>
                <w:szCs w:val="22"/>
                <w:color w:val="auto"/>
              </w:rPr>
            </w:pPr>
            <w:hyperlink w:anchor="page36">
              <w:r>
                <w:rPr>
                  <w:rFonts w:ascii="Arial" w:cs="Arial" w:eastAsia="Arial" w:hAnsi="Arial"/>
                  <w:sz w:val="22"/>
                  <w:szCs w:val="22"/>
                  <w:color w:val="auto"/>
                </w:rPr>
                <w:t>P32</w:t>
              </w:r>
            </w:hyperlink>
          </w:p>
        </w:tc>
        <w:tc>
          <w:tcPr>
            <w:tcW w:w="0" w:type="dxa"/>
            <w:vAlign w:val="bottom"/>
          </w:tcPr>
          <w:p>
            <w:pPr>
              <w:spacing w:after="0"/>
              <w:rPr>
                <w:sz w:val="1"/>
                <w:szCs w:val="1"/>
                <w:color w:val="auto"/>
              </w:rPr>
            </w:pPr>
          </w:p>
        </w:tc>
      </w:tr>
      <w:tr>
        <w:trPr>
          <w:trHeight w:val="297"/>
        </w:trPr>
        <w:tc>
          <w:tcPr>
            <w:tcW w:w="7920" w:type="dxa"/>
            <w:vAlign w:val="bottom"/>
          </w:tcPr>
          <w:p>
            <w:pPr>
              <w:spacing w:after="0"/>
              <w:rPr>
                <w:rFonts w:ascii="Arial" w:cs="Arial" w:eastAsia="Arial" w:hAnsi="Arial"/>
                <w:sz w:val="20"/>
                <w:szCs w:val="20"/>
                <w:b w:val="1"/>
                <w:bCs w:val="1"/>
                <w:color w:val="EE2724"/>
              </w:rPr>
            </w:pPr>
            <w:hyperlink w:anchor="page37">
              <w:r>
                <w:rPr>
                  <w:rFonts w:ascii="Arial" w:cs="Arial" w:eastAsia="Arial" w:hAnsi="Arial"/>
                  <w:sz w:val="20"/>
                  <w:szCs w:val="20"/>
                  <w:b w:val="1"/>
                  <w:bCs w:val="1"/>
                  <w:color w:val="EE2724"/>
                </w:rPr>
                <w:t>Ownership of Company Stock</w:t>
              </w:r>
            </w:hyperlink>
          </w:p>
        </w:tc>
        <w:tc>
          <w:tcPr>
            <w:tcW w:w="780" w:type="dxa"/>
            <w:vAlign w:val="bottom"/>
          </w:tcPr>
          <w:p>
            <w:pPr>
              <w:jc w:val="right"/>
              <w:spacing w:after="0"/>
              <w:rPr>
                <w:rFonts w:ascii="Arial" w:cs="Arial" w:eastAsia="Arial" w:hAnsi="Arial"/>
                <w:sz w:val="22"/>
                <w:szCs w:val="22"/>
                <w:color w:val="auto"/>
              </w:rPr>
            </w:pPr>
            <w:hyperlink w:anchor="page37">
              <w:r>
                <w:rPr>
                  <w:rFonts w:ascii="Arial" w:cs="Arial" w:eastAsia="Arial" w:hAnsi="Arial"/>
                  <w:sz w:val="22"/>
                  <w:szCs w:val="22"/>
                  <w:color w:val="auto"/>
                </w:rPr>
                <w:t>P33</w:t>
              </w:r>
            </w:hyperlink>
          </w:p>
        </w:tc>
        <w:tc>
          <w:tcPr>
            <w:tcW w:w="0" w:type="dxa"/>
            <w:vAlign w:val="bottom"/>
          </w:tcPr>
          <w:p>
            <w:pPr>
              <w:spacing w:after="0"/>
              <w:rPr>
                <w:sz w:val="1"/>
                <w:szCs w:val="1"/>
                <w:color w:val="auto"/>
              </w:rPr>
            </w:pPr>
          </w:p>
        </w:tc>
      </w:tr>
      <w:tr>
        <w:trPr>
          <w:trHeight w:val="297"/>
        </w:trPr>
        <w:tc>
          <w:tcPr>
            <w:tcW w:w="7920" w:type="dxa"/>
            <w:vAlign w:val="bottom"/>
          </w:tcPr>
          <w:p>
            <w:pPr>
              <w:spacing w:after="0"/>
              <w:rPr>
                <w:rFonts w:ascii="Arial" w:cs="Arial" w:eastAsia="Arial" w:hAnsi="Arial"/>
                <w:sz w:val="20"/>
                <w:szCs w:val="20"/>
                <w:b w:val="1"/>
                <w:bCs w:val="1"/>
                <w:color w:val="EE2724"/>
              </w:rPr>
            </w:pPr>
            <w:hyperlink w:anchor="page38">
              <w:r>
                <w:rPr>
                  <w:rFonts w:ascii="Arial" w:cs="Arial" w:eastAsia="Arial" w:hAnsi="Arial"/>
                  <w:sz w:val="20"/>
                  <w:szCs w:val="20"/>
                  <w:b w:val="1"/>
                  <w:bCs w:val="1"/>
                  <w:color w:val="EE2724"/>
                </w:rPr>
                <w:t>Compensation</w:t>
              </w:r>
            </w:hyperlink>
          </w:p>
        </w:tc>
        <w:tc>
          <w:tcPr>
            <w:tcW w:w="780" w:type="dxa"/>
            <w:vAlign w:val="bottom"/>
          </w:tcPr>
          <w:p>
            <w:pPr>
              <w:jc w:val="right"/>
              <w:spacing w:after="0"/>
              <w:rPr>
                <w:rFonts w:ascii="Arial" w:cs="Arial" w:eastAsia="Arial" w:hAnsi="Arial"/>
                <w:sz w:val="22"/>
                <w:szCs w:val="22"/>
                <w:color w:val="auto"/>
              </w:rPr>
            </w:pPr>
            <w:hyperlink w:anchor="page38">
              <w:r>
                <w:rPr>
                  <w:rFonts w:ascii="Arial" w:cs="Arial" w:eastAsia="Arial" w:hAnsi="Arial"/>
                  <w:sz w:val="22"/>
                  <w:szCs w:val="22"/>
                  <w:color w:val="auto"/>
                </w:rPr>
                <w:t>P34</w:t>
              </w:r>
            </w:hyperlink>
          </w:p>
        </w:tc>
        <w:tc>
          <w:tcPr>
            <w:tcW w:w="0" w:type="dxa"/>
            <w:vAlign w:val="bottom"/>
          </w:tcPr>
          <w:p>
            <w:pPr>
              <w:spacing w:after="0"/>
              <w:rPr>
                <w:sz w:val="1"/>
                <w:szCs w:val="1"/>
                <w:color w:val="auto"/>
              </w:rPr>
            </w:pPr>
          </w:p>
        </w:tc>
      </w:tr>
      <w:tr>
        <w:trPr>
          <w:trHeight w:val="297"/>
        </w:trPr>
        <w:tc>
          <w:tcPr>
            <w:tcW w:w="7920" w:type="dxa"/>
            <w:vAlign w:val="bottom"/>
          </w:tcPr>
          <w:p>
            <w:pPr>
              <w:ind w:left="340"/>
              <w:spacing w:after="0"/>
              <w:rPr>
                <w:rFonts w:ascii="Arial" w:cs="Arial" w:eastAsia="Arial" w:hAnsi="Arial"/>
                <w:sz w:val="18"/>
                <w:szCs w:val="18"/>
                <w:b w:val="1"/>
                <w:bCs w:val="1"/>
                <w:color w:val="auto"/>
              </w:rPr>
            </w:pPr>
            <w:hyperlink w:anchor="page38">
              <w:r>
                <w:rPr>
                  <w:rFonts w:ascii="Arial" w:cs="Arial" w:eastAsia="Arial" w:hAnsi="Arial"/>
                  <w:sz w:val="18"/>
                  <w:szCs w:val="18"/>
                  <w:b w:val="1"/>
                  <w:bCs w:val="1"/>
                  <w:color w:val="auto"/>
                </w:rPr>
                <w:t>Item 2 - Advisory Vote on Compensation Paid to Named Executive Officers</w:t>
              </w:r>
            </w:hyperlink>
          </w:p>
        </w:tc>
        <w:tc>
          <w:tcPr>
            <w:tcW w:w="780" w:type="dxa"/>
            <w:vAlign w:val="bottom"/>
          </w:tcPr>
          <w:p>
            <w:pPr>
              <w:jc w:val="right"/>
              <w:spacing w:after="0"/>
              <w:rPr>
                <w:rFonts w:ascii="Arial" w:cs="Arial" w:eastAsia="Arial" w:hAnsi="Arial"/>
                <w:sz w:val="22"/>
                <w:szCs w:val="22"/>
                <w:color w:val="auto"/>
              </w:rPr>
            </w:pPr>
            <w:hyperlink w:anchor="page38">
              <w:r>
                <w:rPr>
                  <w:rFonts w:ascii="Arial" w:cs="Arial" w:eastAsia="Arial" w:hAnsi="Arial"/>
                  <w:sz w:val="22"/>
                  <w:szCs w:val="22"/>
                  <w:color w:val="auto"/>
                </w:rPr>
                <w:t>P34</w:t>
              </w:r>
            </w:hyperlink>
          </w:p>
        </w:tc>
        <w:tc>
          <w:tcPr>
            <w:tcW w:w="0" w:type="dxa"/>
            <w:vAlign w:val="bottom"/>
          </w:tcPr>
          <w:p>
            <w:pPr>
              <w:spacing w:after="0"/>
              <w:rPr>
                <w:sz w:val="1"/>
                <w:szCs w:val="1"/>
                <w:color w:val="auto"/>
              </w:rPr>
            </w:pPr>
          </w:p>
        </w:tc>
      </w:tr>
      <w:tr>
        <w:trPr>
          <w:trHeight w:val="297"/>
        </w:trPr>
        <w:tc>
          <w:tcPr>
            <w:tcW w:w="7920" w:type="dxa"/>
            <w:vAlign w:val="bottom"/>
          </w:tcPr>
          <w:p>
            <w:pPr>
              <w:ind w:left="340"/>
              <w:spacing w:after="0"/>
              <w:rPr>
                <w:rFonts w:ascii="Arial" w:cs="Arial" w:eastAsia="Arial" w:hAnsi="Arial"/>
                <w:sz w:val="18"/>
                <w:szCs w:val="18"/>
                <w:color w:val="auto"/>
              </w:rPr>
            </w:pPr>
            <w:hyperlink w:anchor="page39">
              <w:r>
                <w:rPr>
                  <w:rFonts w:ascii="Arial" w:cs="Arial" w:eastAsia="Arial" w:hAnsi="Arial"/>
                  <w:sz w:val="18"/>
                  <w:szCs w:val="18"/>
                  <w:color w:val="auto"/>
                </w:rPr>
                <w:t>Compensation Discussion and Analysis</w:t>
              </w:r>
            </w:hyperlink>
          </w:p>
        </w:tc>
        <w:tc>
          <w:tcPr>
            <w:tcW w:w="780" w:type="dxa"/>
            <w:vAlign w:val="bottom"/>
          </w:tcPr>
          <w:p>
            <w:pPr>
              <w:jc w:val="right"/>
              <w:spacing w:after="0"/>
              <w:rPr>
                <w:rFonts w:ascii="Arial" w:cs="Arial" w:eastAsia="Arial" w:hAnsi="Arial"/>
                <w:sz w:val="22"/>
                <w:szCs w:val="22"/>
                <w:color w:val="auto"/>
              </w:rPr>
            </w:pPr>
            <w:hyperlink w:anchor="page39">
              <w:r>
                <w:rPr>
                  <w:rFonts w:ascii="Arial" w:cs="Arial" w:eastAsia="Arial" w:hAnsi="Arial"/>
                  <w:sz w:val="22"/>
                  <w:szCs w:val="22"/>
                  <w:color w:val="auto"/>
                </w:rPr>
                <w:t>P35</w:t>
              </w:r>
            </w:hyperlink>
          </w:p>
        </w:tc>
        <w:tc>
          <w:tcPr>
            <w:tcW w:w="0" w:type="dxa"/>
            <w:vAlign w:val="bottom"/>
          </w:tcPr>
          <w:p>
            <w:pPr>
              <w:spacing w:after="0"/>
              <w:rPr>
                <w:sz w:val="1"/>
                <w:szCs w:val="1"/>
                <w:color w:val="auto"/>
              </w:rPr>
            </w:pPr>
          </w:p>
        </w:tc>
      </w:tr>
      <w:tr>
        <w:trPr>
          <w:trHeight w:val="297"/>
        </w:trPr>
        <w:tc>
          <w:tcPr>
            <w:tcW w:w="7920" w:type="dxa"/>
            <w:vAlign w:val="bottom"/>
          </w:tcPr>
          <w:p>
            <w:pPr>
              <w:ind w:left="340"/>
              <w:spacing w:after="0"/>
              <w:rPr>
                <w:rFonts w:ascii="Arial" w:cs="Arial" w:eastAsia="Arial" w:hAnsi="Arial"/>
                <w:sz w:val="18"/>
                <w:szCs w:val="18"/>
                <w:color w:val="auto"/>
              </w:rPr>
            </w:pPr>
            <w:hyperlink w:anchor="page54">
              <w:r>
                <w:rPr>
                  <w:rFonts w:ascii="Arial" w:cs="Arial" w:eastAsia="Arial" w:hAnsi="Arial"/>
                  <w:sz w:val="18"/>
                  <w:szCs w:val="18"/>
                  <w:color w:val="auto"/>
                </w:rPr>
                <w:t>Executive Compensation</w:t>
              </w:r>
            </w:hyperlink>
          </w:p>
        </w:tc>
        <w:tc>
          <w:tcPr>
            <w:tcW w:w="780" w:type="dxa"/>
            <w:vAlign w:val="bottom"/>
          </w:tcPr>
          <w:p>
            <w:pPr>
              <w:jc w:val="right"/>
              <w:spacing w:after="0"/>
              <w:rPr>
                <w:rFonts w:ascii="Arial" w:cs="Arial" w:eastAsia="Arial" w:hAnsi="Arial"/>
                <w:sz w:val="22"/>
                <w:szCs w:val="22"/>
                <w:color w:val="auto"/>
              </w:rPr>
            </w:pPr>
            <w:hyperlink w:anchor="page54">
              <w:r>
                <w:rPr>
                  <w:rFonts w:ascii="Arial" w:cs="Arial" w:eastAsia="Arial" w:hAnsi="Arial"/>
                  <w:sz w:val="22"/>
                  <w:szCs w:val="22"/>
                  <w:color w:val="auto"/>
                </w:rPr>
                <w:t>P50</w:t>
              </w:r>
            </w:hyperlink>
          </w:p>
        </w:tc>
        <w:tc>
          <w:tcPr>
            <w:tcW w:w="0" w:type="dxa"/>
            <w:vAlign w:val="bottom"/>
          </w:tcPr>
          <w:p>
            <w:pPr>
              <w:spacing w:after="0"/>
              <w:rPr>
                <w:sz w:val="1"/>
                <w:szCs w:val="1"/>
                <w:color w:val="auto"/>
              </w:rPr>
            </w:pPr>
          </w:p>
        </w:tc>
      </w:tr>
      <w:tr>
        <w:trPr>
          <w:trHeight w:val="297"/>
        </w:trPr>
        <w:tc>
          <w:tcPr>
            <w:tcW w:w="7920" w:type="dxa"/>
            <w:vAlign w:val="bottom"/>
          </w:tcPr>
          <w:p>
            <w:pPr>
              <w:ind w:left="340"/>
              <w:spacing w:after="0"/>
              <w:rPr>
                <w:rFonts w:ascii="Arial" w:cs="Arial" w:eastAsia="Arial" w:hAnsi="Arial"/>
                <w:sz w:val="18"/>
                <w:szCs w:val="18"/>
                <w:color w:val="auto"/>
              </w:rPr>
            </w:pPr>
            <w:hyperlink w:anchor="page64">
              <w:r>
                <w:rPr>
                  <w:rFonts w:ascii="Arial" w:cs="Arial" w:eastAsia="Arial" w:hAnsi="Arial"/>
                  <w:sz w:val="18"/>
                  <w:szCs w:val="18"/>
                  <w:color w:val="auto"/>
                </w:rPr>
                <w:t>Compensation Committee Matters</w:t>
              </w:r>
            </w:hyperlink>
          </w:p>
        </w:tc>
        <w:tc>
          <w:tcPr>
            <w:tcW w:w="780" w:type="dxa"/>
            <w:vAlign w:val="bottom"/>
          </w:tcPr>
          <w:p>
            <w:pPr>
              <w:jc w:val="right"/>
              <w:spacing w:after="0"/>
              <w:rPr>
                <w:rFonts w:ascii="Arial" w:cs="Arial" w:eastAsia="Arial" w:hAnsi="Arial"/>
                <w:sz w:val="22"/>
                <w:szCs w:val="22"/>
                <w:color w:val="auto"/>
              </w:rPr>
            </w:pPr>
            <w:hyperlink w:anchor="page64">
              <w:r>
                <w:rPr>
                  <w:rFonts w:ascii="Arial" w:cs="Arial" w:eastAsia="Arial" w:hAnsi="Arial"/>
                  <w:sz w:val="22"/>
                  <w:szCs w:val="22"/>
                  <w:color w:val="auto"/>
                </w:rPr>
                <w:t>P60</w:t>
              </w:r>
            </w:hyperlink>
          </w:p>
        </w:tc>
        <w:tc>
          <w:tcPr>
            <w:tcW w:w="0" w:type="dxa"/>
            <w:vAlign w:val="bottom"/>
          </w:tcPr>
          <w:p>
            <w:pPr>
              <w:spacing w:after="0"/>
              <w:rPr>
                <w:sz w:val="1"/>
                <w:szCs w:val="1"/>
                <w:color w:val="auto"/>
              </w:rPr>
            </w:pPr>
          </w:p>
        </w:tc>
      </w:tr>
      <w:tr>
        <w:trPr>
          <w:trHeight w:val="297"/>
        </w:trPr>
        <w:tc>
          <w:tcPr>
            <w:tcW w:w="7920" w:type="dxa"/>
            <w:vAlign w:val="bottom"/>
          </w:tcPr>
          <w:p>
            <w:pPr>
              <w:spacing w:after="0"/>
              <w:rPr>
                <w:sz w:val="20"/>
                <w:szCs w:val="20"/>
                <w:color w:val="auto"/>
              </w:rPr>
            </w:pPr>
            <w:r>
              <w:rPr>
                <w:rFonts w:ascii="Arial" w:cs="Arial" w:eastAsia="Arial" w:hAnsi="Arial"/>
                <w:sz w:val="20"/>
                <w:szCs w:val="20"/>
                <w:b w:val="1"/>
                <w:bCs w:val="1"/>
                <w:color w:val="FF0000"/>
              </w:rPr>
              <w:t>Audit Matters</w:t>
            </w:r>
          </w:p>
        </w:tc>
        <w:tc>
          <w:tcPr>
            <w:tcW w:w="780" w:type="dxa"/>
            <w:vAlign w:val="bottom"/>
          </w:tcPr>
          <w:p>
            <w:pPr>
              <w:jc w:val="right"/>
              <w:spacing w:after="0"/>
              <w:rPr>
                <w:rFonts w:ascii="Arial" w:cs="Arial" w:eastAsia="Arial" w:hAnsi="Arial"/>
                <w:sz w:val="22"/>
                <w:szCs w:val="22"/>
                <w:color w:val="auto"/>
              </w:rPr>
            </w:pPr>
            <w:hyperlink w:anchor="page66">
              <w:r>
                <w:rPr>
                  <w:rFonts w:ascii="Arial" w:cs="Arial" w:eastAsia="Arial" w:hAnsi="Arial"/>
                  <w:sz w:val="22"/>
                  <w:szCs w:val="22"/>
                  <w:color w:val="auto"/>
                </w:rPr>
                <w:t>P62</w:t>
              </w:r>
            </w:hyperlink>
          </w:p>
        </w:tc>
        <w:tc>
          <w:tcPr>
            <w:tcW w:w="0" w:type="dxa"/>
            <w:vAlign w:val="bottom"/>
          </w:tcPr>
          <w:p>
            <w:pPr>
              <w:spacing w:after="0"/>
              <w:rPr>
                <w:sz w:val="1"/>
                <w:szCs w:val="1"/>
                <w:color w:val="auto"/>
              </w:rPr>
            </w:pPr>
          </w:p>
        </w:tc>
      </w:tr>
      <w:tr>
        <w:trPr>
          <w:trHeight w:val="297"/>
        </w:trPr>
        <w:tc>
          <w:tcPr>
            <w:tcW w:w="7920" w:type="dxa"/>
            <w:vAlign w:val="bottom"/>
          </w:tcPr>
          <w:p>
            <w:pPr>
              <w:ind w:left="340"/>
              <w:spacing w:after="0"/>
              <w:rPr>
                <w:sz w:val="20"/>
                <w:szCs w:val="20"/>
                <w:color w:val="auto"/>
              </w:rPr>
            </w:pPr>
            <w:r>
              <w:rPr>
                <w:rFonts w:ascii="Arial" w:cs="Arial" w:eastAsia="Arial" w:hAnsi="Arial"/>
                <w:sz w:val="18"/>
                <w:szCs w:val="18"/>
                <w:b w:val="1"/>
                <w:bCs w:val="1"/>
                <w:color w:val="auto"/>
              </w:rPr>
              <w:t>Item 3 - Proposal to Ratify the Appointment of Principal Independent Auditor</w:t>
            </w:r>
          </w:p>
        </w:tc>
        <w:tc>
          <w:tcPr>
            <w:tcW w:w="780" w:type="dxa"/>
            <w:vAlign w:val="bottom"/>
          </w:tcPr>
          <w:p>
            <w:pPr>
              <w:jc w:val="right"/>
              <w:spacing w:after="0"/>
              <w:rPr>
                <w:rFonts w:ascii="Arial" w:cs="Arial" w:eastAsia="Arial" w:hAnsi="Arial"/>
                <w:sz w:val="22"/>
                <w:szCs w:val="22"/>
                <w:color w:val="auto"/>
              </w:rPr>
            </w:pPr>
            <w:hyperlink w:anchor="page66">
              <w:r>
                <w:rPr>
                  <w:rFonts w:ascii="Arial" w:cs="Arial" w:eastAsia="Arial" w:hAnsi="Arial"/>
                  <w:sz w:val="22"/>
                  <w:szCs w:val="22"/>
                  <w:color w:val="auto"/>
                </w:rPr>
                <w:t>P62</w:t>
              </w:r>
            </w:hyperlink>
          </w:p>
        </w:tc>
        <w:tc>
          <w:tcPr>
            <w:tcW w:w="0" w:type="dxa"/>
            <w:vAlign w:val="bottom"/>
          </w:tcPr>
          <w:p>
            <w:pPr>
              <w:spacing w:after="0"/>
              <w:rPr>
                <w:sz w:val="1"/>
                <w:szCs w:val="1"/>
                <w:color w:val="auto"/>
              </w:rPr>
            </w:pPr>
          </w:p>
        </w:tc>
      </w:tr>
      <w:tr>
        <w:trPr>
          <w:trHeight w:val="297"/>
        </w:trPr>
        <w:tc>
          <w:tcPr>
            <w:tcW w:w="7920" w:type="dxa"/>
            <w:vAlign w:val="bottom"/>
          </w:tcPr>
          <w:p>
            <w:pPr>
              <w:spacing w:after="0"/>
              <w:rPr>
                <w:sz w:val="20"/>
                <w:szCs w:val="20"/>
                <w:color w:val="auto"/>
              </w:rPr>
            </w:pPr>
            <w:r>
              <w:rPr>
                <w:rFonts w:ascii="Arial" w:cs="Arial" w:eastAsia="Arial" w:hAnsi="Arial"/>
                <w:sz w:val="20"/>
                <w:szCs w:val="20"/>
                <w:b w:val="1"/>
                <w:bCs w:val="1"/>
                <w:color w:val="FF0000"/>
              </w:rPr>
              <w:t>Management Proposals</w:t>
            </w:r>
          </w:p>
        </w:tc>
        <w:tc>
          <w:tcPr>
            <w:tcW w:w="780" w:type="dxa"/>
            <w:vAlign w:val="bottom"/>
          </w:tcPr>
          <w:p>
            <w:pPr>
              <w:jc w:val="right"/>
              <w:spacing w:after="0"/>
              <w:rPr>
                <w:rFonts w:ascii="Arial" w:cs="Arial" w:eastAsia="Arial" w:hAnsi="Arial"/>
                <w:sz w:val="22"/>
                <w:szCs w:val="22"/>
                <w:color w:val="auto"/>
              </w:rPr>
            </w:pPr>
            <w:hyperlink w:anchor="page69">
              <w:r>
                <w:rPr>
                  <w:rFonts w:ascii="Arial" w:cs="Arial" w:eastAsia="Arial" w:hAnsi="Arial"/>
                  <w:sz w:val="22"/>
                  <w:szCs w:val="22"/>
                  <w:color w:val="auto"/>
                </w:rPr>
                <w:t>P65</w:t>
              </w:r>
            </w:hyperlink>
          </w:p>
        </w:tc>
        <w:tc>
          <w:tcPr>
            <w:tcW w:w="0" w:type="dxa"/>
            <w:vAlign w:val="bottom"/>
          </w:tcPr>
          <w:p>
            <w:pPr>
              <w:spacing w:after="0"/>
              <w:rPr>
                <w:sz w:val="1"/>
                <w:szCs w:val="1"/>
                <w:color w:val="auto"/>
              </w:rPr>
            </w:pPr>
          </w:p>
        </w:tc>
      </w:tr>
      <w:tr>
        <w:trPr>
          <w:trHeight w:val="301"/>
        </w:trPr>
        <w:tc>
          <w:tcPr>
            <w:tcW w:w="7920" w:type="dxa"/>
            <w:vAlign w:val="bottom"/>
          </w:tcPr>
          <w:p>
            <w:pPr>
              <w:ind w:left="320"/>
              <w:spacing w:after="0"/>
              <w:rPr>
                <w:rFonts w:ascii="Arial" w:cs="Arial" w:eastAsia="Arial" w:hAnsi="Arial"/>
                <w:sz w:val="18"/>
                <w:szCs w:val="18"/>
                <w:b w:val="1"/>
                <w:bCs w:val="1"/>
                <w:color w:val="auto"/>
              </w:rPr>
            </w:pPr>
            <w:hyperlink w:anchor="page69">
              <w:r>
                <w:rPr>
                  <w:rFonts w:ascii="Arial" w:cs="Arial" w:eastAsia="Arial" w:hAnsi="Arial"/>
                  <w:sz w:val="18"/>
                  <w:szCs w:val="18"/>
                  <w:b w:val="1"/>
                  <w:bCs w:val="1"/>
                  <w:color w:val="auto"/>
                </w:rPr>
                <w:t>Item 4 - Amend Articles of Incorporation to Eliminate the Classified Board Structure</w:t>
              </w:r>
            </w:hyperlink>
          </w:p>
        </w:tc>
        <w:tc>
          <w:tcPr>
            <w:tcW w:w="780" w:type="dxa"/>
            <w:vAlign w:val="bottom"/>
          </w:tcPr>
          <w:p>
            <w:pPr>
              <w:jc w:val="right"/>
              <w:spacing w:after="0"/>
              <w:rPr>
                <w:rFonts w:ascii="Arial" w:cs="Arial" w:eastAsia="Arial" w:hAnsi="Arial"/>
                <w:sz w:val="22"/>
                <w:szCs w:val="22"/>
                <w:color w:val="auto"/>
              </w:rPr>
            </w:pPr>
            <w:hyperlink w:anchor="page69">
              <w:r>
                <w:rPr>
                  <w:rFonts w:ascii="Arial" w:cs="Arial" w:eastAsia="Arial" w:hAnsi="Arial"/>
                  <w:sz w:val="22"/>
                  <w:szCs w:val="22"/>
                  <w:color w:val="auto"/>
                </w:rPr>
                <w:t>P65</w:t>
              </w:r>
            </w:hyperlink>
          </w:p>
        </w:tc>
        <w:tc>
          <w:tcPr>
            <w:tcW w:w="0" w:type="dxa"/>
            <w:vAlign w:val="bottom"/>
          </w:tcPr>
          <w:p>
            <w:pPr>
              <w:spacing w:after="0"/>
              <w:rPr>
                <w:sz w:val="1"/>
                <w:szCs w:val="1"/>
                <w:color w:val="auto"/>
              </w:rPr>
            </w:pPr>
          </w:p>
        </w:tc>
      </w:tr>
      <w:tr>
        <w:trPr>
          <w:trHeight w:val="297"/>
        </w:trPr>
        <w:tc>
          <w:tcPr>
            <w:tcW w:w="7920" w:type="dxa"/>
            <w:vAlign w:val="bottom"/>
          </w:tcPr>
          <w:p>
            <w:pPr>
              <w:ind w:left="320"/>
              <w:spacing w:after="0"/>
              <w:rPr>
                <w:rFonts w:ascii="Arial" w:cs="Arial" w:eastAsia="Arial" w:hAnsi="Arial"/>
                <w:sz w:val="18"/>
                <w:szCs w:val="18"/>
                <w:b w:val="1"/>
                <w:bCs w:val="1"/>
                <w:color w:val="auto"/>
              </w:rPr>
            </w:pPr>
            <w:hyperlink w:anchor="page70">
              <w:r>
                <w:rPr>
                  <w:rFonts w:ascii="Arial" w:cs="Arial" w:eastAsia="Arial" w:hAnsi="Arial"/>
                  <w:sz w:val="18"/>
                  <w:szCs w:val="18"/>
                  <w:b w:val="1"/>
                  <w:bCs w:val="1"/>
                  <w:color w:val="auto"/>
                </w:rPr>
                <w:t>Item 5 - Amend Articles of Incorporation to Eliminate Supermajority Voting Provisions</w:t>
              </w:r>
            </w:hyperlink>
          </w:p>
        </w:tc>
        <w:tc>
          <w:tcPr>
            <w:tcW w:w="780" w:type="dxa"/>
            <w:vAlign w:val="bottom"/>
          </w:tcPr>
          <w:p>
            <w:pPr>
              <w:jc w:val="right"/>
              <w:spacing w:after="0"/>
              <w:rPr>
                <w:rFonts w:ascii="Arial" w:cs="Arial" w:eastAsia="Arial" w:hAnsi="Arial"/>
                <w:sz w:val="22"/>
                <w:szCs w:val="22"/>
                <w:color w:val="auto"/>
              </w:rPr>
            </w:pPr>
            <w:hyperlink w:anchor="page70">
              <w:r>
                <w:rPr>
                  <w:rFonts w:ascii="Arial" w:cs="Arial" w:eastAsia="Arial" w:hAnsi="Arial"/>
                  <w:sz w:val="22"/>
                  <w:szCs w:val="22"/>
                  <w:color w:val="auto"/>
                </w:rPr>
                <w:t>P66</w:t>
              </w:r>
            </w:hyperlink>
          </w:p>
        </w:tc>
        <w:tc>
          <w:tcPr>
            <w:tcW w:w="0" w:type="dxa"/>
            <w:vAlign w:val="bottom"/>
          </w:tcPr>
          <w:p>
            <w:pPr>
              <w:spacing w:after="0"/>
              <w:rPr>
                <w:sz w:val="1"/>
                <w:szCs w:val="1"/>
                <w:color w:val="auto"/>
              </w:rPr>
            </w:pPr>
          </w:p>
        </w:tc>
      </w:tr>
      <w:tr>
        <w:trPr>
          <w:trHeight w:val="297"/>
        </w:trPr>
        <w:tc>
          <w:tcPr>
            <w:tcW w:w="7920" w:type="dxa"/>
            <w:vAlign w:val="bottom"/>
          </w:tcPr>
          <w:p>
            <w:pPr>
              <w:ind w:left="320"/>
              <w:spacing w:after="0"/>
              <w:rPr>
                <w:rFonts w:ascii="Arial" w:cs="Arial" w:eastAsia="Arial" w:hAnsi="Arial"/>
                <w:sz w:val="18"/>
                <w:szCs w:val="18"/>
                <w:b w:val="1"/>
                <w:bCs w:val="1"/>
                <w:color w:val="auto"/>
              </w:rPr>
            </w:pPr>
            <w:hyperlink w:anchor="page72">
              <w:r>
                <w:rPr>
                  <w:rFonts w:ascii="Arial" w:cs="Arial" w:eastAsia="Arial" w:hAnsi="Arial"/>
                  <w:sz w:val="18"/>
                  <w:szCs w:val="18"/>
                  <w:b w:val="1"/>
                  <w:bCs w:val="1"/>
                  <w:color w:val="auto"/>
                </w:rPr>
                <w:t>Item 6 - Approve the Amended and Restated 2002 Lilly Stock Plan</w:t>
              </w:r>
            </w:hyperlink>
          </w:p>
        </w:tc>
        <w:tc>
          <w:tcPr>
            <w:tcW w:w="780" w:type="dxa"/>
            <w:vAlign w:val="bottom"/>
          </w:tcPr>
          <w:p>
            <w:pPr>
              <w:jc w:val="right"/>
              <w:spacing w:after="0"/>
              <w:rPr>
                <w:rFonts w:ascii="Arial" w:cs="Arial" w:eastAsia="Arial" w:hAnsi="Arial"/>
                <w:sz w:val="22"/>
                <w:szCs w:val="22"/>
                <w:color w:val="auto"/>
              </w:rPr>
            </w:pPr>
            <w:hyperlink w:anchor="page72">
              <w:r>
                <w:rPr>
                  <w:rFonts w:ascii="Arial" w:cs="Arial" w:eastAsia="Arial" w:hAnsi="Arial"/>
                  <w:sz w:val="22"/>
                  <w:szCs w:val="22"/>
                  <w:color w:val="auto"/>
                </w:rPr>
                <w:t>P68</w:t>
              </w:r>
            </w:hyperlink>
          </w:p>
        </w:tc>
        <w:tc>
          <w:tcPr>
            <w:tcW w:w="0" w:type="dxa"/>
            <w:vAlign w:val="bottom"/>
          </w:tcPr>
          <w:p>
            <w:pPr>
              <w:spacing w:after="0"/>
              <w:rPr>
                <w:sz w:val="1"/>
                <w:szCs w:val="1"/>
                <w:color w:val="auto"/>
              </w:rPr>
            </w:pPr>
          </w:p>
        </w:tc>
      </w:tr>
      <w:tr>
        <w:trPr>
          <w:trHeight w:val="294"/>
        </w:trPr>
        <w:tc>
          <w:tcPr>
            <w:tcW w:w="7920" w:type="dxa"/>
            <w:vAlign w:val="bottom"/>
          </w:tcPr>
          <w:p>
            <w:pPr>
              <w:spacing w:after="0"/>
              <w:rPr>
                <w:rFonts w:ascii="Arial" w:cs="Arial" w:eastAsia="Arial" w:hAnsi="Arial"/>
                <w:sz w:val="20"/>
                <w:szCs w:val="20"/>
                <w:b w:val="1"/>
                <w:bCs w:val="1"/>
                <w:color w:val="FF0000"/>
              </w:rPr>
            </w:pPr>
            <w:hyperlink w:anchor="page81">
              <w:r>
                <w:rPr>
                  <w:rFonts w:ascii="Arial" w:cs="Arial" w:eastAsia="Arial" w:hAnsi="Arial"/>
                  <w:sz w:val="20"/>
                  <w:szCs w:val="20"/>
                  <w:b w:val="1"/>
                  <w:bCs w:val="1"/>
                  <w:color w:val="FF0000"/>
                </w:rPr>
                <w:t>Shareholder Proposals</w:t>
              </w:r>
            </w:hyperlink>
          </w:p>
        </w:tc>
        <w:tc>
          <w:tcPr>
            <w:tcW w:w="780" w:type="dxa"/>
            <w:vAlign w:val="bottom"/>
          </w:tcPr>
          <w:p>
            <w:pPr>
              <w:jc w:val="right"/>
              <w:spacing w:after="0"/>
              <w:rPr>
                <w:rFonts w:ascii="Arial" w:cs="Arial" w:eastAsia="Arial" w:hAnsi="Arial"/>
                <w:sz w:val="22"/>
                <w:szCs w:val="22"/>
                <w:color w:val="auto"/>
              </w:rPr>
            </w:pPr>
            <w:hyperlink w:anchor="page81">
              <w:r>
                <w:rPr>
                  <w:rFonts w:ascii="Arial" w:cs="Arial" w:eastAsia="Arial" w:hAnsi="Arial"/>
                  <w:sz w:val="22"/>
                  <w:szCs w:val="22"/>
                  <w:color w:val="auto"/>
                </w:rPr>
                <w:t>P77</w:t>
              </w:r>
            </w:hyperlink>
          </w:p>
        </w:tc>
        <w:tc>
          <w:tcPr>
            <w:tcW w:w="0" w:type="dxa"/>
            <w:vAlign w:val="bottom"/>
          </w:tcPr>
          <w:p>
            <w:pPr>
              <w:spacing w:after="0"/>
              <w:rPr>
                <w:sz w:val="1"/>
                <w:szCs w:val="1"/>
                <w:color w:val="auto"/>
              </w:rPr>
            </w:pPr>
          </w:p>
        </w:tc>
      </w:tr>
      <w:tr>
        <w:trPr>
          <w:trHeight w:val="297"/>
        </w:trPr>
        <w:tc>
          <w:tcPr>
            <w:tcW w:w="7920" w:type="dxa"/>
            <w:vAlign w:val="bottom"/>
          </w:tcPr>
          <w:p>
            <w:pPr>
              <w:ind w:left="320"/>
              <w:spacing w:after="0"/>
              <w:rPr>
                <w:rFonts w:ascii="Arial" w:cs="Arial" w:eastAsia="Arial" w:hAnsi="Arial"/>
                <w:sz w:val="18"/>
                <w:szCs w:val="18"/>
                <w:b w:val="1"/>
                <w:bCs w:val="1"/>
                <w:color w:val="auto"/>
              </w:rPr>
            </w:pPr>
            <w:hyperlink w:anchor="page81">
              <w:r>
                <w:rPr>
                  <w:rFonts w:ascii="Arial" w:cs="Arial" w:eastAsia="Arial" w:hAnsi="Arial"/>
                  <w:sz w:val="18"/>
                  <w:szCs w:val="18"/>
                  <w:b w:val="1"/>
                  <w:bCs w:val="1"/>
                  <w:color w:val="auto"/>
                </w:rPr>
                <w:t>Item 7 - Seeking Support for the Descheduling of Cannabis</w:t>
              </w:r>
            </w:hyperlink>
          </w:p>
        </w:tc>
        <w:tc>
          <w:tcPr>
            <w:tcW w:w="780" w:type="dxa"/>
            <w:vAlign w:val="bottom"/>
          </w:tcPr>
          <w:p>
            <w:pPr>
              <w:jc w:val="right"/>
              <w:spacing w:after="0"/>
              <w:rPr>
                <w:rFonts w:ascii="Arial" w:cs="Arial" w:eastAsia="Arial" w:hAnsi="Arial"/>
                <w:sz w:val="22"/>
                <w:szCs w:val="22"/>
                <w:color w:val="auto"/>
              </w:rPr>
            </w:pPr>
            <w:hyperlink w:anchor="page81">
              <w:r>
                <w:rPr>
                  <w:rFonts w:ascii="Arial" w:cs="Arial" w:eastAsia="Arial" w:hAnsi="Arial"/>
                  <w:sz w:val="22"/>
                  <w:szCs w:val="22"/>
                  <w:color w:val="auto"/>
                </w:rPr>
                <w:t>P77</w:t>
              </w:r>
            </w:hyperlink>
          </w:p>
        </w:tc>
        <w:tc>
          <w:tcPr>
            <w:tcW w:w="0" w:type="dxa"/>
            <w:vAlign w:val="bottom"/>
          </w:tcPr>
          <w:p>
            <w:pPr>
              <w:spacing w:after="0"/>
              <w:rPr>
                <w:sz w:val="1"/>
                <w:szCs w:val="1"/>
                <w:color w:val="auto"/>
              </w:rPr>
            </w:pPr>
          </w:p>
        </w:tc>
      </w:tr>
      <w:tr>
        <w:trPr>
          <w:trHeight w:val="297"/>
        </w:trPr>
        <w:tc>
          <w:tcPr>
            <w:tcW w:w="7920" w:type="dxa"/>
            <w:vAlign w:val="bottom"/>
          </w:tcPr>
          <w:p>
            <w:pPr>
              <w:ind w:left="320"/>
              <w:spacing w:after="0"/>
              <w:rPr>
                <w:rFonts w:ascii="Arial" w:cs="Arial" w:eastAsia="Arial" w:hAnsi="Arial"/>
                <w:sz w:val="18"/>
                <w:szCs w:val="18"/>
                <w:b w:val="1"/>
                <w:bCs w:val="1"/>
                <w:color w:val="auto"/>
              </w:rPr>
            </w:pPr>
            <w:hyperlink w:anchor="page82">
              <w:r>
                <w:rPr>
                  <w:rFonts w:ascii="Arial" w:cs="Arial" w:eastAsia="Arial" w:hAnsi="Arial"/>
                  <w:sz w:val="18"/>
                  <w:szCs w:val="18"/>
                  <w:b w:val="1"/>
                  <w:bCs w:val="1"/>
                  <w:color w:val="auto"/>
                </w:rPr>
                <w:t>Item 8 - Requesting Report Regarding Direct and Indirect Political Contributions</w:t>
              </w:r>
            </w:hyperlink>
          </w:p>
        </w:tc>
        <w:tc>
          <w:tcPr>
            <w:tcW w:w="780" w:type="dxa"/>
            <w:vAlign w:val="bottom"/>
          </w:tcPr>
          <w:p>
            <w:pPr>
              <w:jc w:val="right"/>
              <w:spacing w:after="0"/>
              <w:rPr>
                <w:rFonts w:ascii="Arial" w:cs="Arial" w:eastAsia="Arial" w:hAnsi="Arial"/>
                <w:sz w:val="22"/>
                <w:szCs w:val="22"/>
                <w:color w:val="auto"/>
              </w:rPr>
            </w:pPr>
            <w:hyperlink w:anchor="page82">
              <w:r>
                <w:rPr>
                  <w:rFonts w:ascii="Arial" w:cs="Arial" w:eastAsia="Arial" w:hAnsi="Arial"/>
                  <w:sz w:val="22"/>
                  <w:szCs w:val="22"/>
                  <w:color w:val="auto"/>
                </w:rPr>
                <w:t>P78</w:t>
              </w:r>
            </w:hyperlink>
          </w:p>
        </w:tc>
        <w:tc>
          <w:tcPr>
            <w:tcW w:w="0" w:type="dxa"/>
            <w:vAlign w:val="bottom"/>
          </w:tcPr>
          <w:p>
            <w:pPr>
              <w:spacing w:after="0"/>
              <w:rPr>
                <w:sz w:val="1"/>
                <w:szCs w:val="1"/>
                <w:color w:val="auto"/>
              </w:rPr>
            </w:pPr>
          </w:p>
        </w:tc>
      </w:tr>
      <w:tr>
        <w:trPr>
          <w:trHeight w:val="224"/>
        </w:trPr>
        <w:tc>
          <w:tcPr>
            <w:tcW w:w="7920" w:type="dxa"/>
            <w:vAlign w:val="bottom"/>
          </w:tcPr>
          <w:p>
            <w:pPr>
              <w:ind w:left="320"/>
              <w:spacing w:after="0"/>
              <w:rPr>
                <w:rFonts w:ascii="Arial" w:cs="Arial" w:eastAsia="Arial" w:hAnsi="Arial"/>
                <w:sz w:val="18"/>
                <w:szCs w:val="18"/>
                <w:b w:val="1"/>
                <w:bCs w:val="1"/>
                <w:color w:val="auto"/>
              </w:rPr>
            </w:pPr>
            <w:hyperlink w:anchor="page84">
              <w:r>
                <w:rPr>
                  <w:rFonts w:ascii="Arial" w:cs="Arial" w:eastAsia="Arial" w:hAnsi="Arial"/>
                  <w:sz w:val="18"/>
                  <w:szCs w:val="18"/>
                  <w:b w:val="1"/>
                  <w:bCs w:val="1"/>
                  <w:color w:val="auto"/>
                </w:rPr>
                <w:t>Item 9 - Requesting Report on Policies and Practices Regarding Contract Animal</w:t>
              </w:r>
            </w:hyperlink>
          </w:p>
        </w:tc>
        <w:tc>
          <w:tcPr>
            <w:tcW w:w="780" w:type="dxa"/>
            <w:vAlign w:val="bottom"/>
            <w:vMerge w:val="restart"/>
          </w:tcPr>
          <w:p>
            <w:pPr>
              <w:jc w:val="right"/>
              <w:spacing w:after="0"/>
              <w:rPr>
                <w:rFonts w:ascii="Arial" w:cs="Arial" w:eastAsia="Arial" w:hAnsi="Arial"/>
                <w:sz w:val="22"/>
                <w:szCs w:val="22"/>
                <w:color w:val="auto"/>
              </w:rPr>
            </w:pPr>
            <w:hyperlink w:anchor="page84">
              <w:r>
                <w:rPr>
                  <w:rFonts w:ascii="Arial" w:cs="Arial" w:eastAsia="Arial" w:hAnsi="Arial"/>
                  <w:sz w:val="22"/>
                  <w:szCs w:val="22"/>
                  <w:color w:val="auto"/>
                </w:rPr>
                <w:t>P80</w:t>
              </w:r>
            </w:hyperlink>
          </w:p>
        </w:tc>
        <w:tc>
          <w:tcPr>
            <w:tcW w:w="0" w:type="dxa"/>
            <w:vAlign w:val="bottom"/>
          </w:tcPr>
          <w:p>
            <w:pPr>
              <w:spacing w:after="0"/>
              <w:rPr>
                <w:sz w:val="1"/>
                <w:szCs w:val="1"/>
                <w:color w:val="auto"/>
              </w:rPr>
            </w:pPr>
          </w:p>
        </w:tc>
      </w:tr>
      <w:tr>
        <w:trPr>
          <w:trHeight w:val="154"/>
        </w:trPr>
        <w:tc>
          <w:tcPr>
            <w:tcW w:w="7920" w:type="dxa"/>
            <w:vAlign w:val="bottom"/>
            <w:vMerge w:val="restart"/>
          </w:tcPr>
          <w:p>
            <w:pPr>
              <w:ind w:left="320"/>
              <w:spacing w:after="0"/>
              <w:rPr>
                <w:rFonts w:ascii="Arial" w:cs="Arial" w:eastAsia="Arial" w:hAnsi="Arial"/>
                <w:sz w:val="18"/>
                <w:szCs w:val="18"/>
                <w:b w:val="1"/>
                <w:bCs w:val="1"/>
                <w:color w:val="auto"/>
              </w:rPr>
            </w:pPr>
            <w:hyperlink w:anchor="page84">
              <w:r>
                <w:rPr>
                  <w:rFonts w:ascii="Arial" w:cs="Arial" w:eastAsia="Arial" w:hAnsi="Arial"/>
                  <w:sz w:val="18"/>
                  <w:szCs w:val="18"/>
                  <w:b w:val="1"/>
                  <w:bCs w:val="1"/>
                  <w:color w:val="auto"/>
                </w:rPr>
                <w:t>Laboratories</w:t>
              </w:r>
            </w:hyperlink>
          </w:p>
        </w:tc>
        <w:tc>
          <w:tcPr>
            <w:tcW w:w="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5"/>
        </w:trPr>
        <w:tc>
          <w:tcPr>
            <w:tcW w:w="792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7920" w:type="dxa"/>
            <w:vAlign w:val="bottom"/>
          </w:tcPr>
          <w:p>
            <w:pPr>
              <w:ind w:left="320"/>
              <w:spacing w:after="0"/>
              <w:rPr>
                <w:rFonts w:ascii="Arial" w:cs="Arial" w:eastAsia="Arial" w:hAnsi="Arial"/>
                <w:sz w:val="18"/>
                <w:szCs w:val="18"/>
                <w:b w:val="1"/>
                <w:bCs w:val="1"/>
                <w:color w:val="auto"/>
              </w:rPr>
            </w:pPr>
            <w:hyperlink w:anchor="page86">
              <w:r>
                <w:rPr>
                  <w:rFonts w:ascii="Arial" w:cs="Arial" w:eastAsia="Arial" w:hAnsi="Arial"/>
                  <w:sz w:val="18"/>
                  <w:szCs w:val="18"/>
                  <w:b w:val="1"/>
                  <w:bCs w:val="1"/>
                  <w:color w:val="auto"/>
                </w:rPr>
                <w:t>Item 10 - Requesting Report on Extent to Which Risks Related to Public Concern Over</w:t>
              </w:r>
            </w:hyperlink>
          </w:p>
        </w:tc>
        <w:tc>
          <w:tcPr>
            <w:tcW w:w="780" w:type="dxa"/>
            <w:vAlign w:val="bottom"/>
            <w:vMerge w:val="restart"/>
          </w:tcPr>
          <w:p>
            <w:pPr>
              <w:jc w:val="right"/>
              <w:spacing w:after="0"/>
              <w:rPr>
                <w:rFonts w:ascii="Arial" w:cs="Arial" w:eastAsia="Arial" w:hAnsi="Arial"/>
                <w:sz w:val="22"/>
                <w:szCs w:val="22"/>
                <w:color w:val="auto"/>
              </w:rPr>
            </w:pPr>
            <w:hyperlink w:anchor="page86">
              <w:r>
                <w:rPr>
                  <w:rFonts w:ascii="Arial" w:cs="Arial" w:eastAsia="Arial" w:hAnsi="Arial"/>
                  <w:sz w:val="22"/>
                  <w:szCs w:val="22"/>
                  <w:color w:val="auto"/>
                </w:rPr>
                <w:t>P82</w:t>
              </w:r>
            </w:hyperlink>
          </w:p>
        </w:tc>
        <w:tc>
          <w:tcPr>
            <w:tcW w:w="0" w:type="dxa"/>
            <w:vAlign w:val="bottom"/>
          </w:tcPr>
          <w:p>
            <w:pPr>
              <w:spacing w:after="0"/>
              <w:rPr>
                <w:sz w:val="1"/>
                <w:szCs w:val="1"/>
                <w:color w:val="auto"/>
              </w:rPr>
            </w:pPr>
          </w:p>
        </w:tc>
      </w:tr>
      <w:tr>
        <w:trPr>
          <w:trHeight w:val="154"/>
        </w:trPr>
        <w:tc>
          <w:tcPr>
            <w:tcW w:w="7920" w:type="dxa"/>
            <w:vAlign w:val="bottom"/>
            <w:vMerge w:val="restart"/>
          </w:tcPr>
          <w:p>
            <w:pPr>
              <w:ind w:left="320"/>
              <w:spacing w:after="0"/>
              <w:rPr>
                <w:rFonts w:ascii="Arial" w:cs="Arial" w:eastAsia="Arial" w:hAnsi="Arial"/>
                <w:sz w:val="18"/>
                <w:szCs w:val="18"/>
                <w:b w:val="1"/>
                <w:bCs w:val="1"/>
                <w:color w:val="auto"/>
              </w:rPr>
            </w:pPr>
            <w:hyperlink w:anchor="page86">
              <w:r>
                <w:rPr>
                  <w:rFonts w:ascii="Arial" w:cs="Arial" w:eastAsia="Arial" w:hAnsi="Arial"/>
                  <w:sz w:val="18"/>
                  <w:szCs w:val="18"/>
                  <w:b w:val="1"/>
                  <w:bCs w:val="1"/>
                  <w:color w:val="auto"/>
                </w:rPr>
                <w:t>Drug Pricing Strategies are Integrated into Incentive Compensation Arrangements</w:t>
              </w:r>
            </w:hyperlink>
          </w:p>
        </w:tc>
        <w:tc>
          <w:tcPr>
            <w:tcW w:w="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5"/>
        </w:trPr>
        <w:tc>
          <w:tcPr>
            <w:tcW w:w="792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4"/>
        </w:trPr>
        <w:tc>
          <w:tcPr>
            <w:tcW w:w="7920" w:type="dxa"/>
            <w:vAlign w:val="bottom"/>
          </w:tcPr>
          <w:p>
            <w:pPr>
              <w:spacing w:after="0"/>
              <w:rPr>
                <w:rFonts w:ascii="Arial" w:cs="Arial" w:eastAsia="Arial" w:hAnsi="Arial"/>
                <w:sz w:val="20"/>
                <w:szCs w:val="20"/>
                <w:b w:val="1"/>
                <w:bCs w:val="1"/>
                <w:color w:val="FF0000"/>
              </w:rPr>
            </w:pPr>
            <w:hyperlink w:anchor="page87">
              <w:r>
                <w:rPr>
                  <w:rFonts w:ascii="Arial" w:cs="Arial" w:eastAsia="Arial" w:hAnsi="Arial"/>
                  <w:sz w:val="20"/>
                  <w:szCs w:val="20"/>
                  <w:b w:val="1"/>
                  <w:bCs w:val="1"/>
                  <w:color w:val="FF0000"/>
                </w:rPr>
                <w:t>Other Information</w:t>
              </w:r>
            </w:hyperlink>
          </w:p>
        </w:tc>
        <w:tc>
          <w:tcPr>
            <w:tcW w:w="780" w:type="dxa"/>
            <w:vAlign w:val="bottom"/>
          </w:tcPr>
          <w:p>
            <w:pPr>
              <w:jc w:val="right"/>
              <w:spacing w:after="0"/>
              <w:rPr>
                <w:rFonts w:ascii="Arial" w:cs="Arial" w:eastAsia="Arial" w:hAnsi="Arial"/>
                <w:sz w:val="22"/>
                <w:szCs w:val="22"/>
                <w:color w:val="auto"/>
              </w:rPr>
            </w:pPr>
            <w:hyperlink w:anchor="page87">
              <w:r>
                <w:rPr>
                  <w:rFonts w:ascii="Arial" w:cs="Arial" w:eastAsia="Arial" w:hAnsi="Arial"/>
                  <w:sz w:val="22"/>
                  <w:szCs w:val="22"/>
                  <w:color w:val="auto"/>
                </w:rPr>
                <w:t>P83</w:t>
              </w:r>
            </w:hyperlink>
          </w:p>
        </w:tc>
        <w:tc>
          <w:tcPr>
            <w:tcW w:w="0" w:type="dxa"/>
            <w:vAlign w:val="bottom"/>
          </w:tcPr>
          <w:p>
            <w:pPr>
              <w:spacing w:after="0"/>
              <w:rPr>
                <w:sz w:val="1"/>
                <w:szCs w:val="1"/>
                <w:color w:val="auto"/>
              </w:rPr>
            </w:pPr>
          </w:p>
        </w:tc>
      </w:tr>
      <w:tr>
        <w:trPr>
          <w:trHeight w:val="297"/>
        </w:trPr>
        <w:tc>
          <w:tcPr>
            <w:tcW w:w="7920" w:type="dxa"/>
            <w:vAlign w:val="bottom"/>
          </w:tcPr>
          <w:p>
            <w:pPr>
              <w:ind w:left="340"/>
              <w:spacing w:after="0"/>
              <w:rPr>
                <w:rFonts w:ascii="Arial" w:cs="Arial" w:eastAsia="Arial" w:hAnsi="Arial"/>
                <w:sz w:val="18"/>
                <w:szCs w:val="18"/>
                <w:color w:val="auto"/>
              </w:rPr>
            </w:pPr>
            <w:hyperlink w:anchor="page87">
              <w:r>
                <w:rPr>
                  <w:rFonts w:ascii="Arial" w:cs="Arial" w:eastAsia="Arial" w:hAnsi="Arial"/>
                  <w:sz w:val="18"/>
                  <w:szCs w:val="18"/>
                  <w:color w:val="auto"/>
                </w:rPr>
                <w:t>Meeting and Voting Logistics</w:t>
              </w:r>
            </w:hyperlink>
          </w:p>
        </w:tc>
        <w:tc>
          <w:tcPr>
            <w:tcW w:w="780" w:type="dxa"/>
            <w:vAlign w:val="bottom"/>
          </w:tcPr>
          <w:p>
            <w:pPr>
              <w:jc w:val="right"/>
              <w:spacing w:after="0"/>
              <w:rPr>
                <w:rFonts w:ascii="Arial" w:cs="Arial" w:eastAsia="Arial" w:hAnsi="Arial"/>
                <w:sz w:val="22"/>
                <w:szCs w:val="22"/>
                <w:color w:val="auto"/>
              </w:rPr>
            </w:pPr>
            <w:hyperlink w:anchor="page87">
              <w:r>
                <w:rPr>
                  <w:rFonts w:ascii="Arial" w:cs="Arial" w:eastAsia="Arial" w:hAnsi="Arial"/>
                  <w:sz w:val="22"/>
                  <w:szCs w:val="22"/>
                  <w:color w:val="auto"/>
                </w:rPr>
                <w:t>P83</w:t>
              </w:r>
            </w:hyperlink>
          </w:p>
        </w:tc>
        <w:tc>
          <w:tcPr>
            <w:tcW w:w="0" w:type="dxa"/>
            <w:vAlign w:val="bottom"/>
          </w:tcPr>
          <w:p>
            <w:pPr>
              <w:spacing w:after="0"/>
              <w:rPr>
                <w:sz w:val="1"/>
                <w:szCs w:val="1"/>
                <w:color w:val="auto"/>
              </w:rPr>
            </w:pPr>
          </w:p>
        </w:tc>
      </w:tr>
      <w:tr>
        <w:trPr>
          <w:trHeight w:val="297"/>
        </w:trPr>
        <w:tc>
          <w:tcPr>
            <w:tcW w:w="7920" w:type="dxa"/>
            <w:vAlign w:val="bottom"/>
          </w:tcPr>
          <w:p>
            <w:pPr>
              <w:ind w:left="340"/>
              <w:spacing w:after="0"/>
              <w:rPr>
                <w:rFonts w:ascii="Arial" w:cs="Arial" w:eastAsia="Arial" w:hAnsi="Arial"/>
                <w:sz w:val="18"/>
                <w:szCs w:val="18"/>
                <w:color w:val="auto"/>
              </w:rPr>
            </w:pPr>
            <w:hyperlink w:anchor="page90">
              <w:r>
                <w:rPr>
                  <w:rFonts w:ascii="Arial" w:cs="Arial" w:eastAsia="Arial" w:hAnsi="Arial"/>
                  <w:sz w:val="18"/>
                  <w:szCs w:val="18"/>
                  <w:color w:val="auto"/>
                </w:rPr>
                <w:t>Other Matters</w:t>
              </w:r>
            </w:hyperlink>
          </w:p>
        </w:tc>
        <w:tc>
          <w:tcPr>
            <w:tcW w:w="780" w:type="dxa"/>
            <w:vAlign w:val="bottom"/>
          </w:tcPr>
          <w:p>
            <w:pPr>
              <w:jc w:val="right"/>
              <w:spacing w:after="0"/>
              <w:rPr>
                <w:rFonts w:ascii="Arial" w:cs="Arial" w:eastAsia="Arial" w:hAnsi="Arial"/>
                <w:sz w:val="22"/>
                <w:szCs w:val="22"/>
                <w:color w:val="auto"/>
              </w:rPr>
            </w:pPr>
            <w:hyperlink w:anchor="page90">
              <w:r>
                <w:rPr>
                  <w:rFonts w:ascii="Arial" w:cs="Arial" w:eastAsia="Arial" w:hAnsi="Arial"/>
                  <w:sz w:val="22"/>
                  <w:szCs w:val="22"/>
                  <w:color w:val="auto"/>
                </w:rPr>
                <w:t>P86</w:t>
              </w:r>
            </w:hyperlink>
          </w:p>
        </w:tc>
        <w:tc>
          <w:tcPr>
            <w:tcW w:w="0" w:type="dxa"/>
            <w:vAlign w:val="bottom"/>
          </w:tcPr>
          <w:p>
            <w:pPr>
              <w:spacing w:after="0"/>
              <w:rPr>
                <w:sz w:val="1"/>
                <w:szCs w:val="1"/>
                <w:color w:val="auto"/>
              </w:rPr>
            </w:pPr>
          </w:p>
        </w:tc>
      </w:tr>
      <w:tr>
        <w:trPr>
          <w:trHeight w:val="233"/>
        </w:trPr>
        <w:tc>
          <w:tcPr>
            <w:tcW w:w="7920" w:type="dxa"/>
            <w:vAlign w:val="bottom"/>
          </w:tcPr>
          <w:p>
            <w:pPr>
              <w:spacing w:after="0"/>
              <w:rPr>
                <w:rFonts w:ascii="Arial" w:cs="Arial" w:eastAsia="Arial" w:hAnsi="Arial"/>
                <w:sz w:val="20"/>
                <w:szCs w:val="20"/>
                <w:b w:val="1"/>
                <w:bCs w:val="1"/>
                <w:color w:val="FF0000"/>
              </w:rPr>
            </w:pPr>
            <w:hyperlink w:anchor="page91">
              <w:r>
                <w:rPr>
                  <w:rFonts w:ascii="Arial" w:cs="Arial" w:eastAsia="Arial" w:hAnsi="Arial"/>
                  <w:sz w:val="20"/>
                  <w:szCs w:val="20"/>
                  <w:b w:val="1"/>
                  <w:bCs w:val="1"/>
                  <w:color w:val="FF0000"/>
                </w:rPr>
                <w:t>Appendix A - Summary of Adjustments Related to the Annual Cash Bonus and</w:t>
              </w:r>
            </w:hyperlink>
          </w:p>
        </w:tc>
        <w:tc>
          <w:tcPr>
            <w:tcW w:w="780" w:type="dxa"/>
            <w:vAlign w:val="bottom"/>
            <w:vMerge w:val="restart"/>
          </w:tcPr>
          <w:p>
            <w:pPr>
              <w:jc w:val="right"/>
              <w:spacing w:after="0"/>
              <w:rPr>
                <w:rFonts w:ascii="Arial" w:cs="Arial" w:eastAsia="Arial" w:hAnsi="Arial"/>
                <w:sz w:val="22"/>
                <w:szCs w:val="22"/>
                <w:color w:val="auto"/>
              </w:rPr>
            </w:pPr>
            <w:hyperlink w:anchor="page91">
              <w:r>
                <w:rPr>
                  <w:rFonts w:ascii="Arial" w:cs="Arial" w:eastAsia="Arial" w:hAnsi="Arial"/>
                  <w:sz w:val="22"/>
                  <w:szCs w:val="22"/>
                  <w:color w:val="auto"/>
                </w:rPr>
                <w:t>P87</w:t>
              </w:r>
            </w:hyperlink>
          </w:p>
        </w:tc>
        <w:tc>
          <w:tcPr>
            <w:tcW w:w="0" w:type="dxa"/>
            <w:vAlign w:val="bottom"/>
          </w:tcPr>
          <w:p>
            <w:pPr>
              <w:spacing w:after="0"/>
              <w:rPr>
                <w:sz w:val="1"/>
                <w:szCs w:val="1"/>
                <w:color w:val="auto"/>
              </w:rPr>
            </w:pPr>
          </w:p>
        </w:tc>
      </w:tr>
      <w:tr>
        <w:trPr>
          <w:trHeight w:val="159"/>
        </w:trPr>
        <w:tc>
          <w:tcPr>
            <w:tcW w:w="7920" w:type="dxa"/>
            <w:vAlign w:val="bottom"/>
            <w:vMerge w:val="restart"/>
          </w:tcPr>
          <w:p>
            <w:pPr>
              <w:spacing w:after="0"/>
              <w:rPr>
                <w:rFonts w:ascii="Arial" w:cs="Arial" w:eastAsia="Arial" w:hAnsi="Arial"/>
                <w:sz w:val="20"/>
                <w:szCs w:val="20"/>
                <w:b w:val="1"/>
                <w:bCs w:val="1"/>
                <w:color w:val="FF0000"/>
              </w:rPr>
            </w:pPr>
            <w:hyperlink w:anchor="page91">
              <w:r>
                <w:rPr>
                  <w:rFonts w:ascii="Arial" w:cs="Arial" w:eastAsia="Arial" w:hAnsi="Arial"/>
                  <w:sz w:val="20"/>
                  <w:szCs w:val="20"/>
                  <w:b w:val="1"/>
                  <w:bCs w:val="1"/>
                  <w:color w:val="FF0000"/>
                </w:rPr>
                <w:t>Performance Award</w:t>
              </w:r>
            </w:hyperlink>
          </w:p>
        </w:tc>
        <w:tc>
          <w:tcPr>
            <w:tcW w:w="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7920" w:type="dxa"/>
            <w:vAlign w:val="bottom"/>
            <w:vMerge w:val="continue"/>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7920" w:type="dxa"/>
            <w:vAlign w:val="bottom"/>
          </w:tcPr>
          <w:p>
            <w:pPr>
              <w:spacing w:after="0"/>
              <w:rPr>
                <w:sz w:val="20"/>
                <w:szCs w:val="20"/>
                <w:color w:val="auto"/>
              </w:rPr>
            </w:pPr>
            <w:r>
              <w:rPr>
                <w:rFonts w:ascii="Arial" w:cs="Arial" w:eastAsia="Arial" w:hAnsi="Arial"/>
                <w:sz w:val="20"/>
                <w:szCs w:val="20"/>
                <w:b w:val="1"/>
                <w:bCs w:val="1"/>
                <w:color w:val="FF0000"/>
              </w:rPr>
              <w:t>Appendix B - Proposed Amendments to the Company's Articles of Incorporation</w:t>
            </w:r>
          </w:p>
        </w:tc>
        <w:tc>
          <w:tcPr>
            <w:tcW w:w="780" w:type="dxa"/>
            <w:vAlign w:val="bottom"/>
          </w:tcPr>
          <w:p>
            <w:pPr>
              <w:jc w:val="right"/>
              <w:spacing w:after="0"/>
              <w:rPr>
                <w:rFonts w:ascii="Arial" w:cs="Arial" w:eastAsia="Arial" w:hAnsi="Arial"/>
                <w:sz w:val="22"/>
                <w:szCs w:val="22"/>
                <w:color w:val="auto"/>
              </w:rPr>
            </w:pPr>
            <w:hyperlink w:anchor="page93">
              <w:r>
                <w:rPr>
                  <w:rFonts w:ascii="Arial" w:cs="Arial" w:eastAsia="Arial" w:hAnsi="Arial"/>
                  <w:sz w:val="22"/>
                  <w:szCs w:val="22"/>
                  <w:color w:val="auto"/>
                </w:rPr>
                <w:t>P89</w:t>
              </w:r>
            </w:hyperlink>
          </w:p>
        </w:tc>
        <w:tc>
          <w:tcPr>
            <w:tcW w:w="0" w:type="dxa"/>
            <w:vAlign w:val="bottom"/>
          </w:tcPr>
          <w:p>
            <w:pPr>
              <w:spacing w:after="0"/>
              <w:rPr>
                <w:sz w:val="1"/>
                <w:szCs w:val="1"/>
                <w:color w:val="auto"/>
              </w:rPr>
            </w:pPr>
          </w:p>
        </w:tc>
      </w:tr>
      <w:tr>
        <w:trPr>
          <w:trHeight w:val="297"/>
        </w:trPr>
        <w:tc>
          <w:tcPr>
            <w:tcW w:w="7920" w:type="dxa"/>
            <w:vAlign w:val="bottom"/>
          </w:tcPr>
          <w:p>
            <w:pPr>
              <w:spacing w:after="0"/>
              <w:rPr>
                <w:sz w:val="20"/>
                <w:szCs w:val="20"/>
                <w:color w:val="auto"/>
              </w:rPr>
            </w:pPr>
            <w:r>
              <w:rPr>
                <w:rFonts w:ascii="Arial" w:cs="Arial" w:eastAsia="Arial" w:hAnsi="Arial"/>
                <w:sz w:val="20"/>
                <w:szCs w:val="20"/>
                <w:b w:val="1"/>
                <w:bCs w:val="1"/>
                <w:color w:val="FF0000"/>
              </w:rPr>
              <w:t>Appendix C - Proposed Amended and Restated 2002 Lilly Stock Plan</w:t>
            </w:r>
          </w:p>
        </w:tc>
        <w:tc>
          <w:tcPr>
            <w:tcW w:w="780" w:type="dxa"/>
            <w:vAlign w:val="bottom"/>
          </w:tcPr>
          <w:p>
            <w:pPr>
              <w:jc w:val="right"/>
              <w:spacing w:after="0"/>
              <w:rPr>
                <w:rFonts w:ascii="Arial" w:cs="Arial" w:eastAsia="Arial" w:hAnsi="Arial"/>
                <w:sz w:val="22"/>
                <w:szCs w:val="22"/>
                <w:color w:val="auto"/>
              </w:rPr>
            </w:pPr>
            <w:hyperlink w:anchor="page97">
              <w:r>
                <w:rPr>
                  <w:rFonts w:ascii="Arial" w:cs="Arial" w:eastAsia="Arial" w:hAnsi="Arial"/>
                  <w:sz w:val="22"/>
                  <w:szCs w:val="22"/>
                  <w:color w:val="auto"/>
                </w:rPr>
                <w:t>P93</w:t>
              </w:r>
            </w:hyperlink>
          </w:p>
        </w:tc>
        <w:tc>
          <w:tcPr>
            <w:tcW w:w="0" w:type="dxa"/>
            <w:vAlign w:val="bottom"/>
          </w:tcPr>
          <w:p>
            <w:pPr>
              <w:spacing w:after="0"/>
              <w:rPr>
                <w:sz w:val="1"/>
                <w:szCs w:val="1"/>
                <w:color w:val="auto"/>
              </w:rPr>
            </w:pPr>
          </w:p>
        </w:tc>
      </w:tr>
      <w:tr>
        <w:trPr>
          <w:trHeight w:val="297"/>
        </w:trPr>
        <w:tc>
          <w:tcPr>
            <w:tcW w:w="7920" w:type="dxa"/>
            <w:vAlign w:val="bottom"/>
          </w:tcPr>
          <w:p>
            <w:pPr>
              <w:spacing w:after="0"/>
              <w:rPr>
                <w:rFonts w:ascii="Arial" w:cs="Arial" w:eastAsia="Arial" w:hAnsi="Arial"/>
                <w:sz w:val="20"/>
                <w:szCs w:val="20"/>
                <w:b w:val="1"/>
                <w:bCs w:val="1"/>
                <w:color w:val="FF0000"/>
              </w:rPr>
            </w:pPr>
            <w:hyperlink w:anchor="page116">
              <w:r>
                <w:rPr>
                  <w:rFonts w:ascii="Arial" w:cs="Arial" w:eastAsia="Arial" w:hAnsi="Arial"/>
                  <w:sz w:val="20"/>
                  <w:szCs w:val="20"/>
                  <w:b w:val="1"/>
                  <w:bCs w:val="1"/>
                  <w:color w:val="FF0000"/>
                </w:rPr>
                <w:t>Annual Meeting Admission Ticket</w:t>
              </w:r>
            </w:hyperlink>
          </w:p>
        </w:tc>
        <w:tc>
          <w:tcPr>
            <w:tcW w:w="780" w:type="dxa"/>
            <w:vAlign w:val="bottom"/>
          </w:tcPr>
          <w:p>
            <w:pPr>
              <w:jc w:val="right"/>
              <w:spacing w:after="0"/>
              <w:rPr>
                <w:rFonts w:ascii="Arial" w:cs="Arial" w:eastAsia="Arial" w:hAnsi="Arial"/>
                <w:sz w:val="22"/>
                <w:szCs w:val="22"/>
                <w:color w:val="auto"/>
              </w:rPr>
            </w:pPr>
            <w:hyperlink w:anchor="page116">
              <w:r>
                <w:rPr>
                  <w:rFonts w:ascii="Arial" w:cs="Arial" w:eastAsia="Arial" w:hAnsi="Arial"/>
                  <w:sz w:val="22"/>
                  <w:szCs w:val="22"/>
                  <w:color w:val="auto"/>
                </w:rPr>
                <w:t>P112</w:t>
              </w:r>
            </w:hyperlink>
          </w:p>
        </w:tc>
        <w:tc>
          <w:tcPr>
            <w:tcW w:w="0" w:type="dxa"/>
            <w:vAlign w:val="bottom"/>
          </w:tcPr>
          <w:p>
            <w:pPr>
              <w:spacing w:after="0"/>
              <w:rPr>
                <w:sz w:val="1"/>
                <w:szCs w:val="1"/>
                <w:color w:val="auto"/>
              </w:rPr>
            </w:pPr>
          </w:p>
        </w:tc>
      </w:tr>
    </w:tbl>
    <w:p>
      <w:pPr>
        <w:sectPr>
          <w:pgSz w:w="11900" w:h="16838" w:orient="portrait"/>
          <w:cols w:equalWidth="0" w:num="1">
            <w:col w:w="10219"/>
          </w:cols>
          <w:pgMar w:left="240" w:top="559" w:right="1440" w:bottom="1440" w:gutter="0" w:footer="0" w:header="0"/>
        </w:sectPr>
      </w:pPr>
    </w:p>
    <w:bookmarkStart w:id="4" w:name="page5"/>
    <w:bookmarkEnd w:id="4"/>
    <w:p>
      <w:pPr>
        <w:spacing w:after="0"/>
        <w:rPr>
          <w:sz w:val="20"/>
          <w:szCs w:val="20"/>
          <w:color w:val="auto"/>
        </w:rPr>
      </w:pPr>
      <w:r>
        <w:rPr>
          <w:rFonts w:ascii="Arial" w:cs="Arial" w:eastAsia="Arial" w:hAnsi="Arial"/>
          <w:sz w:val="29"/>
          <w:szCs w:val="29"/>
          <w:b w:val="1"/>
          <w:bCs w:val="1"/>
          <w:color w:val="FF0000"/>
        </w:rPr>
        <w:t>Notice of 2018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75565</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To the holders of Common Stock of Eli Lilly and Company: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2018 Annual Meeting of Shareholders of Eli Lilly and Company will be held as shown below:</w:t>
      </w:r>
    </w:p>
    <w:p>
      <w:pPr>
        <w:spacing w:after="0" w:line="311" w:lineRule="exact"/>
        <w:rPr>
          <w:sz w:val="20"/>
          <w:szCs w:val="20"/>
          <w:color w:val="auto"/>
        </w:rPr>
      </w:pPr>
    </w:p>
    <w:p>
      <w:pPr>
        <w:ind w:left="420" w:hanging="271"/>
        <w:spacing w:after="0"/>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TIME AND DATE:</w:t>
      </w:r>
      <w:r>
        <w:rPr>
          <w:rFonts w:ascii="Arial" w:cs="Arial" w:eastAsia="Arial" w:hAnsi="Arial"/>
          <w:sz w:val="17"/>
          <w:szCs w:val="17"/>
          <w:color w:val="auto"/>
        </w:rPr>
        <w:t>11:00 a.m. EDT, Monday, May 7, 2018</w:t>
      </w:r>
    </w:p>
    <w:p>
      <w:pPr>
        <w:spacing w:after="0" w:line="49" w:lineRule="exact"/>
        <w:rPr>
          <w:rFonts w:ascii="Arial" w:cs="Arial" w:eastAsia="Arial" w:hAnsi="Arial"/>
          <w:sz w:val="18"/>
          <w:szCs w:val="18"/>
          <w:color w:val="auto"/>
        </w:rPr>
      </w:pPr>
    </w:p>
    <w:p>
      <w:pPr>
        <w:ind w:left="420" w:hanging="271"/>
        <w:spacing w:after="0"/>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LOCATION:</w:t>
      </w:r>
      <w:r>
        <w:rPr>
          <w:rFonts w:ascii="Arial" w:cs="Arial" w:eastAsia="Arial" w:hAnsi="Arial"/>
          <w:sz w:val="17"/>
          <w:szCs w:val="17"/>
          <w:color w:val="auto"/>
        </w:rPr>
        <w:t>The Lilly Center Auditorium</w:t>
      </w:r>
    </w:p>
    <w:p>
      <w:pPr>
        <w:spacing w:after="0" w:line="13"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Lilly Corporate Center</w:t>
      </w:r>
    </w:p>
    <w:p>
      <w:pPr>
        <w:ind w:left="2460"/>
        <w:spacing w:after="0"/>
        <w:rPr>
          <w:sz w:val="20"/>
          <w:szCs w:val="20"/>
          <w:color w:val="auto"/>
        </w:rPr>
      </w:pPr>
      <w:r>
        <w:rPr>
          <w:rFonts w:ascii="Arial" w:cs="Arial" w:eastAsia="Arial" w:hAnsi="Arial"/>
          <w:sz w:val="18"/>
          <w:szCs w:val="18"/>
          <w:color w:val="auto"/>
        </w:rPr>
        <w:t>Indianapolis, Indiana 46285</w:t>
      </w:r>
    </w:p>
    <w:p>
      <w:pPr>
        <w:spacing w:after="0" w:line="82" w:lineRule="exact"/>
        <w:rPr>
          <w:sz w:val="20"/>
          <w:szCs w:val="20"/>
          <w:color w:val="auto"/>
        </w:rPr>
      </w:pPr>
    </w:p>
    <w:p>
      <w:pPr>
        <w:ind w:left="2460" w:right="3780" w:hanging="2311"/>
        <w:spacing w:after="0" w:line="271" w:lineRule="auto"/>
        <w:tabs>
          <w:tab w:leader="none" w:pos="434"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ITEMS OF BUSINESS: </w:t>
      </w:r>
      <w:r>
        <w:rPr>
          <w:rFonts w:ascii="Arial" w:cs="Arial" w:eastAsia="Arial" w:hAnsi="Arial"/>
          <w:sz w:val="18"/>
          <w:szCs w:val="18"/>
          <w:color w:val="auto"/>
        </w:rPr>
        <w:t>Election of the five directors listed in the proxy statement to serve</w:t>
      </w:r>
      <w:r>
        <w:rPr>
          <w:rFonts w:ascii="Arial" w:cs="Arial" w:eastAsia="Arial" w:hAnsi="Arial"/>
          <w:sz w:val="18"/>
          <w:szCs w:val="18"/>
          <w:b w:val="1"/>
          <w:bCs w:val="1"/>
          <w:color w:val="auto"/>
        </w:rPr>
        <w:t xml:space="preserve"> </w:t>
      </w:r>
      <w:r>
        <w:rPr>
          <w:rFonts w:ascii="Arial" w:cs="Arial" w:eastAsia="Arial" w:hAnsi="Arial"/>
          <w:sz w:val="18"/>
          <w:szCs w:val="18"/>
          <w:color w:val="auto"/>
        </w:rPr>
        <w:t>three-year terms</w:t>
      </w:r>
    </w:p>
    <w:p>
      <w:pPr>
        <w:spacing w:after="0" w:line="9"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Approval, by non-binding vote, of the compensation paid to the</w:t>
      </w:r>
    </w:p>
    <w:p>
      <w:pPr>
        <w:ind w:left="2460"/>
        <w:spacing w:after="0"/>
        <w:rPr>
          <w:sz w:val="20"/>
          <w:szCs w:val="20"/>
          <w:color w:val="auto"/>
        </w:rPr>
      </w:pPr>
      <w:r>
        <w:rPr>
          <w:rFonts w:ascii="Arial" w:cs="Arial" w:eastAsia="Arial" w:hAnsi="Arial"/>
          <w:sz w:val="18"/>
          <w:szCs w:val="18"/>
          <w:color w:val="auto"/>
        </w:rPr>
        <w:t>company's named executive officers</w:t>
      </w:r>
    </w:p>
    <w:p>
      <w:pPr>
        <w:spacing w:after="0" w:line="45"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Ratification of Ernst &amp; Young LLP as the principal independent</w:t>
      </w:r>
    </w:p>
    <w:p>
      <w:pPr>
        <w:ind w:left="2460"/>
        <w:spacing w:after="0"/>
        <w:rPr>
          <w:sz w:val="20"/>
          <w:szCs w:val="20"/>
          <w:color w:val="auto"/>
        </w:rPr>
      </w:pPr>
      <w:r>
        <w:rPr>
          <w:rFonts w:ascii="Arial" w:cs="Arial" w:eastAsia="Arial" w:hAnsi="Arial"/>
          <w:sz w:val="18"/>
          <w:szCs w:val="18"/>
          <w:color w:val="auto"/>
        </w:rPr>
        <w:t>auditors for 2018</w:t>
      </w:r>
    </w:p>
    <w:p>
      <w:pPr>
        <w:spacing w:after="0" w:line="45"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Approve amendments to the Articles of Incorporation to eliminate</w:t>
      </w:r>
    </w:p>
    <w:p>
      <w:pPr>
        <w:ind w:left="2460"/>
        <w:spacing w:after="0"/>
        <w:rPr>
          <w:sz w:val="20"/>
          <w:szCs w:val="20"/>
          <w:color w:val="auto"/>
        </w:rPr>
      </w:pPr>
      <w:r>
        <w:rPr>
          <w:rFonts w:ascii="Arial" w:cs="Arial" w:eastAsia="Arial" w:hAnsi="Arial"/>
          <w:sz w:val="18"/>
          <w:szCs w:val="18"/>
          <w:color w:val="auto"/>
        </w:rPr>
        <w:t>the classified board structure</w:t>
      </w:r>
    </w:p>
    <w:p>
      <w:pPr>
        <w:spacing w:after="0" w:line="45"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Approve amendments to the Articles of Incorporation to eliminate</w:t>
      </w:r>
    </w:p>
    <w:p>
      <w:pPr>
        <w:ind w:left="2460"/>
        <w:spacing w:after="0"/>
        <w:rPr>
          <w:sz w:val="20"/>
          <w:szCs w:val="20"/>
          <w:color w:val="auto"/>
        </w:rPr>
      </w:pPr>
      <w:r>
        <w:rPr>
          <w:rFonts w:ascii="Arial" w:cs="Arial" w:eastAsia="Arial" w:hAnsi="Arial"/>
          <w:sz w:val="18"/>
          <w:szCs w:val="18"/>
          <w:color w:val="auto"/>
        </w:rPr>
        <w:t>supermajority voting provisions</w:t>
      </w:r>
    </w:p>
    <w:p>
      <w:pPr>
        <w:spacing w:after="0" w:line="50"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Approve the Amended and Restated 2002 Lilly Stock Plan</w:t>
      </w:r>
    </w:p>
    <w:p>
      <w:pPr>
        <w:spacing w:after="0" w:line="59"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Shareholder proposal seeking support for the descheduling of</w:t>
      </w:r>
    </w:p>
    <w:p>
      <w:pPr>
        <w:ind w:left="2460"/>
        <w:spacing w:after="0"/>
        <w:rPr>
          <w:sz w:val="20"/>
          <w:szCs w:val="20"/>
          <w:color w:val="auto"/>
        </w:rPr>
      </w:pPr>
      <w:r>
        <w:rPr>
          <w:rFonts w:ascii="Arial" w:cs="Arial" w:eastAsia="Arial" w:hAnsi="Arial"/>
          <w:sz w:val="18"/>
          <w:szCs w:val="18"/>
          <w:color w:val="auto"/>
        </w:rPr>
        <w:t>cannabis</w:t>
      </w:r>
    </w:p>
    <w:p>
      <w:pPr>
        <w:spacing w:after="0" w:line="45"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Shareholder proposal requesting report regarding direct and</w:t>
      </w:r>
    </w:p>
    <w:p>
      <w:pPr>
        <w:ind w:left="2460"/>
        <w:spacing w:after="0"/>
        <w:rPr>
          <w:sz w:val="20"/>
          <w:szCs w:val="20"/>
          <w:color w:val="auto"/>
        </w:rPr>
      </w:pPr>
      <w:r>
        <w:rPr>
          <w:rFonts w:ascii="Arial" w:cs="Arial" w:eastAsia="Arial" w:hAnsi="Arial"/>
          <w:sz w:val="18"/>
          <w:szCs w:val="18"/>
          <w:color w:val="auto"/>
        </w:rPr>
        <w:t>indirect political contributions</w:t>
      </w:r>
    </w:p>
    <w:p>
      <w:pPr>
        <w:spacing w:after="0" w:line="45"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Shareholder proposal requesting report on policies and practices</w:t>
      </w:r>
    </w:p>
    <w:p>
      <w:pPr>
        <w:ind w:left="2460"/>
        <w:spacing w:after="0"/>
        <w:rPr>
          <w:sz w:val="20"/>
          <w:szCs w:val="20"/>
          <w:color w:val="auto"/>
        </w:rPr>
      </w:pPr>
      <w:r>
        <w:rPr>
          <w:rFonts w:ascii="Arial" w:cs="Arial" w:eastAsia="Arial" w:hAnsi="Arial"/>
          <w:sz w:val="18"/>
          <w:szCs w:val="18"/>
          <w:color w:val="auto"/>
        </w:rPr>
        <w:t>regarding contract animal laboratories</w:t>
      </w:r>
    </w:p>
    <w:p>
      <w:pPr>
        <w:spacing w:after="0" w:line="45"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Shareholder proposal requesting report on the extent to which</w:t>
      </w:r>
    </w:p>
    <w:p>
      <w:pPr>
        <w:ind w:left="2460"/>
        <w:spacing w:after="0" w:line="234" w:lineRule="auto"/>
        <w:rPr>
          <w:sz w:val="20"/>
          <w:szCs w:val="20"/>
          <w:color w:val="auto"/>
        </w:rPr>
      </w:pPr>
      <w:r>
        <w:rPr>
          <w:rFonts w:ascii="Arial" w:cs="Arial" w:eastAsia="Arial" w:hAnsi="Arial"/>
          <w:sz w:val="18"/>
          <w:szCs w:val="18"/>
          <w:color w:val="auto"/>
        </w:rPr>
        <w:t>risks related to public concern over drug pricing strategies are</w:t>
      </w:r>
    </w:p>
    <w:p>
      <w:pPr>
        <w:spacing w:after="0" w:line="1"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integrated into incentive compensation arrangements</w:t>
      </w:r>
    </w:p>
    <w:p>
      <w:pPr>
        <w:spacing w:after="0" w:line="28" w:lineRule="exact"/>
        <w:rPr>
          <w:sz w:val="20"/>
          <w:szCs w:val="20"/>
          <w:color w:val="auto"/>
        </w:rPr>
      </w:pPr>
    </w:p>
    <w:p>
      <w:pPr>
        <w:ind w:left="2460" w:right="4960" w:hanging="2311"/>
        <w:spacing w:after="0" w:line="246" w:lineRule="auto"/>
        <w:tabs>
          <w:tab w:leader="none" w:pos="434"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WHO CAN VOTE:</w:t>
      </w:r>
      <w:r>
        <w:rPr>
          <w:rFonts w:ascii="Arial" w:cs="Arial" w:eastAsia="Arial" w:hAnsi="Arial"/>
          <w:sz w:val="18"/>
          <w:szCs w:val="18"/>
          <w:color w:val="auto"/>
        </w:rPr>
        <w:t>Shareholders of record at the close of business on March 12, 2018</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This proxy statement is dated March 19, 2018, and is first being sent or given to our shareholders on or about that date.</w:t>
      </w:r>
    </w:p>
    <w:p>
      <w:pPr>
        <w:spacing w:after="0" w:line="171"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See the back page of this report for information regarding how to attend the meeting. Every shareholder vote is important. If you are unable to attend the meeting in person, please sign, date, and return your proxy card or voting instructions by mail, or vote by telephone or online promptly so that a quorum may be represented at the meeting.</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Bronwen L. Mantlo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March 19,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Indianapolis, Indiana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32"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FF0000"/>
        </w:rPr>
        <w:t xml:space="preserve">Important notice regarding the availability of proxy materials for the shareholder meeting to be held May 7, 2018: The annual report and proxy statement are available at </w:t>
      </w:r>
      <w:r>
        <w:rPr>
          <w:rFonts w:ascii="Arial" w:cs="Arial" w:eastAsia="Arial" w:hAnsi="Arial"/>
          <w:sz w:val="18"/>
          <w:szCs w:val="18"/>
          <w:color w:val="EE2724"/>
        </w:rPr>
        <w:t>https://www.lilly.com/annualreport2017.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43815</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P1</w:t>
      </w:r>
    </w:p>
    <w:p>
      <w:pPr>
        <w:sectPr>
          <w:pgSz w:w="11900" w:h="16838" w:orient="portrait"/>
          <w:cols w:equalWidth="0" w:num="1">
            <w:col w:w="11420"/>
          </w:cols>
          <w:pgMar w:left="240" w:top="342" w:right="239" w:bottom="1440" w:gutter="0" w:footer="0" w:header="0"/>
        </w:sectPr>
      </w:pPr>
    </w:p>
    <w:bookmarkStart w:id="5" w:name="page6"/>
    <w:bookmarkEnd w:id="5"/>
    <w:p>
      <w:pPr>
        <w:spacing w:after="0"/>
        <w:rPr>
          <w:sz w:val="20"/>
          <w:szCs w:val="20"/>
          <w:color w:val="auto"/>
        </w:rPr>
      </w:pPr>
      <w:r>
        <w:rPr>
          <w:rFonts w:ascii="Arial" w:cs="Arial" w:eastAsia="Arial" w:hAnsi="Arial"/>
          <w:sz w:val="40"/>
          <w:szCs w:val="40"/>
          <w:b w:val="1"/>
          <w:bCs w:val="1"/>
          <w:color w:val="FF0000"/>
        </w:rPr>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2720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5"/>
          <w:szCs w:val="25"/>
          <w:b w:val="1"/>
          <w:bCs w:val="1"/>
          <w:color w:val="FF0000"/>
        </w:rPr>
        <w:t>General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81280</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62"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This summary highlights information contained elsewhere in this proxy statement. It does not contain all the information you should consider, and you should read the entire proxy statement carefully before voting.</w:t>
      </w:r>
    </w:p>
    <w:p>
      <w:pPr>
        <w:spacing w:after="0" w:line="120" w:lineRule="exact"/>
        <w:rPr>
          <w:sz w:val="20"/>
          <w:szCs w:val="20"/>
          <w:color w:val="auto"/>
        </w:rPr>
      </w:pPr>
    </w:p>
    <w:tbl>
      <w:tblPr>
        <w:tblLayout w:type="fixed"/>
        <w:tblInd w:w="40" w:type="dxa"/>
        <w:tblCellMar>
          <w:top w:w="0" w:type="dxa"/>
          <w:left w:w="0" w:type="dxa"/>
          <w:bottom w:w="0" w:type="dxa"/>
          <w:right w:w="0" w:type="dxa"/>
        </w:tblCellMar>
      </w:tblPr>
      <w:tr>
        <w:trPr>
          <w:trHeight w:val="239"/>
        </w:trPr>
        <w:tc>
          <w:tcPr>
            <w:tcW w:w="1420" w:type="dxa"/>
            <w:vAlign w:val="bottom"/>
          </w:tcPr>
          <w:p>
            <w:pPr>
              <w:spacing w:after="0"/>
              <w:rPr>
                <w:sz w:val="20"/>
                <w:szCs w:val="20"/>
                <w:color w:val="auto"/>
              </w:rPr>
            </w:pPr>
            <w:r>
              <w:rPr>
                <w:rFonts w:ascii="Arial" w:cs="Arial" w:eastAsia="Arial" w:hAnsi="Arial"/>
                <w:sz w:val="18"/>
                <w:szCs w:val="18"/>
                <w:b w:val="1"/>
                <w:bCs w:val="1"/>
                <w:color w:val="FF0000"/>
              </w:rPr>
              <w:t>Meeting:</w:t>
            </w:r>
          </w:p>
        </w:tc>
        <w:tc>
          <w:tcPr>
            <w:tcW w:w="3300" w:type="dxa"/>
            <w:vAlign w:val="bottom"/>
          </w:tcPr>
          <w:p>
            <w:pPr>
              <w:ind w:left="300"/>
              <w:spacing w:after="0"/>
              <w:rPr>
                <w:sz w:val="20"/>
                <w:szCs w:val="20"/>
                <w:color w:val="auto"/>
              </w:rPr>
            </w:pPr>
            <w:r>
              <w:rPr>
                <w:rFonts w:ascii="Arial" w:cs="Arial" w:eastAsia="Arial" w:hAnsi="Arial"/>
                <w:sz w:val="18"/>
                <w:szCs w:val="18"/>
                <w:color w:val="auto"/>
              </w:rPr>
              <w:t>Annual Meeting of Shareholders</w:t>
            </w:r>
          </w:p>
        </w:tc>
        <w:tc>
          <w:tcPr>
            <w:tcW w:w="1420" w:type="dxa"/>
            <w:vAlign w:val="bottom"/>
          </w:tcPr>
          <w:p>
            <w:pPr>
              <w:ind w:left="420"/>
              <w:spacing w:after="0"/>
              <w:rPr>
                <w:sz w:val="20"/>
                <w:szCs w:val="20"/>
                <w:color w:val="auto"/>
              </w:rPr>
            </w:pPr>
            <w:r>
              <w:rPr>
                <w:rFonts w:ascii="Arial" w:cs="Arial" w:eastAsia="Arial" w:hAnsi="Arial"/>
                <w:sz w:val="18"/>
                <w:szCs w:val="18"/>
                <w:b w:val="1"/>
                <w:bCs w:val="1"/>
                <w:color w:val="FF0000"/>
              </w:rPr>
              <w:t>Date:</w:t>
            </w:r>
          </w:p>
        </w:tc>
        <w:tc>
          <w:tcPr>
            <w:tcW w:w="1860" w:type="dxa"/>
            <w:vAlign w:val="bottom"/>
          </w:tcPr>
          <w:p>
            <w:pPr>
              <w:ind w:left="200"/>
              <w:spacing w:after="0"/>
              <w:rPr>
                <w:sz w:val="20"/>
                <w:szCs w:val="20"/>
                <w:color w:val="auto"/>
              </w:rPr>
            </w:pPr>
            <w:r>
              <w:rPr>
                <w:rFonts w:ascii="Arial" w:cs="Arial" w:eastAsia="Arial" w:hAnsi="Arial"/>
                <w:sz w:val="18"/>
                <w:szCs w:val="18"/>
                <w:color w:val="auto"/>
              </w:rPr>
              <w:t>May 7, 2018</w:t>
            </w:r>
          </w:p>
        </w:tc>
        <w:tc>
          <w:tcPr>
            <w:tcW w:w="0" w:type="dxa"/>
            <w:vAlign w:val="bottom"/>
          </w:tcPr>
          <w:p>
            <w:pPr>
              <w:spacing w:after="0"/>
              <w:rPr>
                <w:sz w:val="1"/>
                <w:szCs w:val="1"/>
                <w:color w:val="auto"/>
              </w:rPr>
            </w:pPr>
          </w:p>
        </w:tc>
      </w:tr>
      <w:tr>
        <w:trPr>
          <w:trHeight w:val="242"/>
        </w:trPr>
        <w:tc>
          <w:tcPr>
            <w:tcW w:w="1420" w:type="dxa"/>
            <w:vAlign w:val="bottom"/>
          </w:tcPr>
          <w:p>
            <w:pPr>
              <w:spacing w:after="0"/>
              <w:rPr>
                <w:sz w:val="20"/>
                <w:szCs w:val="20"/>
                <w:color w:val="auto"/>
              </w:rPr>
            </w:pPr>
            <w:r>
              <w:rPr>
                <w:rFonts w:ascii="Arial" w:cs="Arial" w:eastAsia="Arial" w:hAnsi="Arial"/>
                <w:sz w:val="18"/>
                <w:szCs w:val="18"/>
                <w:b w:val="1"/>
                <w:bCs w:val="1"/>
                <w:color w:val="FF0000"/>
              </w:rPr>
              <w:t>Time:</w:t>
            </w:r>
          </w:p>
        </w:tc>
        <w:tc>
          <w:tcPr>
            <w:tcW w:w="3300" w:type="dxa"/>
            <w:vAlign w:val="bottom"/>
          </w:tcPr>
          <w:p>
            <w:pPr>
              <w:ind w:left="300"/>
              <w:spacing w:after="0"/>
              <w:rPr>
                <w:sz w:val="20"/>
                <w:szCs w:val="20"/>
                <w:color w:val="auto"/>
              </w:rPr>
            </w:pPr>
            <w:r>
              <w:rPr>
                <w:rFonts w:ascii="Arial" w:cs="Arial" w:eastAsia="Arial" w:hAnsi="Arial"/>
                <w:sz w:val="18"/>
                <w:szCs w:val="18"/>
                <w:color w:val="auto"/>
              </w:rPr>
              <w:t>11:00 a.m. EDT</w:t>
            </w:r>
          </w:p>
        </w:tc>
        <w:tc>
          <w:tcPr>
            <w:tcW w:w="1420" w:type="dxa"/>
            <w:vAlign w:val="bottom"/>
          </w:tcPr>
          <w:p>
            <w:pPr>
              <w:ind w:left="420"/>
              <w:spacing w:after="0"/>
              <w:rPr>
                <w:sz w:val="20"/>
                <w:szCs w:val="20"/>
                <w:color w:val="auto"/>
              </w:rPr>
            </w:pPr>
            <w:r>
              <w:rPr>
                <w:rFonts w:ascii="Arial" w:cs="Arial" w:eastAsia="Arial" w:hAnsi="Arial"/>
                <w:sz w:val="18"/>
                <w:szCs w:val="18"/>
                <w:b w:val="1"/>
                <w:bCs w:val="1"/>
                <w:color w:val="FF0000"/>
              </w:rPr>
              <w:t>Location:</w:t>
            </w:r>
          </w:p>
        </w:tc>
        <w:tc>
          <w:tcPr>
            <w:tcW w:w="1860" w:type="dxa"/>
            <w:vAlign w:val="bottom"/>
          </w:tcPr>
          <w:p>
            <w:pPr>
              <w:ind w:left="200"/>
              <w:spacing w:after="0"/>
              <w:rPr>
                <w:sz w:val="20"/>
                <w:szCs w:val="20"/>
                <w:color w:val="auto"/>
              </w:rPr>
            </w:pPr>
            <w:r>
              <w:rPr>
                <w:rFonts w:ascii="Arial" w:cs="Arial" w:eastAsia="Arial" w:hAnsi="Arial"/>
                <w:sz w:val="18"/>
                <w:szCs w:val="18"/>
                <w:color w:val="auto"/>
              </w:rPr>
              <w:t>The Lilly Center</w:t>
            </w: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60" w:type="dxa"/>
            <w:vAlign w:val="bottom"/>
          </w:tcPr>
          <w:p>
            <w:pPr>
              <w:ind w:left="200"/>
              <w:spacing w:after="0" w:line="202" w:lineRule="exact"/>
              <w:rPr>
                <w:sz w:val="20"/>
                <w:szCs w:val="20"/>
                <w:color w:val="auto"/>
              </w:rPr>
            </w:pPr>
            <w:r>
              <w:rPr>
                <w:rFonts w:ascii="Arial" w:cs="Arial" w:eastAsia="Arial" w:hAnsi="Arial"/>
                <w:sz w:val="18"/>
                <w:szCs w:val="18"/>
                <w:color w:val="auto"/>
              </w:rPr>
              <w:t>Auditorium Lilly</w:t>
            </w:r>
          </w:p>
        </w:tc>
        <w:tc>
          <w:tcPr>
            <w:tcW w:w="0" w:type="dxa"/>
            <w:vAlign w:val="bottom"/>
          </w:tcPr>
          <w:p>
            <w:pPr>
              <w:spacing w:after="0"/>
              <w:rPr>
                <w:sz w:val="1"/>
                <w:szCs w:val="1"/>
                <w:color w:val="auto"/>
              </w:rPr>
            </w:pPr>
          </w:p>
        </w:tc>
      </w:tr>
      <w:tr>
        <w:trPr>
          <w:trHeight w:val="203"/>
        </w:trPr>
        <w:tc>
          <w:tcPr>
            <w:tcW w:w="1420" w:type="dxa"/>
            <w:vAlign w:val="bottom"/>
            <w:vMerge w:val="restart"/>
          </w:tcPr>
          <w:p>
            <w:pPr>
              <w:spacing w:after="0"/>
              <w:rPr>
                <w:sz w:val="20"/>
                <w:szCs w:val="20"/>
                <w:color w:val="auto"/>
              </w:rPr>
            </w:pPr>
            <w:r>
              <w:rPr>
                <w:rFonts w:ascii="Arial" w:cs="Arial" w:eastAsia="Arial" w:hAnsi="Arial"/>
                <w:sz w:val="18"/>
                <w:szCs w:val="18"/>
                <w:b w:val="1"/>
                <w:bCs w:val="1"/>
                <w:color w:val="FF0000"/>
              </w:rPr>
              <w:t>Record Date:</w:t>
            </w:r>
          </w:p>
        </w:tc>
        <w:tc>
          <w:tcPr>
            <w:tcW w:w="3300" w:type="dxa"/>
            <w:vAlign w:val="bottom"/>
            <w:vMerge w:val="restart"/>
          </w:tcPr>
          <w:p>
            <w:pPr>
              <w:ind w:left="300"/>
              <w:spacing w:after="0"/>
              <w:rPr>
                <w:sz w:val="20"/>
                <w:szCs w:val="20"/>
                <w:color w:val="auto"/>
              </w:rPr>
            </w:pPr>
            <w:r>
              <w:rPr>
                <w:rFonts w:ascii="Arial" w:cs="Arial" w:eastAsia="Arial" w:hAnsi="Arial"/>
                <w:sz w:val="18"/>
                <w:szCs w:val="18"/>
                <w:color w:val="auto"/>
              </w:rPr>
              <w:t>March 12, 2018</w:t>
            </w:r>
          </w:p>
        </w:tc>
        <w:tc>
          <w:tcPr>
            <w:tcW w:w="1420" w:type="dxa"/>
            <w:vAlign w:val="bottom"/>
          </w:tcPr>
          <w:p>
            <w:pPr>
              <w:spacing w:after="0"/>
              <w:rPr>
                <w:sz w:val="17"/>
                <w:szCs w:val="17"/>
                <w:color w:val="auto"/>
              </w:rPr>
            </w:pPr>
          </w:p>
        </w:tc>
        <w:tc>
          <w:tcPr>
            <w:tcW w:w="1860" w:type="dxa"/>
            <w:vAlign w:val="bottom"/>
          </w:tcPr>
          <w:p>
            <w:pPr>
              <w:ind w:left="200"/>
              <w:spacing w:after="0" w:line="202" w:lineRule="exact"/>
              <w:rPr>
                <w:sz w:val="20"/>
                <w:szCs w:val="20"/>
                <w:color w:val="auto"/>
              </w:rPr>
            </w:pPr>
            <w:r>
              <w:rPr>
                <w:rFonts w:ascii="Arial" w:cs="Arial" w:eastAsia="Arial" w:hAnsi="Arial"/>
                <w:sz w:val="18"/>
                <w:szCs w:val="18"/>
                <w:color w:val="auto"/>
              </w:rPr>
              <w:t>Corporate Center</w:t>
            </w: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3300" w:type="dxa"/>
            <w:vAlign w:val="bottom"/>
            <w:vMerge w:val="continue"/>
          </w:tcPr>
          <w:p>
            <w:pPr>
              <w:spacing w:after="0"/>
              <w:rPr>
                <w:sz w:val="10"/>
                <w:szCs w:val="10"/>
                <w:color w:val="auto"/>
              </w:rPr>
            </w:pPr>
          </w:p>
        </w:tc>
        <w:tc>
          <w:tcPr>
            <w:tcW w:w="1420" w:type="dxa"/>
            <w:vAlign w:val="bottom"/>
          </w:tcPr>
          <w:p>
            <w:pPr>
              <w:spacing w:after="0"/>
              <w:rPr>
                <w:sz w:val="10"/>
                <w:szCs w:val="10"/>
                <w:color w:val="auto"/>
              </w:rPr>
            </w:pPr>
          </w:p>
        </w:tc>
        <w:tc>
          <w:tcPr>
            <w:tcW w:w="1860" w:type="dxa"/>
            <w:vAlign w:val="bottom"/>
            <w:vMerge w:val="restart"/>
          </w:tcPr>
          <w:p>
            <w:pPr>
              <w:ind w:left="200"/>
              <w:spacing w:after="0" w:line="202" w:lineRule="exact"/>
              <w:rPr>
                <w:sz w:val="20"/>
                <w:szCs w:val="20"/>
                <w:color w:val="auto"/>
              </w:rPr>
            </w:pPr>
            <w:r>
              <w:rPr>
                <w:rFonts w:ascii="Arial" w:cs="Arial" w:eastAsia="Arial" w:hAnsi="Arial"/>
                <w:sz w:val="18"/>
                <w:szCs w:val="18"/>
                <w:color w:val="auto"/>
                <w:w w:val="99"/>
              </w:rPr>
              <w:t>Indianapolis, Indiana</w:t>
            </w:r>
          </w:p>
        </w:tc>
        <w:tc>
          <w:tcPr>
            <w:tcW w:w="0" w:type="dxa"/>
            <w:vAlign w:val="bottom"/>
          </w:tcPr>
          <w:p>
            <w:pPr>
              <w:spacing w:after="0"/>
              <w:rPr>
                <w:sz w:val="1"/>
                <w:szCs w:val="1"/>
                <w:color w:val="auto"/>
              </w:rPr>
            </w:pPr>
          </w:p>
        </w:tc>
      </w:tr>
      <w:tr>
        <w:trPr>
          <w:trHeight w:val="80"/>
        </w:trPr>
        <w:tc>
          <w:tcPr>
            <w:tcW w:w="1420" w:type="dxa"/>
            <w:vAlign w:val="bottom"/>
          </w:tcPr>
          <w:p>
            <w:pPr>
              <w:spacing w:after="0"/>
              <w:rPr>
                <w:sz w:val="6"/>
                <w:szCs w:val="6"/>
                <w:color w:val="auto"/>
              </w:rPr>
            </w:pPr>
          </w:p>
        </w:tc>
        <w:tc>
          <w:tcPr>
            <w:tcW w:w="330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14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60" w:type="dxa"/>
            <w:vAlign w:val="bottom"/>
          </w:tcPr>
          <w:p>
            <w:pPr>
              <w:ind w:left="200"/>
              <w:spacing w:after="0"/>
              <w:rPr>
                <w:sz w:val="20"/>
                <w:szCs w:val="20"/>
                <w:color w:val="auto"/>
              </w:rPr>
            </w:pPr>
            <w:r>
              <w:rPr>
                <w:rFonts w:ascii="Arial" w:cs="Arial" w:eastAsia="Arial" w:hAnsi="Arial"/>
                <w:sz w:val="18"/>
                <w:szCs w:val="18"/>
                <w:color w:val="auto"/>
              </w:rPr>
              <w:t>46285</w:t>
            </w:r>
          </w:p>
        </w:tc>
        <w:tc>
          <w:tcPr>
            <w:tcW w:w="0" w:type="dxa"/>
            <w:vAlign w:val="bottom"/>
          </w:tcPr>
          <w:p>
            <w:pPr>
              <w:spacing w:after="0"/>
              <w:rPr>
                <w:sz w:val="1"/>
                <w:szCs w:val="1"/>
                <w:color w:val="auto"/>
              </w:rPr>
            </w:pPr>
          </w:p>
        </w:tc>
      </w:tr>
    </w:tbl>
    <w:p>
      <w:pPr>
        <w:ind w:left="40"/>
        <w:spacing w:after="0" w:line="234" w:lineRule="auto"/>
        <w:tabs>
          <w:tab w:leader="none" w:pos="2980" w:val="left"/>
        </w:tabs>
        <w:rPr>
          <w:sz w:val="20"/>
          <w:szCs w:val="20"/>
          <w:color w:val="auto"/>
        </w:rPr>
      </w:pPr>
      <w:r>
        <w:rPr>
          <w:rFonts w:ascii="Arial" w:cs="Arial" w:eastAsia="Arial" w:hAnsi="Arial"/>
          <w:sz w:val="29"/>
          <w:szCs w:val="29"/>
          <w:b w:val="1"/>
          <w:bCs w:val="1"/>
          <w:color w:val="FF0000"/>
          <w:vertAlign w:val="subscript"/>
        </w:rPr>
        <w:t>Items of Business:</w:t>
      </w:r>
      <w:r>
        <w:rPr>
          <w:rFonts w:ascii="Arial" w:cs="Arial" w:eastAsia="Arial" w:hAnsi="Arial"/>
          <w:sz w:val="16"/>
          <w:szCs w:val="16"/>
          <w:b w:val="1"/>
          <w:bCs w:val="1"/>
          <w:color w:val="auto"/>
        </w:rPr>
        <w:t xml:space="preserve">  Item 1</w:t>
      </w:r>
      <w:r>
        <w:rPr>
          <w:rFonts w:ascii="Arial" w:cs="Arial" w:eastAsia="Arial" w:hAnsi="Arial"/>
          <w:sz w:val="16"/>
          <w:szCs w:val="16"/>
          <w:color w:val="auto"/>
        </w:rPr>
        <w:t>:</w:t>
      </w:r>
      <w:r>
        <w:rPr>
          <w:sz w:val="20"/>
          <w:szCs w:val="20"/>
          <w:color w:val="auto"/>
        </w:rPr>
        <w:tab/>
      </w:r>
      <w:r>
        <w:rPr>
          <w:rFonts w:ascii="Arial" w:cs="Arial" w:eastAsia="Arial" w:hAnsi="Arial"/>
          <w:sz w:val="18"/>
          <w:szCs w:val="18"/>
          <w:color w:val="auto"/>
        </w:rPr>
        <w:t>Election of the five directors listed in this proxy statement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52228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222875" cy="8890"/>
                    </a:xfrm>
                    <a:prstGeom prst="rect">
                      <a:avLst/>
                    </a:prstGeom>
                    <a:noFill/>
                  </pic:spPr>
                </pic:pic>
              </a:graphicData>
            </a:graphic>
          </wp:anchor>
        </w:drawing>
      </w:r>
    </w:p>
    <w:p>
      <w:pPr>
        <w:ind w:left="3000"/>
        <w:spacing w:after="0"/>
        <w:rPr>
          <w:sz w:val="20"/>
          <w:szCs w:val="20"/>
          <w:color w:val="auto"/>
        </w:rPr>
      </w:pPr>
      <w:r>
        <w:rPr>
          <w:rFonts w:ascii="Arial" w:cs="Arial" w:eastAsia="Arial" w:hAnsi="Arial"/>
          <w:sz w:val="18"/>
          <w:szCs w:val="18"/>
          <w:color w:val="auto"/>
        </w:rPr>
        <w:t>serve three-year terms.</w:t>
      </w:r>
    </w:p>
    <w:p>
      <w:pPr>
        <w:spacing w:after="0" w:line="28" w:lineRule="exact"/>
        <w:rPr>
          <w:sz w:val="20"/>
          <w:szCs w:val="20"/>
          <w:color w:val="auto"/>
        </w:rPr>
      </w:pPr>
    </w:p>
    <w:p>
      <w:pPr>
        <w:ind w:left="3000" w:right="3420" w:hanging="1241"/>
        <w:spacing w:after="0" w:line="246" w:lineRule="auto"/>
        <w:tabs>
          <w:tab w:leader="none" w:pos="2980" w:val="left"/>
        </w:tabs>
        <w:rPr>
          <w:sz w:val="20"/>
          <w:szCs w:val="20"/>
          <w:color w:val="auto"/>
        </w:rPr>
      </w:pPr>
      <w:r>
        <w:rPr>
          <w:rFonts w:ascii="Arial" w:cs="Arial" w:eastAsia="Arial" w:hAnsi="Arial"/>
          <w:sz w:val="18"/>
          <w:szCs w:val="18"/>
          <w:b w:val="1"/>
          <w:bCs w:val="1"/>
          <w:color w:val="auto"/>
        </w:rPr>
        <w:t>Item 2</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Approval, by non-binding vote, of the compensation paid to the company's named executive officers.</w:t>
      </w:r>
    </w:p>
    <w:p>
      <w:pPr>
        <w:spacing w:after="0" w:line="35" w:lineRule="exact"/>
        <w:rPr>
          <w:sz w:val="20"/>
          <w:szCs w:val="20"/>
          <w:color w:val="auto"/>
        </w:rPr>
      </w:pPr>
    </w:p>
    <w:p>
      <w:pPr>
        <w:ind w:left="3000" w:right="3460" w:hanging="1241"/>
        <w:spacing w:after="0" w:line="246" w:lineRule="auto"/>
        <w:tabs>
          <w:tab w:leader="none" w:pos="2980" w:val="left"/>
        </w:tabs>
        <w:rPr>
          <w:sz w:val="20"/>
          <w:szCs w:val="20"/>
          <w:color w:val="auto"/>
        </w:rPr>
      </w:pPr>
      <w:r>
        <w:rPr>
          <w:rFonts w:ascii="Arial" w:cs="Arial" w:eastAsia="Arial" w:hAnsi="Arial"/>
          <w:sz w:val="18"/>
          <w:szCs w:val="18"/>
          <w:b w:val="1"/>
          <w:bCs w:val="1"/>
          <w:color w:val="auto"/>
        </w:rPr>
        <w:t>Item 3</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Ratification of Ernst &amp; Young LLP as the principal independent auditor for 2018.</w:t>
      </w:r>
    </w:p>
    <w:p>
      <w:pPr>
        <w:spacing w:after="0" w:line="35" w:lineRule="exact"/>
        <w:rPr>
          <w:sz w:val="20"/>
          <w:szCs w:val="20"/>
          <w:color w:val="auto"/>
        </w:rPr>
      </w:pPr>
    </w:p>
    <w:p>
      <w:pPr>
        <w:ind w:left="3000" w:right="3240" w:hanging="1241"/>
        <w:spacing w:after="0" w:line="246" w:lineRule="auto"/>
        <w:tabs>
          <w:tab w:leader="none" w:pos="2980" w:val="left"/>
        </w:tabs>
        <w:rPr>
          <w:sz w:val="20"/>
          <w:szCs w:val="20"/>
          <w:color w:val="auto"/>
        </w:rPr>
      </w:pPr>
      <w:r>
        <w:rPr>
          <w:rFonts w:ascii="Arial" w:cs="Arial" w:eastAsia="Arial" w:hAnsi="Arial"/>
          <w:sz w:val="18"/>
          <w:szCs w:val="18"/>
          <w:b w:val="1"/>
          <w:bCs w:val="1"/>
          <w:color w:val="auto"/>
        </w:rPr>
        <w:t>Item 4</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Approve amendments to the Articles of Incorporation to eliminate the classified board structure.</w:t>
      </w:r>
    </w:p>
    <w:p>
      <w:pPr>
        <w:spacing w:after="0" w:line="35" w:lineRule="exact"/>
        <w:rPr>
          <w:sz w:val="20"/>
          <w:szCs w:val="20"/>
          <w:color w:val="auto"/>
        </w:rPr>
      </w:pPr>
    </w:p>
    <w:p>
      <w:pPr>
        <w:ind w:left="3000" w:right="3240" w:hanging="1241"/>
        <w:spacing w:after="0" w:line="246" w:lineRule="auto"/>
        <w:tabs>
          <w:tab w:leader="none" w:pos="2980" w:val="left"/>
        </w:tabs>
        <w:rPr>
          <w:sz w:val="20"/>
          <w:szCs w:val="20"/>
          <w:color w:val="auto"/>
        </w:rPr>
      </w:pPr>
      <w:r>
        <w:rPr>
          <w:rFonts w:ascii="Arial" w:cs="Arial" w:eastAsia="Arial" w:hAnsi="Arial"/>
          <w:sz w:val="18"/>
          <w:szCs w:val="18"/>
          <w:b w:val="1"/>
          <w:bCs w:val="1"/>
          <w:color w:val="auto"/>
        </w:rPr>
        <w:t>Item 5</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Approve amendments to the Articles of Incorporation to eliminate supermajority voting provisions.</w:t>
      </w:r>
    </w:p>
    <w:p>
      <w:pPr>
        <w:spacing w:after="0" w:line="35" w:lineRule="exact"/>
        <w:rPr>
          <w:sz w:val="20"/>
          <w:szCs w:val="20"/>
          <w:color w:val="auto"/>
        </w:rPr>
      </w:pPr>
    </w:p>
    <w:p>
      <w:pPr>
        <w:ind w:left="1760"/>
        <w:spacing w:after="0"/>
        <w:tabs>
          <w:tab w:leader="none" w:pos="2980" w:val="left"/>
        </w:tabs>
        <w:rPr>
          <w:sz w:val="20"/>
          <w:szCs w:val="20"/>
          <w:color w:val="auto"/>
        </w:rPr>
      </w:pPr>
      <w:r>
        <w:rPr>
          <w:rFonts w:ascii="Arial" w:cs="Arial" w:eastAsia="Arial" w:hAnsi="Arial"/>
          <w:sz w:val="18"/>
          <w:szCs w:val="18"/>
          <w:b w:val="1"/>
          <w:bCs w:val="1"/>
          <w:color w:val="auto"/>
        </w:rPr>
        <w:t>Item 6</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Approve the Amended and Restated 2002 Lilly Stock Plan.</w:t>
      </w:r>
    </w:p>
    <w:p>
      <w:pPr>
        <w:spacing w:after="0" w:line="63" w:lineRule="exact"/>
        <w:rPr>
          <w:sz w:val="20"/>
          <w:szCs w:val="20"/>
          <w:color w:val="auto"/>
        </w:rPr>
      </w:pPr>
    </w:p>
    <w:p>
      <w:pPr>
        <w:ind w:left="3000" w:right="3500" w:hanging="1241"/>
        <w:spacing w:after="0" w:line="246" w:lineRule="auto"/>
        <w:tabs>
          <w:tab w:leader="none" w:pos="2980" w:val="left"/>
        </w:tabs>
        <w:rPr>
          <w:sz w:val="20"/>
          <w:szCs w:val="20"/>
          <w:color w:val="auto"/>
        </w:rPr>
      </w:pPr>
      <w:r>
        <w:rPr>
          <w:rFonts w:ascii="Arial" w:cs="Arial" w:eastAsia="Arial" w:hAnsi="Arial"/>
          <w:sz w:val="18"/>
          <w:szCs w:val="18"/>
          <w:b w:val="1"/>
          <w:bCs w:val="1"/>
          <w:color w:val="auto"/>
        </w:rPr>
        <w:t>Item 7</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Shareholder proposal seeking support for the descheduling of cannabis.</w:t>
      </w:r>
    </w:p>
    <w:p>
      <w:pPr>
        <w:spacing w:after="0" w:line="35" w:lineRule="exact"/>
        <w:rPr>
          <w:sz w:val="20"/>
          <w:szCs w:val="20"/>
          <w:color w:val="auto"/>
        </w:rPr>
      </w:pPr>
    </w:p>
    <w:p>
      <w:pPr>
        <w:ind w:left="3000" w:right="3640" w:hanging="1241"/>
        <w:spacing w:after="0" w:line="246" w:lineRule="auto"/>
        <w:tabs>
          <w:tab w:leader="none" w:pos="2980" w:val="left"/>
        </w:tabs>
        <w:rPr>
          <w:sz w:val="20"/>
          <w:szCs w:val="20"/>
          <w:color w:val="auto"/>
        </w:rPr>
      </w:pPr>
      <w:r>
        <w:rPr>
          <w:rFonts w:ascii="Arial" w:cs="Arial" w:eastAsia="Arial" w:hAnsi="Arial"/>
          <w:sz w:val="18"/>
          <w:szCs w:val="18"/>
          <w:b w:val="1"/>
          <w:bCs w:val="1"/>
          <w:color w:val="auto"/>
        </w:rPr>
        <w:t>Item 8</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Shareholder proposal requesting report regarding direct and indirect political contributions.</w:t>
      </w:r>
    </w:p>
    <w:p>
      <w:pPr>
        <w:spacing w:after="0" w:line="35" w:lineRule="exact"/>
        <w:rPr>
          <w:sz w:val="20"/>
          <w:szCs w:val="20"/>
          <w:color w:val="auto"/>
        </w:rPr>
      </w:pPr>
    </w:p>
    <w:p>
      <w:pPr>
        <w:ind w:left="3000" w:right="3260" w:hanging="1241"/>
        <w:spacing w:after="0" w:line="246" w:lineRule="auto"/>
        <w:tabs>
          <w:tab w:leader="none" w:pos="2980" w:val="left"/>
        </w:tabs>
        <w:rPr>
          <w:sz w:val="20"/>
          <w:szCs w:val="20"/>
          <w:color w:val="auto"/>
        </w:rPr>
      </w:pPr>
      <w:r>
        <w:rPr>
          <w:rFonts w:ascii="Arial" w:cs="Arial" w:eastAsia="Arial" w:hAnsi="Arial"/>
          <w:sz w:val="18"/>
          <w:szCs w:val="18"/>
          <w:b w:val="1"/>
          <w:bCs w:val="1"/>
          <w:color w:val="auto"/>
        </w:rPr>
        <w:t>Item 9</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Shareholder proposal requesting report on policies and practices regarding contract animal laboratories.</w:t>
      </w:r>
    </w:p>
    <w:p>
      <w:pPr>
        <w:spacing w:after="0" w:line="35" w:lineRule="exact"/>
        <w:rPr>
          <w:sz w:val="20"/>
          <w:szCs w:val="20"/>
          <w:color w:val="auto"/>
        </w:rPr>
      </w:pPr>
    </w:p>
    <w:p>
      <w:pPr>
        <w:ind w:left="3000" w:right="3360" w:hanging="1241"/>
        <w:spacing w:after="0"/>
        <w:tabs>
          <w:tab w:leader="none" w:pos="2980" w:val="left"/>
        </w:tabs>
        <w:rPr>
          <w:sz w:val="20"/>
          <w:szCs w:val="20"/>
          <w:color w:val="auto"/>
        </w:rPr>
      </w:pPr>
      <w:r>
        <w:rPr>
          <w:rFonts w:ascii="Arial" w:cs="Arial" w:eastAsia="Arial" w:hAnsi="Arial"/>
          <w:sz w:val="18"/>
          <w:szCs w:val="18"/>
          <w:b w:val="1"/>
          <w:bCs w:val="1"/>
          <w:color w:val="auto"/>
        </w:rPr>
        <w:t>Item10</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Shareholder proposal requesting report on extent to which risks related to public concern over drug pricing strategies are integrated into incentive compensation arrangements.</w:t>
      </w:r>
    </w:p>
    <w:p>
      <w:pPr>
        <w:spacing w:after="0" w:line="303" w:lineRule="exact"/>
        <w:rPr>
          <w:sz w:val="20"/>
          <w:szCs w:val="20"/>
          <w:color w:val="auto"/>
        </w:rPr>
      </w:pPr>
    </w:p>
    <w:p>
      <w:pPr>
        <w:spacing w:after="0"/>
        <w:rPr>
          <w:sz w:val="20"/>
          <w:szCs w:val="20"/>
          <w:color w:val="auto"/>
        </w:rPr>
      </w:pPr>
      <w:r>
        <w:rPr>
          <w:rFonts w:ascii="Arial" w:cs="Arial" w:eastAsia="Arial" w:hAnsi="Arial"/>
          <w:sz w:val="25"/>
          <w:szCs w:val="25"/>
          <w:b w:val="1"/>
          <w:bCs w:val="1"/>
          <w:color w:val="FF0000"/>
        </w:rPr>
        <w:t>What Is New In This Year's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81280</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16"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In February 2017, we welcomed Carolyn R. Bertozzi to the board. Dr. Bertozzi is the Anne T. and Robert M. Bass Professor of Chemistry and Professor of Chemical and Systems Biology and Radiology at Stanford University. She is an investigator for the Howard Hughes Medical Institute. In May 2017, John Lechleiter and Franklyn Prendergast retired from the board and on June 1, 2017, Dave Ricks succeeded John Lechleiter as Chairman.</w:t>
      </w:r>
    </w:p>
    <w:p>
      <w:pPr>
        <w:spacing w:after="0" w:line="204"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Every year the Directors and Corporate Governance Committee conducts a robust assessment of the board's performance, board committee performance, and all board processes, based on input from all directors. We also conduct a detailed review of individual director performance at least every three years, when considering whether to nominate the director to a new three-year term. In 2017, we updated our process to include an assessment of each director every year.</w:t>
      </w:r>
    </w:p>
    <w:p>
      <w:pPr>
        <w:spacing w:after="0" w:line="20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 xml:space="preserve">The board has approved, and recommends that the shareholders approve, the following management proposals at this meeting. The board recommends approval of amendments to the company’s Articles of Incorporation to eliminate the classified board structure (see </w:t>
      </w:r>
      <w:r>
        <w:rPr>
          <w:rFonts w:ascii="Arial" w:cs="Arial" w:eastAsia="Arial" w:hAnsi="Arial"/>
          <w:sz w:val="18"/>
          <w:szCs w:val="18"/>
          <w:u w:val="single" w:color="auto"/>
          <w:color w:val="auto"/>
        </w:rPr>
        <w:t>Item 4</w:t>
      </w:r>
      <w:r>
        <w:rPr>
          <w:rFonts w:ascii="Arial" w:cs="Arial" w:eastAsia="Arial" w:hAnsi="Arial"/>
          <w:sz w:val="18"/>
          <w:szCs w:val="18"/>
          <w:color w:val="auto"/>
        </w:rPr>
        <w:t xml:space="preserve"> herein) and to eliminate supermajority voting provisions (see </w:t>
      </w:r>
      <w:r>
        <w:rPr>
          <w:rFonts w:ascii="Arial" w:cs="Arial" w:eastAsia="Arial" w:hAnsi="Arial"/>
          <w:sz w:val="18"/>
          <w:szCs w:val="18"/>
          <w:u w:val="single" w:color="auto"/>
          <w:color w:val="auto"/>
        </w:rPr>
        <w:t>Item 5</w:t>
      </w:r>
      <w:r>
        <w:rPr>
          <w:rFonts w:ascii="Arial" w:cs="Arial" w:eastAsia="Arial" w:hAnsi="Arial"/>
          <w:sz w:val="18"/>
          <w:szCs w:val="18"/>
          <w:color w:val="auto"/>
        </w:rPr>
        <w:t xml:space="preserve"> herein). The board believes these two proposals balance shareholder interests and demonstrate its accountability and willingness to take steps that address shareholder-expressed concerns. Lastly, the board recommends approval of the company’s amended and restated stock plan (see </w:t>
      </w:r>
      <w:r>
        <w:rPr>
          <w:rFonts w:ascii="Arial" w:cs="Arial" w:eastAsia="Arial" w:hAnsi="Arial"/>
          <w:sz w:val="18"/>
          <w:szCs w:val="18"/>
          <w:u w:val="single" w:color="auto"/>
          <w:color w:val="auto"/>
        </w:rPr>
        <w:t>Item 6</w:t>
      </w:r>
      <w:r>
        <w:rPr>
          <w:rFonts w:ascii="Arial" w:cs="Arial" w:eastAsia="Arial" w:hAnsi="Arial"/>
          <w:sz w:val="18"/>
          <w:szCs w:val="18"/>
          <w:color w:val="auto"/>
        </w:rPr>
        <w:t xml:space="preserve"> herein). Stock incentive plans have been an integral part of the company’s compensation programs</w:t>
      </w:r>
    </w:p>
    <w:p>
      <w:pPr>
        <w:spacing w:after="0" w:line="2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P2</w:t>
      </w:r>
    </w:p>
    <w:p>
      <w:pPr>
        <w:sectPr>
          <w:pgSz w:w="11900" w:h="16838" w:orient="portrait"/>
          <w:cols w:equalWidth="0" w:num="1">
            <w:col w:w="11420"/>
          </w:cols>
          <w:pgMar w:left="240" w:top="568" w:right="239" w:bottom="1440" w:gutter="0" w:footer="0" w:header="0"/>
        </w:sectPr>
      </w:pPr>
    </w:p>
    <w:bookmarkStart w:id="6" w:name="page7"/>
    <w:bookmarkEnd w:id="6"/>
    <w:p>
      <w:pPr>
        <w:ind w:right="240"/>
        <w:spacing w:after="0" w:line="262" w:lineRule="auto"/>
        <w:rPr>
          <w:sz w:val="20"/>
          <w:szCs w:val="20"/>
          <w:color w:val="auto"/>
        </w:rPr>
      </w:pPr>
      <w:r>
        <w:rPr>
          <w:rFonts w:ascii="Arial" w:cs="Arial" w:eastAsia="Arial" w:hAnsi="Arial"/>
          <w:sz w:val="18"/>
          <w:szCs w:val="18"/>
          <w:color w:val="auto"/>
        </w:rPr>
        <w:t>for more than 50 years. The board believes these plans enable the company to attract and retain top talent and focus employees on creating and sustaining shareholder value through increased employee stock ownership.</w:t>
      </w:r>
    </w:p>
    <w:p>
      <w:pPr>
        <w:spacing w:after="0" w:line="248" w:lineRule="exact"/>
        <w:rPr>
          <w:sz w:val="20"/>
          <w:szCs w:val="20"/>
          <w:color w:val="auto"/>
        </w:rPr>
      </w:pPr>
    </w:p>
    <w:p>
      <w:pPr>
        <w:spacing w:after="0"/>
        <w:rPr>
          <w:sz w:val="20"/>
          <w:szCs w:val="20"/>
          <w:color w:val="auto"/>
        </w:rPr>
      </w:pPr>
      <w:r>
        <w:rPr>
          <w:rFonts w:ascii="Arial" w:cs="Arial" w:eastAsia="Arial" w:hAnsi="Arial"/>
          <w:sz w:val="25"/>
          <w:szCs w:val="25"/>
          <w:b w:val="1"/>
          <w:bCs w:val="1"/>
          <w:color w:val="FF0000"/>
        </w:rPr>
        <w:t>Highlights of 2017 Company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81280</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16"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 following provides a brief look at our 2017 performance in three dimensions: operating performance, innovation progress, and shareholder return. See our 2017 annual report on Form 10-K for more details.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Performance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Performance highlights:</w:t>
      </w:r>
    </w:p>
    <w:p>
      <w:pPr>
        <w:spacing w:after="0" w:line="63"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2017 revenue increased 8 percent to approximately $22.9 billion.</w:t>
      </w:r>
    </w:p>
    <w:p>
      <w:pPr>
        <w:spacing w:after="0" w:line="9" w:lineRule="exact"/>
        <w:rPr>
          <w:rFonts w:ascii="Arial" w:cs="Arial" w:eastAsia="Arial" w:hAnsi="Arial"/>
          <w:sz w:val="18"/>
          <w:szCs w:val="18"/>
          <w:color w:val="auto"/>
        </w:rPr>
      </w:pPr>
    </w:p>
    <w:p>
      <w:pPr>
        <w:ind w:left="660" w:right="4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2017 earnings per share (EPS) were a loss of $0.19 on a reported basis and reflect charges associated with recently enacted U.S. tax reform legislation, activities associated with reducing the company’s cost structure, and acquired in-process research and development charges.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2017 EPS increased 22 percent on a non-GAAP basis to $4.28.</w:t>
      </w:r>
    </w:p>
    <w:p>
      <w:pPr>
        <w:spacing w:after="0" w:line="225" w:lineRule="exact"/>
        <w:rPr>
          <w:sz w:val="20"/>
          <w:szCs w:val="20"/>
          <w:color w:val="auto"/>
        </w:rPr>
      </w:pPr>
    </w:p>
    <w:p>
      <w:pPr>
        <w:ind w:right="3480"/>
        <w:spacing w:after="0" w:line="262" w:lineRule="auto"/>
        <w:rPr>
          <w:sz w:val="20"/>
          <w:szCs w:val="20"/>
          <w:color w:val="auto"/>
        </w:rPr>
      </w:pPr>
      <w:r>
        <w:rPr>
          <w:rFonts w:ascii="Arial" w:cs="Arial" w:eastAsia="Arial" w:hAnsi="Arial"/>
          <w:sz w:val="18"/>
          <w:szCs w:val="18"/>
          <w:color w:val="auto"/>
        </w:rPr>
        <w:t>*A reconciliation of measures prepared in accordance with generally accepted accounting principles (GAAP) and externally reported non-GAAP measures is included in Appendix A.</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Innovation Progress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We made significant advances with our pipeline in 2017, including:</w:t>
      </w:r>
    </w:p>
    <w:p>
      <w:pPr>
        <w:spacing w:after="0" w:line="61" w:lineRule="exact"/>
        <w:rPr>
          <w:sz w:val="20"/>
          <w:szCs w:val="20"/>
          <w:color w:val="auto"/>
        </w:rPr>
      </w:pPr>
    </w:p>
    <w:p>
      <w:pPr>
        <w:ind w:left="660" w:right="320" w:hanging="328"/>
        <w:spacing w:after="0" w:line="232"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U.S. approval of Verzenio</w:t>
      </w:r>
      <w:r>
        <w:rPr>
          <w:rFonts w:ascii="Arial" w:cs="Arial" w:eastAsia="Arial" w:hAnsi="Arial"/>
          <w:sz w:val="21"/>
          <w:szCs w:val="21"/>
          <w:color w:val="auto"/>
          <w:vertAlign w:val="superscript"/>
        </w:rPr>
        <w:t>TM</w:t>
      </w:r>
      <w:r>
        <w:rPr>
          <w:rFonts w:ascii="Arial" w:cs="Arial" w:eastAsia="Arial" w:hAnsi="Arial"/>
          <w:sz w:val="18"/>
          <w:szCs w:val="18"/>
          <w:color w:val="auto"/>
        </w:rPr>
        <w:t xml:space="preserve"> (abemaciclib) indicated both as a single agent and in combination with another chemotherapy agent for treatment of certain types of advanced or metastatic breast cancer.</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U.S. and EU approval for Taltz® (ixekizumab) for the treatment of adults with active psoriatic arthritis.</w:t>
      </w:r>
    </w:p>
    <w:p>
      <w:pPr>
        <w:spacing w:after="0" w:line="9" w:lineRule="exact"/>
        <w:rPr>
          <w:rFonts w:ascii="Arial" w:cs="Arial" w:eastAsia="Arial" w:hAnsi="Arial"/>
          <w:sz w:val="18"/>
          <w:szCs w:val="18"/>
          <w:color w:val="auto"/>
        </w:rPr>
      </w:pPr>
    </w:p>
    <w:p>
      <w:pPr>
        <w:ind w:left="660" w:right="10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EU and Japan approvals for Olumiant® (baricitinib) for the treatment of moderate-to-severe active rheumatoid arthritis and rheumatoid arthritis, respectively. Olumiant is part of the company’s collaboration with Incyte.</w:t>
      </w:r>
    </w:p>
    <w:p>
      <w:pPr>
        <w:ind w:left="660" w:right="28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U.S. approval of updates to the label for Trulicity® (dulaglutide) to include use in combination with basal insulin for adults with type 2 diabetes.</w:t>
      </w:r>
    </w:p>
    <w:p>
      <w:pPr>
        <w:ind w:left="660" w:right="16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Submission for regulatory approval of galcanezumab in the U.S. for migraine prevention and resubmission of baricitinib in the U.S. for rheumatoid arthritis.</w:t>
      </w:r>
    </w:p>
    <w:p>
      <w:pPr>
        <w:ind w:left="660" w:right="720" w:hanging="328"/>
        <w:spacing w:after="0" w:line="262"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Phase 3 clinical trial initiations of ultra-rapid insulin for diabetes, empagliflozin for chronic heart failure, and baricitinib for atopic dermatitis.</w:t>
      </w:r>
    </w:p>
    <w:p>
      <w:pPr>
        <w:spacing w:after="0" w:line="2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P3</w:t>
      </w:r>
    </w:p>
    <w:p>
      <w:pPr>
        <w:sectPr>
          <w:pgSz w:w="11900" w:h="16838" w:orient="portrait"/>
          <w:cols w:equalWidth="0" w:num="1">
            <w:col w:w="11420"/>
          </w:cols>
          <w:pgMar w:left="240" w:top="598"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auto"/>
        </w:rPr>
        <w:t>Shareholder Return</w:t>
      </w:r>
    </w:p>
    <w:p>
      <w:pPr>
        <w:spacing w:after="0" w:line="85" w:lineRule="exact"/>
        <w:rPr>
          <w:sz w:val="20"/>
          <w:szCs w:val="20"/>
          <w:color w:val="auto"/>
        </w:rPr>
      </w:pPr>
    </w:p>
    <w:p>
      <w:pPr>
        <w:ind w:right="500"/>
        <w:spacing w:after="0" w:line="262" w:lineRule="auto"/>
        <w:rPr>
          <w:sz w:val="20"/>
          <w:szCs w:val="20"/>
          <w:color w:val="auto"/>
        </w:rPr>
      </w:pPr>
      <w:r>
        <w:rPr>
          <w:rFonts w:ascii="Arial" w:cs="Arial" w:eastAsia="Arial" w:hAnsi="Arial"/>
          <w:sz w:val="18"/>
          <w:szCs w:val="18"/>
          <w:color w:val="auto"/>
        </w:rPr>
        <w:t>We generated strong total shareholder returns (share price appreciation plus dividends, reinvested quarterly) through year-end 2017. Our returns exceeded the compensation peer group but slightly lagged the S&amp;P 500 across the time periods presented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1488440</wp:posOffset>
            </wp:positionH>
            <wp:positionV relativeFrom="paragraph">
              <wp:posOffset>262255</wp:posOffset>
            </wp:positionV>
            <wp:extent cx="4288155" cy="29673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288155" cy="2967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P4</w:t>
      </w:r>
    </w:p>
    <w:p>
      <w:pPr>
        <w:sectPr>
          <w:pgSz w:w="11900" w:h="16838" w:orient="portrait"/>
          <w:cols w:equalWidth="0" w:num="1">
            <w:col w:w="11420"/>
          </w:cols>
          <w:pgMar w:left="240" w:top="576" w:right="239" w:bottom="1440" w:gutter="0" w:footer="0" w:header="0"/>
        </w:sectPr>
      </w:pPr>
    </w:p>
    <w:bookmarkStart w:id="8" w:name="page9"/>
    <w:bookmarkEnd w:id="8"/>
    <w:p>
      <w:pPr>
        <w:ind w:left="40"/>
        <w:spacing w:after="0"/>
        <w:rPr>
          <w:sz w:val="20"/>
          <w:szCs w:val="20"/>
          <w:color w:val="auto"/>
        </w:rPr>
      </w:pPr>
      <w:r>
        <w:rPr>
          <w:rFonts w:ascii="Arial" w:cs="Arial" w:eastAsia="Arial" w:hAnsi="Arial"/>
          <w:sz w:val="29"/>
          <w:szCs w:val="29"/>
          <w:b w:val="1"/>
          <w:bCs w:val="1"/>
          <w:color w:val="FF0000"/>
        </w:rPr>
        <w:t>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75" w:lineRule="exact"/>
        <w:rPr>
          <w:sz w:val="20"/>
          <w:szCs w:val="20"/>
          <w:color w:val="auto"/>
        </w:rPr>
      </w:pPr>
    </w:p>
    <w:p>
      <w:pPr>
        <w:ind w:left="40"/>
        <w:spacing w:after="0"/>
        <w:rPr>
          <w:sz w:val="20"/>
          <w:szCs w:val="20"/>
          <w:color w:val="auto"/>
        </w:rPr>
      </w:pPr>
      <w:r>
        <w:rPr>
          <w:rFonts w:ascii="Arial" w:cs="Arial" w:eastAsia="Arial" w:hAnsi="Arial"/>
          <w:sz w:val="25"/>
          <w:szCs w:val="25"/>
          <w:b w:val="1"/>
          <w:bCs w:val="1"/>
          <w:u w:val="single" w:color="auto"/>
          <w:color w:val="FF0000"/>
        </w:rPr>
        <w:t>Item 1</w:t>
      </w:r>
      <w:r>
        <w:rPr>
          <w:rFonts w:ascii="Arial" w:cs="Arial" w:eastAsia="Arial" w:hAnsi="Arial"/>
          <w:sz w:val="25"/>
          <w:szCs w:val="25"/>
          <w:b w:val="1"/>
          <w:bCs w:val="1"/>
          <w:color w:val="FF0000"/>
        </w:rPr>
        <w:t>: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5505450" cy="6106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505450" cy="6106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jc w:val="right"/>
        <w:ind w:right="20"/>
        <w:spacing w:after="0"/>
        <w:rPr>
          <w:sz w:val="20"/>
          <w:szCs w:val="20"/>
          <w:color w:val="auto"/>
        </w:rPr>
      </w:pPr>
      <w:r>
        <w:rPr>
          <w:rFonts w:ascii="Arial" w:cs="Arial" w:eastAsia="Arial" w:hAnsi="Arial"/>
          <w:sz w:val="17"/>
          <w:szCs w:val="17"/>
          <w:b w:val="1"/>
          <w:bCs w:val="1"/>
          <w:color w:val="auto"/>
        </w:rPr>
        <w:t>Further Information</w:t>
      </w:r>
    </w:p>
    <w:p>
      <w:pPr>
        <w:spacing w:after="0" w:line="102"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See page 11</w:t>
      </w:r>
    </w:p>
    <w:p>
      <w:pPr>
        <w:spacing w:after="0" w:line="268" w:lineRule="exact"/>
        <w:rPr>
          <w:sz w:val="20"/>
          <w:szCs w:val="20"/>
          <w:color w:val="auto"/>
        </w:rPr>
      </w:pPr>
    </w:p>
    <w:p>
      <w:pPr>
        <w:sectPr>
          <w:pgSz w:w="11900" w:h="16838" w:orient="portrait"/>
          <w:cols w:equalWidth="0" w:num="2">
            <w:col w:w="9080" w:space="720"/>
            <w:col w:w="1620"/>
          </w:cols>
          <w:pgMar w:left="240" w:top="1153" w:right="239" w:bottom="1440" w:gutter="0" w:footer="0" w:header="0"/>
        </w:sectPr>
      </w:pP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760" w:type="dxa"/>
            <w:vAlign w:val="bottom"/>
            <w:shd w:val="clear" w:color="auto" w:fill="E5E5E5"/>
          </w:tcPr>
          <w:p>
            <w:pPr>
              <w:ind w:left="1200"/>
              <w:spacing w:after="0"/>
              <w:rPr>
                <w:sz w:val="20"/>
                <w:szCs w:val="20"/>
                <w:color w:val="auto"/>
              </w:rPr>
            </w:pPr>
            <w:r>
              <w:rPr>
                <w:rFonts w:ascii="Arial" w:cs="Arial" w:eastAsia="Arial" w:hAnsi="Arial"/>
                <w:sz w:val="14"/>
                <w:szCs w:val="14"/>
                <w:b w:val="1"/>
                <w:bCs w:val="1"/>
                <w:color w:val="auto"/>
              </w:rPr>
              <w:t>Name and principal occupation</w:t>
            </w:r>
          </w:p>
        </w:tc>
        <w:tc>
          <w:tcPr>
            <w:tcW w:w="1780" w:type="dxa"/>
            <w:vAlign w:val="bottom"/>
            <w:shd w:val="clear" w:color="auto" w:fill="E5E5E5"/>
          </w:tcPr>
          <w:p>
            <w:pPr>
              <w:ind w:left="440"/>
              <w:spacing w:after="0"/>
              <w:rPr>
                <w:sz w:val="20"/>
                <w:szCs w:val="20"/>
                <w:color w:val="auto"/>
              </w:rPr>
            </w:pPr>
            <w:r>
              <w:rPr>
                <w:rFonts w:ascii="Arial" w:cs="Arial" w:eastAsia="Arial" w:hAnsi="Arial"/>
                <w:sz w:val="14"/>
                <w:szCs w:val="14"/>
                <w:b w:val="1"/>
                <w:bCs w:val="1"/>
                <w:color w:val="auto"/>
              </w:rPr>
              <w:t>Public boards</w:t>
            </w:r>
          </w:p>
        </w:tc>
        <w:tc>
          <w:tcPr>
            <w:tcW w:w="1740" w:type="dxa"/>
            <w:vAlign w:val="bottom"/>
            <w:shd w:val="clear" w:color="auto" w:fill="E5E5E5"/>
          </w:tcPr>
          <w:p>
            <w:pPr>
              <w:jc w:val="center"/>
              <w:ind w:left="188"/>
              <w:spacing w:after="0"/>
              <w:rPr>
                <w:sz w:val="20"/>
                <w:szCs w:val="20"/>
                <w:color w:val="auto"/>
              </w:rPr>
            </w:pPr>
            <w:r>
              <w:rPr>
                <w:rFonts w:ascii="Arial" w:cs="Arial" w:eastAsia="Arial" w:hAnsi="Arial"/>
                <w:sz w:val="14"/>
                <w:szCs w:val="14"/>
                <w:b w:val="1"/>
                <w:bCs w:val="1"/>
                <w:color w:val="FF0000"/>
              </w:rPr>
              <w:t>Management</w:t>
            </w:r>
          </w:p>
        </w:tc>
        <w:tc>
          <w:tcPr>
            <w:tcW w:w="1380" w:type="dxa"/>
            <w:vAlign w:val="bottom"/>
            <w:shd w:val="clear" w:color="auto" w:fill="E5E5E5"/>
          </w:tcPr>
          <w:p>
            <w:pPr>
              <w:jc w:val="center"/>
              <w:ind w:right="88"/>
              <w:spacing w:after="0"/>
              <w:rPr>
                <w:sz w:val="20"/>
                <w:szCs w:val="20"/>
                <w:color w:val="auto"/>
              </w:rPr>
            </w:pPr>
            <w:r>
              <w:rPr>
                <w:rFonts w:ascii="Arial" w:cs="Arial" w:eastAsia="Arial" w:hAnsi="Arial"/>
                <w:sz w:val="14"/>
                <w:szCs w:val="14"/>
                <w:b w:val="1"/>
                <w:bCs w:val="1"/>
                <w:color w:val="FF0000"/>
                <w:w w:val="99"/>
              </w:rPr>
              <w:t>Vote required</w:t>
            </w:r>
          </w:p>
        </w:tc>
      </w:tr>
      <w:tr>
        <w:trPr>
          <w:trHeight w:val="190"/>
        </w:trPr>
        <w:tc>
          <w:tcPr>
            <w:tcW w:w="3760" w:type="dxa"/>
            <w:vAlign w:val="bottom"/>
            <w:shd w:val="clear" w:color="auto" w:fill="E5E5E5"/>
          </w:tcPr>
          <w:p>
            <w:pPr>
              <w:spacing w:after="0"/>
              <w:rPr>
                <w:sz w:val="16"/>
                <w:szCs w:val="16"/>
                <w:color w:val="auto"/>
              </w:rPr>
            </w:pPr>
          </w:p>
        </w:tc>
        <w:tc>
          <w:tcPr>
            <w:tcW w:w="1780" w:type="dxa"/>
            <w:vAlign w:val="bottom"/>
            <w:shd w:val="clear" w:color="auto" w:fill="E5E5E5"/>
          </w:tcPr>
          <w:p>
            <w:pPr>
              <w:spacing w:after="0"/>
              <w:rPr>
                <w:sz w:val="16"/>
                <w:szCs w:val="16"/>
                <w:color w:val="auto"/>
              </w:rPr>
            </w:pPr>
          </w:p>
        </w:tc>
        <w:tc>
          <w:tcPr>
            <w:tcW w:w="1740" w:type="dxa"/>
            <w:vAlign w:val="bottom"/>
            <w:shd w:val="clear" w:color="auto" w:fill="E5E5E5"/>
          </w:tcPr>
          <w:p>
            <w:pPr>
              <w:jc w:val="center"/>
              <w:ind w:left="188"/>
              <w:spacing w:after="0"/>
              <w:rPr>
                <w:sz w:val="20"/>
                <w:szCs w:val="20"/>
                <w:color w:val="auto"/>
              </w:rPr>
            </w:pPr>
            <w:r>
              <w:rPr>
                <w:rFonts w:ascii="Arial" w:cs="Arial" w:eastAsia="Arial" w:hAnsi="Arial"/>
                <w:sz w:val="14"/>
                <w:szCs w:val="14"/>
                <w:b w:val="1"/>
                <w:bCs w:val="1"/>
                <w:color w:val="FF0000"/>
              </w:rPr>
              <w:t>recommendation</w:t>
            </w:r>
          </w:p>
        </w:tc>
        <w:tc>
          <w:tcPr>
            <w:tcW w:w="1380" w:type="dxa"/>
            <w:vAlign w:val="bottom"/>
            <w:shd w:val="clear" w:color="auto" w:fill="E5E5E5"/>
          </w:tcPr>
          <w:p>
            <w:pPr>
              <w:jc w:val="center"/>
              <w:ind w:right="48"/>
              <w:spacing w:after="0"/>
              <w:rPr>
                <w:sz w:val="20"/>
                <w:szCs w:val="20"/>
                <w:color w:val="auto"/>
              </w:rPr>
            </w:pPr>
            <w:r>
              <w:rPr>
                <w:rFonts w:ascii="Arial" w:cs="Arial" w:eastAsia="Arial" w:hAnsi="Arial"/>
                <w:sz w:val="14"/>
                <w:szCs w:val="14"/>
                <w:b w:val="1"/>
                <w:bCs w:val="1"/>
                <w:color w:val="FF0000"/>
              </w:rPr>
              <w:t>to pass</w:t>
            </w:r>
          </w:p>
        </w:tc>
      </w:tr>
      <w:tr>
        <w:trPr>
          <w:trHeight w:val="174"/>
        </w:trPr>
        <w:tc>
          <w:tcPr>
            <w:tcW w:w="3760" w:type="dxa"/>
            <w:vAlign w:val="bottom"/>
            <w:shd w:val="clear" w:color="auto" w:fill="E5E5E5"/>
          </w:tcPr>
          <w:p>
            <w:pPr>
              <w:spacing w:after="0"/>
              <w:rPr>
                <w:sz w:val="15"/>
                <w:szCs w:val="15"/>
                <w:color w:val="auto"/>
              </w:rPr>
            </w:pPr>
          </w:p>
        </w:tc>
        <w:tc>
          <w:tcPr>
            <w:tcW w:w="1780" w:type="dxa"/>
            <w:vAlign w:val="bottom"/>
            <w:shd w:val="clear" w:color="auto" w:fill="E5E5E5"/>
          </w:tcPr>
          <w:p>
            <w:pPr>
              <w:spacing w:after="0"/>
              <w:rPr>
                <w:sz w:val="15"/>
                <w:szCs w:val="15"/>
                <w:color w:val="auto"/>
              </w:rPr>
            </w:pPr>
          </w:p>
        </w:tc>
        <w:tc>
          <w:tcPr>
            <w:tcW w:w="1740" w:type="dxa"/>
            <w:vAlign w:val="bottom"/>
            <w:shd w:val="clear" w:color="auto" w:fill="E5E5E5"/>
          </w:tcPr>
          <w:p>
            <w:pPr>
              <w:spacing w:after="0"/>
              <w:rPr>
                <w:sz w:val="15"/>
                <w:szCs w:val="15"/>
                <w:color w:val="auto"/>
              </w:rPr>
            </w:pPr>
          </w:p>
        </w:tc>
        <w:tc>
          <w:tcPr>
            <w:tcW w:w="1380" w:type="dxa"/>
            <w:vAlign w:val="bottom"/>
            <w:shd w:val="clear" w:color="auto" w:fill="E5E5E5"/>
          </w:tcPr>
          <w:p>
            <w:pPr>
              <w:spacing w:after="0"/>
              <w:rPr>
                <w:sz w:val="15"/>
                <w:szCs w:val="15"/>
                <w:color w:val="auto"/>
              </w:rPr>
            </w:pPr>
          </w:p>
        </w:tc>
      </w:tr>
    </w:tbl>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100" w:type="dxa"/>
            <w:vAlign w:val="bottom"/>
          </w:tcPr>
          <w:p>
            <w:pPr>
              <w:ind w:left="1200"/>
              <w:spacing w:after="0"/>
              <w:rPr>
                <w:sz w:val="20"/>
                <w:szCs w:val="20"/>
                <w:color w:val="auto"/>
              </w:rPr>
            </w:pPr>
            <w:r>
              <w:rPr>
                <w:rFonts w:ascii="Arial" w:cs="Arial" w:eastAsia="Arial" w:hAnsi="Arial"/>
                <w:sz w:val="18"/>
                <w:szCs w:val="18"/>
                <w:b w:val="1"/>
                <w:bCs w:val="1"/>
                <w:color w:val="auto"/>
              </w:rPr>
              <w:t>Katherine Baicker, Ph.D., 46</w:t>
            </w:r>
          </w:p>
        </w:tc>
        <w:tc>
          <w:tcPr>
            <w:tcW w:w="1880" w:type="dxa"/>
            <w:vAlign w:val="bottom"/>
          </w:tcPr>
          <w:p>
            <w:pPr>
              <w:spacing w:after="0"/>
              <w:rPr>
                <w:sz w:val="19"/>
                <w:szCs w:val="19"/>
                <w:color w:val="auto"/>
              </w:rPr>
            </w:pPr>
          </w:p>
        </w:tc>
        <w:tc>
          <w:tcPr>
            <w:tcW w:w="1240" w:type="dxa"/>
            <w:vAlign w:val="bottom"/>
          </w:tcPr>
          <w:p>
            <w:pPr>
              <w:ind w:left="140"/>
              <w:spacing w:after="0"/>
              <w:rPr>
                <w:sz w:val="20"/>
                <w:szCs w:val="20"/>
                <w:color w:val="auto"/>
              </w:rPr>
            </w:pPr>
            <w:r>
              <w:rPr>
                <w:rFonts w:ascii="Arial" w:cs="Arial" w:eastAsia="Arial" w:hAnsi="Arial"/>
                <w:sz w:val="18"/>
                <w:szCs w:val="18"/>
                <w:b w:val="1"/>
                <w:bCs w:val="1"/>
                <w:color w:val="auto"/>
              </w:rPr>
              <w:t>Vote FOR</w:t>
            </w:r>
          </w:p>
        </w:tc>
        <w:tc>
          <w:tcPr>
            <w:tcW w:w="1460" w:type="dxa"/>
            <w:vAlign w:val="bottom"/>
          </w:tcPr>
          <w:p>
            <w:pPr>
              <w:ind w:left="280"/>
              <w:spacing w:after="0"/>
              <w:rPr>
                <w:sz w:val="20"/>
                <w:szCs w:val="20"/>
                <w:color w:val="auto"/>
              </w:rPr>
            </w:pPr>
            <w:r>
              <w:rPr>
                <w:rFonts w:ascii="Arial" w:cs="Arial" w:eastAsia="Arial" w:hAnsi="Arial"/>
                <w:sz w:val="18"/>
                <w:szCs w:val="18"/>
                <w:color w:val="auto"/>
              </w:rPr>
              <w:t>Majority of</w:t>
            </w:r>
          </w:p>
        </w:tc>
        <w:tc>
          <w:tcPr>
            <w:tcW w:w="0" w:type="dxa"/>
            <w:vAlign w:val="bottom"/>
          </w:tcPr>
          <w:p>
            <w:pPr>
              <w:spacing w:after="0"/>
              <w:rPr>
                <w:sz w:val="1"/>
                <w:szCs w:val="1"/>
                <w:color w:val="auto"/>
              </w:rPr>
            </w:pPr>
          </w:p>
        </w:tc>
      </w:tr>
      <w:tr>
        <w:trPr>
          <w:trHeight w:val="222"/>
        </w:trPr>
        <w:tc>
          <w:tcPr>
            <w:tcW w:w="4100" w:type="dxa"/>
            <w:vAlign w:val="bottom"/>
          </w:tcPr>
          <w:p>
            <w:pPr>
              <w:ind w:left="1200"/>
              <w:spacing w:after="0"/>
              <w:rPr>
                <w:sz w:val="20"/>
                <w:szCs w:val="20"/>
                <w:color w:val="auto"/>
              </w:rPr>
            </w:pPr>
            <w:r>
              <w:rPr>
                <w:rFonts w:ascii="Arial" w:cs="Arial" w:eastAsia="Arial" w:hAnsi="Arial"/>
                <w:sz w:val="14"/>
                <w:szCs w:val="14"/>
                <w:color w:val="auto"/>
              </w:rPr>
              <w:t>Dean, Harris School of Public Policy,</w:t>
            </w:r>
          </w:p>
        </w:tc>
        <w:tc>
          <w:tcPr>
            <w:tcW w:w="18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60" w:type="dxa"/>
            <w:vAlign w:val="bottom"/>
          </w:tcPr>
          <w:p>
            <w:pPr>
              <w:ind w:left="300"/>
              <w:spacing w:after="0"/>
              <w:rPr>
                <w:sz w:val="20"/>
                <w:szCs w:val="20"/>
                <w:color w:val="auto"/>
              </w:rPr>
            </w:pPr>
            <w:r>
              <w:rPr>
                <w:rFonts w:ascii="Arial" w:cs="Arial" w:eastAsia="Arial" w:hAnsi="Arial"/>
                <w:sz w:val="18"/>
                <w:szCs w:val="18"/>
                <w:color w:val="auto"/>
              </w:rPr>
              <w:t>votes cast</w:t>
            </w:r>
          </w:p>
        </w:tc>
        <w:tc>
          <w:tcPr>
            <w:tcW w:w="0" w:type="dxa"/>
            <w:vAlign w:val="bottom"/>
          </w:tcPr>
          <w:p>
            <w:pPr>
              <w:spacing w:after="0"/>
              <w:rPr>
                <w:sz w:val="1"/>
                <w:szCs w:val="1"/>
                <w:color w:val="auto"/>
              </w:rPr>
            </w:pPr>
          </w:p>
        </w:tc>
      </w:tr>
      <w:tr>
        <w:trPr>
          <w:trHeight w:val="172"/>
        </w:trPr>
        <w:tc>
          <w:tcPr>
            <w:tcW w:w="4100" w:type="dxa"/>
            <w:vAlign w:val="bottom"/>
          </w:tcPr>
          <w:p>
            <w:pPr>
              <w:ind w:left="1200"/>
              <w:spacing w:after="0"/>
              <w:rPr>
                <w:sz w:val="20"/>
                <w:szCs w:val="20"/>
                <w:color w:val="auto"/>
              </w:rPr>
            </w:pPr>
            <w:r>
              <w:rPr>
                <w:rFonts w:ascii="Arial" w:cs="Arial" w:eastAsia="Arial" w:hAnsi="Arial"/>
                <w:sz w:val="14"/>
                <w:szCs w:val="14"/>
                <w:color w:val="auto"/>
              </w:rPr>
              <w:t>University of Chicago</w:t>
            </w:r>
          </w:p>
        </w:tc>
        <w:tc>
          <w:tcPr>
            <w:tcW w:w="1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8"/>
        </w:trPr>
        <w:tc>
          <w:tcPr>
            <w:tcW w:w="4100" w:type="dxa"/>
            <w:vAlign w:val="bottom"/>
          </w:tcPr>
          <w:p>
            <w:pPr>
              <w:ind w:left="1200"/>
              <w:spacing w:after="0"/>
              <w:rPr>
                <w:sz w:val="20"/>
                <w:szCs w:val="20"/>
                <w:color w:val="auto"/>
              </w:rPr>
            </w:pPr>
            <w:r>
              <w:rPr>
                <w:rFonts w:ascii="Arial" w:cs="Arial" w:eastAsia="Arial" w:hAnsi="Arial"/>
                <w:sz w:val="14"/>
                <w:szCs w:val="14"/>
                <w:color w:val="auto"/>
              </w:rPr>
              <w:t>Director since 2011</w:t>
            </w:r>
          </w:p>
        </w:tc>
        <w:tc>
          <w:tcPr>
            <w:tcW w:w="18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8"/>
        </w:trPr>
        <w:tc>
          <w:tcPr>
            <w:tcW w:w="41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100" w:type="dxa"/>
            <w:vAlign w:val="bottom"/>
          </w:tcPr>
          <w:p>
            <w:pPr>
              <w:ind w:left="1200"/>
              <w:spacing w:after="0"/>
              <w:rPr>
                <w:sz w:val="20"/>
                <w:szCs w:val="20"/>
                <w:color w:val="auto"/>
              </w:rPr>
            </w:pPr>
            <w:r>
              <w:rPr>
                <w:rFonts w:ascii="Arial" w:cs="Arial" w:eastAsia="Arial" w:hAnsi="Arial"/>
                <w:sz w:val="18"/>
                <w:szCs w:val="18"/>
                <w:b w:val="1"/>
                <w:bCs w:val="1"/>
                <w:color w:val="auto"/>
              </w:rPr>
              <w:t>J. Erik Fyrwald, 58</w:t>
            </w:r>
          </w:p>
        </w:tc>
        <w:tc>
          <w:tcPr>
            <w:tcW w:w="1880" w:type="dxa"/>
            <w:vAlign w:val="bottom"/>
          </w:tcPr>
          <w:p>
            <w:pPr>
              <w:spacing w:after="0"/>
              <w:rPr>
                <w:sz w:val="19"/>
                <w:szCs w:val="19"/>
                <w:color w:val="auto"/>
              </w:rPr>
            </w:pPr>
          </w:p>
        </w:tc>
        <w:tc>
          <w:tcPr>
            <w:tcW w:w="1240" w:type="dxa"/>
            <w:vAlign w:val="bottom"/>
          </w:tcPr>
          <w:p>
            <w:pPr>
              <w:ind w:left="140"/>
              <w:spacing w:after="0"/>
              <w:rPr>
                <w:sz w:val="20"/>
                <w:szCs w:val="20"/>
                <w:color w:val="auto"/>
              </w:rPr>
            </w:pPr>
            <w:r>
              <w:rPr>
                <w:rFonts w:ascii="Arial" w:cs="Arial" w:eastAsia="Arial" w:hAnsi="Arial"/>
                <w:sz w:val="18"/>
                <w:szCs w:val="18"/>
                <w:b w:val="1"/>
                <w:bCs w:val="1"/>
                <w:color w:val="auto"/>
              </w:rPr>
              <w:t>Vote FOR</w:t>
            </w:r>
          </w:p>
        </w:tc>
        <w:tc>
          <w:tcPr>
            <w:tcW w:w="1460" w:type="dxa"/>
            <w:vAlign w:val="bottom"/>
          </w:tcPr>
          <w:p>
            <w:pPr>
              <w:ind w:left="280"/>
              <w:spacing w:after="0"/>
              <w:rPr>
                <w:sz w:val="20"/>
                <w:szCs w:val="20"/>
                <w:color w:val="auto"/>
              </w:rPr>
            </w:pPr>
            <w:r>
              <w:rPr>
                <w:rFonts w:ascii="Arial" w:cs="Arial" w:eastAsia="Arial" w:hAnsi="Arial"/>
                <w:sz w:val="18"/>
                <w:szCs w:val="18"/>
                <w:color w:val="auto"/>
              </w:rPr>
              <w:t>Majority of</w:t>
            </w:r>
          </w:p>
        </w:tc>
        <w:tc>
          <w:tcPr>
            <w:tcW w:w="0" w:type="dxa"/>
            <w:vAlign w:val="bottom"/>
          </w:tcPr>
          <w:p>
            <w:pPr>
              <w:spacing w:after="0"/>
              <w:rPr>
                <w:sz w:val="1"/>
                <w:szCs w:val="1"/>
                <w:color w:val="auto"/>
              </w:rPr>
            </w:pPr>
          </w:p>
        </w:tc>
      </w:tr>
      <w:tr>
        <w:trPr>
          <w:trHeight w:val="222"/>
        </w:trPr>
        <w:tc>
          <w:tcPr>
            <w:tcW w:w="4100" w:type="dxa"/>
            <w:vAlign w:val="bottom"/>
          </w:tcPr>
          <w:p>
            <w:pPr>
              <w:ind w:left="1200"/>
              <w:spacing w:after="0"/>
              <w:rPr>
                <w:sz w:val="20"/>
                <w:szCs w:val="20"/>
                <w:color w:val="auto"/>
              </w:rPr>
            </w:pPr>
            <w:r>
              <w:rPr>
                <w:rFonts w:ascii="Arial" w:cs="Arial" w:eastAsia="Arial" w:hAnsi="Arial"/>
                <w:sz w:val="14"/>
                <w:szCs w:val="14"/>
                <w:color w:val="auto"/>
              </w:rPr>
              <w:t>President and Chief Executive Officer,</w:t>
            </w:r>
          </w:p>
        </w:tc>
        <w:tc>
          <w:tcPr>
            <w:tcW w:w="18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60" w:type="dxa"/>
            <w:vAlign w:val="bottom"/>
          </w:tcPr>
          <w:p>
            <w:pPr>
              <w:ind w:left="300"/>
              <w:spacing w:after="0"/>
              <w:rPr>
                <w:sz w:val="20"/>
                <w:szCs w:val="20"/>
                <w:color w:val="auto"/>
              </w:rPr>
            </w:pPr>
            <w:r>
              <w:rPr>
                <w:rFonts w:ascii="Arial" w:cs="Arial" w:eastAsia="Arial" w:hAnsi="Arial"/>
                <w:sz w:val="18"/>
                <w:szCs w:val="18"/>
                <w:color w:val="auto"/>
              </w:rPr>
              <w:t>votes cast</w:t>
            </w:r>
          </w:p>
        </w:tc>
        <w:tc>
          <w:tcPr>
            <w:tcW w:w="0" w:type="dxa"/>
            <w:vAlign w:val="bottom"/>
          </w:tcPr>
          <w:p>
            <w:pPr>
              <w:spacing w:after="0"/>
              <w:rPr>
                <w:sz w:val="1"/>
                <w:szCs w:val="1"/>
                <w:color w:val="auto"/>
              </w:rPr>
            </w:pPr>
          </w:p>
        </w:tc>
      </w:tr>
      <w:tr>
        <w:trPr>
          <w:trHeight w:val="172"/>
        </w:trPr>
        <w:tc>
          <w:tcPr>
            <w:tcW w:w="4100" w:type="dxa"/>
            <w:vAlign w:val="bottom"/>
          </w:tcPr>
          <w:p>
            <w:pPr>
              <w:ind w:left="1200"/>
              <w:spacing w:after="0"/>
              <w:rPr>
                <w:sz w:val="20"/>
                <w:szCs w:val="20"/>
                <w:color w:val="auto"/>
              </w:rPr>
            </w:pPr>
            <w:r>
              <w:rPr>
                <w:rFonts w:ascii="Arial" w:cs="Arial" w:eastAsia="Arial" w:hAnsi="Arial"/>
                <w:sz w:val="14"/>
                <w:szCs w:val="14"/>
                <w:color w:val="auto"/>
              </w:rPr>
              <w:t>Syngenta International AG</w:t>
            </w:r>
          </w:p>
        </w:tc>
        <w:tc>
          <w:tcPr>
            <w:tcW w:w="1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8"/>
        </w:trPr>
        <w:tc>
          <w:tcPr>
            <w:tcW w:w="4100" w:type="dxa"/>
            <w:vAlign w:val="bottom"/>
          </w:tcPr>
          <w:p>
            <w:pPr>
              <w:ind w:left="1200"/>
              <w:spacing w:after="0"/>
              <w:rPr>
                <w:sz w:val="20"/>
                <w:szCs w:val="20"/>
                <w:color w:val="auto"/>
              </w:rPr>
            </w:pPr>
            <w:r>
              <w:rPr>
                <w:rFonts w:ascii="Arial" w:cs="Arial" w:eastAsia="Arial" w:hAnsi="Arial"/>
                <w:sz w:val="14"/>
                <w:szCs w:val="14"/>
                <w:color w:val="auto"/>
              </w:rPr>
              <w:t>Director since 2005</w:t>
            </w:r>
          </w:p>
        </w:tc>
        <w:tc>
          <w:tcPr>
            <w:tcW w:w="18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8"/>
        </w:trPr>
        <w:tc>
          <w:tcPr>
            <w:tcW w:w="41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100" w:type="dxa"/>
            <w:vAlign w:val="bottom"/>
          </w:tcPr>
          <w:p>
            <w:pPr>
              <w:ind w:left="1200"/>
              <w:spacing w:after="0"/>
              <w:rPr>
                <w:sz w:val="20"/>
                <w:szCs w:val="20"/>
                <w:color w:val="auto"/>
              </w:rPr>
            </w:pPr>
            <w:r>
              <w:rPr>
                <w:rFonts w:ascii="Arial" w:cs="Arial" w:eastAsia="Arial" w:hAnsi="Arial"/>
                <w:sz w:val="18"/>
                <w:szCs w:val="18"/>
                <w:b w:val="1"/>
                <w:bCs w:val="1"/>
                <w:color w:val="auto"/>
              </w:rPr>
              <w:t>Jamere Jackson, 49</w:t>
            </w:r>
          </w:p>
        </w:tc>
        <w:tc>
          <w:tcPr>
            <w:tcW w:w="1880" w:type="dxa"/>
            <w:vAlign w:val="bottom"/>
          </w:tcPr>
          <w:p>
            <w:pPr>
              <w:spacing w:after="0"/>
              <w:rPr>
                <w:sz w:val="19"/>
                <w:szCs w:val="19"/>
                <w:color w:val="auto"/>
              </w:rPr>
            </w:pPr>
          </w:p>
        </w:tc>
        <w:tc>
          <w:tcPr>
            <w:tcW w:w="1240" w:type="dxa"/>
            <w:vAlign w:val="bottom"/>
          </w:tcPr>
          <w:p>
            <w:pPr>
              <w:ind w:left="140"/>
              <w:spacing w:after="0"/>
              <w:rPr>
                <w:sz w:val="20"/>
                <w:szCs w:val="20"/>
                <w:color w:val="auto"/>
              </w:rPr>
            </w:pPr>
            <w:r>
              <w:rPr>
                <w:rFonts w:ascii="Arial" w:cs="Arial" w:eastAsia="Arial" w:hAnsi="Arial"/>
                <w:sz w:val="18"/>
                <w:szCs w:val="18"/>
                <w:b w:val="1"/>
                <w:bCs w:val="1"/>
                <w:color w:val="auto"/>
              </w:rPr>
              <w:t>Vote FOR</w:t>
            </w:r>
          </w:p>
        </w:tc>
        <w:tc>
          <w:tcPr>
            <w:tcW w:w="1460" w:type="dxa"/>
            <w:vAlign w:val="bottom"/>
          </w:tcPr>
          <w:p>
            <w:pPr>
              <w:ind w:left="280"/>
              <w:spacing w:after="0"/>
              <w:rPr>
                <w:sz w:val="20"/>
                <w:szCs w:val="20"/>
                <w:color w:val="auto"/>
              </w:rPr>
            </w:pPr>
            <w:r>
              <w:rPr>
                <w:rFonts w:ascii="Arial" w:cs="Arial" w:eastAsia="Arial" w:hAnsi="Arial"/>
                <w:sz w:val="18"/>
                <w:szCs w:val="18"/>
                <w:color w:val="auto"/>
              </w:rPr>
              <w:t>Majority of</w:t>
            </w:r>
          </w:p>
        </w:tc>
        <w:tc>
          <w:tcPr>
            <w:tcW w:w="0" w:type="dxa"/>
            <w:vAlign w:val="bottom"/>
          </w:tcPr>
          <w:p>
            <w:pPr>
              <w:spacing w:after="0"/>
              <w:rPr>
                <w:sz w:val="1"/>
                <w:szCs w:val="1"/>
                <w:color w:val="auto"/>
              </w:rPr>
            </w:pPr>
          </w:p>
        </w:tc>
      </w:tr>
      <w:tr>
        <w:trPr>
          <w:trHeight w:val="232"/>
        </w:trPr>
        <w:tc>
          <w:tcPr>
            <w:tcW w:w="4100" w:type="dxa"/>
            <w:vAlign w:val="bottom"/>
          </w:tcPr>
          <w:p>
            <w:pPr>
              <w:ind w:left="1200"/>
              <w:spacing w:after="0"/>
              <w:rPr>
                <w:sz w:val="20"/>
                <w:szCs w:val="20"/>
                <w:color w:val="auto"/>
              </w:rPr>
            </w:pPr>
            <w:r>
              <w:rPr>
                <w:rFonts w:ascii="Arial" w:cs="Arial" w:eastAsia="Arial" w:hAnsi="Arial"/>
                <w:sz w:val="14"/>
                <w:szCs w:val="14"/>
                <w:color w:val="auto"/>
              </w:rPr>
              <w:t>Chief Financial Officer, Nielsen Holdings plc</w:t>
            </w:r>
          </w:p>
        </w:tc>
        <w:tc>
          <w:tcPr>
            <w:tcW w:w="18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60" w:type="dxa"/>
            <w:vAlign w:val="bottom"/>
          </w:tcPr>
          <w:p>
            <w:pPr>
              <w:ind w:left="280"/>
              <w:spacing w:after="0"/>
              <w:rPr>
                <w:sz w:val="20"/>
                <w:szCs w:val="20"/>
                <w:color w:val="auto"/>
              </w:rPr>
            </w:pPr>
            <w:r>
              <w:rPr>
                <w:rFonts w:ascii="Arial" w:cs="Arial" w:eastAsia="Arial" w:hAnsi="Arial"/>
                <w:sz w:val="18"/>
                <w:szCs w:val="18"/>
                <w:color w:val="auto"/>
              </w:rPr>
              <w:t>votes cast</w:t>
            </w:r>
          </w:p>
        </w:tc>
        <w:tc>
          <w:tcPr>
            <w:tcW w:w="0" w:type="dxa"/>
            <w:vAlign w:val="bottom"/>
          </w:tcPr>
          <w:p>
            <w:pPr>
              <w:spacing w:after="0"/>
              <w:rPr>
                <w:sz w:val="1"/>
                <w:szCs w:val="1"/>
                <w:color w:val="auto"/>
              </w:rPr>
            </w:pPr>
          </w:p>
        </w:tc>
      </w:tr>
      <w:tr>
        <w:trPr>
          <w:trHeight w:val="378"/>
        </w:trPr>
        <w:tc>
          <w:tcPr>
            <w:tcW w:w="4100" w:type="dxa"/>
            <w:vAlign w:val="bottom"/>
          </w:tcPr>
          <w:p>
            <w:pPr>
              <w:ind w:left="1200"/>
              <w:spacing w:after="0"/>
              <w:rPr>
                <w:sz w:val="20"/>
                <w:szCs w:val="20"/>
                <w:color w:val="auto"/>
              </w:rPr>
            </w:pPr>
            <w:r>
              <w:rPr>
                <w:rFonts w:ascii="Arial" w:cs="Arial" w:eastAsia="Arial" w:hAnsi="Arial"/>
                <w:sz w:val="14"/>
                <w:szCs w:val="14"/>
                <w:color w:val="auto"/>
              </w:rPr>
              <w:t>Director since 2016</w:t>
            </w:r>
          </w:p>
        </w:tc>
        <w:tc>
          <w:tcPr>
            <w:tcW w:w="18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4"/>
        </w:trPr>
        <w:tc>
          <w:tcPr>
            <w:tcW w:w="41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100" w:type="dxa"/>
            <w:vAlign w:val="bottom"/>
          </w:tcPr>
          <w:p>
            <w:pPr>
              <w:ind w:left="1200"/>
              <w:spacing w:after="0"/>
              <w:rPr>
                <w:sz w:val="20"/>
                <w:szCs w:val="20"/>
                <w:color w:val="auto"/>
              </w:rPr>
            </w:pPr>
            <w:r>
              <w:rPr>
                <w:rFonts w:ascii="Arial" w:cs="Arial" w:eastAsia="Arial" w:hAnsi="Arial"/>
                <w:sz w:val="18"/>
                <w:szCs w:val="18"/>
                <w:b w:val="1"/>
                <w:bCs w:val="1"/>
                <w:color w:val="auto"/>
              </w:rPr>
              <w:t>Ellen R. Marram, 71</w:t>
            </w:r>
          </w:p>
        </w:tc>
        <w:tc>
          <w:tcPr>
            <w:tcW w:w="1880" w:type="dxa"/>
            <w:vAlign w:val="bottom"/>
          </w:tcPr>
          <w:p>
            <w:pPr>
              <w:ind w:left="100"/>
              <w:spacing w:after="0"/>
              <w:rPr>
                <w:sz w:val="20"/>
                <w:szCs w:val="20"/>
                <w:color w:val="auto"/>
              </w:rPr>
            </w:pPr>
            <w:r>
              <w:rPr>
                <w:rFonts w:ascii="Arial" w:cs="Arial" w:eastAsia="Arial" w:hAnsi="Arial"/>
                <w:sz w:val="14"/>
                <w:szCs w:val="14"/>
                <w:color w:val="auto"/>
              </w:rPr>
              <w:t>Ford Motor Company</w:t>
            </w:r>
          </w:p>
        </w:tc>
        <w:tc>
          <w:tcPr>
            <w:tcW w:w="1240" w:type="dxa"/>
            <w:vAlign w:val="bottom"/>
          </w:tcPr>
          <w:p>
            <w:pPr>
              <w:ind w:left="140"/>
              <w:spacing w:after="0"/>
              <w:rPr>
                <w:sz w:val="20"/>
                <w:szCs w:val="20"/>
                <w:color w:val="auto"/>
              </w:rPr>
            </w:pPr>
            <w:r>
              <w:rPr>
                <w:rFonts w:ascii="Arial" w:cs="Arial" w:eastAsia="Arial" w:hAnsi="Arial"/>
                <w:sz w:val="18"/>
                <w:szCs w:val="18"/>
                <w:b w:val="1"/>
                <w:bCs w:val="1"/>
                <w:color w:val="auto"/>
              </w:rPr>
              <w:t>Vote FOR</w:t>
            </w:r>
          </w:p>
        </w:tc>
        <w:tc>
          <w:tcPr>
            <w:tcW w:w="1460" w:type="dxa"/>
            <w:vAlign w:val="bottom"/>
          </w:tcPr>
          <w:p>
            <w:pPr>
              <w:ind w:left="280"/>
              <w:spacing w:after="0"/>
              <w:rPr>
                <w:sz w:val="20"/>
                <w:szCs w:val="20"/>
                <w:color w:val="auto"/>
              </w:rPr>
            </w:pPr>
            <w:r>
              <w:rPr>
                <w:rFonts w:ascii="Arial" w:cs="Arial" w:eastAsia="Arial" w:hAnsi="Arial"/>
                <w:sz w:val="18"/>
                <w:szCs w:val="18"/>
                <w:color w:val="auto"/>
              </w:rPr>
              <w:t>Majority of</w:t>
            </w:r>
          </w:p>
        </w:tc>
        <w:tc>
          <w:tcPr>
            <w:tcW w:w="0" w:type="dxa"/>
            <w:vAlign w:val="bottom"/>
          </w:tcPr>
          <w:p>
            <w:pPr>
              <w:spacing w:after="0"/>
              <w:rPr>
                <w:sz w:val="1"/>
                <w:szCs w:val="1"/>
                <w:color w:val="auto"/>
              </w:rPr>
            </w:pPr>
          </w:p>
        </w:tc>
      </w:tr>
      <w:tr>
        <w:trPr>
          <w:trHeight w:val="232"/>
        </w:trPr>
        <w:tc>
          <w:tcPr>
            <w:tcW w:w="4100" w:type="dxa"/>
            <w:vAlign w:val="bottom"/>
          </w:tcPr>
          <w:p>
            <w:pPr>
              <w:ind w:left="1200"/>
              <w:spacing w:after="0"/>
              <w:rPr>
                <w:sz w:val="20"/>
                <w:szCs w:val="20"/>
                <w:color w:val="auto"/>
              </w:rPr>
            </w:pPr>
            <w:r>
              <w:rPr>
                <w:rFonts w:ascii="Arial" w:cs="Arial" w:eastAsia="Arial" w:hAnsi="Arial"/>
                <w:sz w:val="14"/>
                <w:szCs w:val="14"/>
                <w:color w:val="auto"/>
              </w:rPr>
              <w:t>President, The Barnegat Group LLC</w:t>
            </w:r>
          </w:p>
        </w:tc>
        <w:tc>
          <w:tcPr>
            <w:tcW w:w="18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60" w:type="dxa"/>
            <w:vAlign w:val="bottom"/>
          </w:tcPr>
          <w:p>
            <w:pPr>
              <w:ind w:left="300"/>
              <w:spacing w:after="0"/>
              <w:rPr>
                <w:sz w:val="20"/>
                <w:szCs w:val="20"/>
                <w:color w:val="auto"/>
              </w:rPr>
            </w:pPr>
            <w:r>
              <w:rPr>
                <w:rFonts w:ascii="Arial" w:cs="Arial" w:eastAsia="Arial" w:hAnsi="Arial"/>
                <w:sz w:val="18"/>
                <w:szCs w:val="18"/>
                <w:color w:val="auto"/>
              </w:rPr>
              <w:t>votes cast</w:t>
            </w:r>
          </w:p>
        </w:tc>
        <w:tc>
          <w:tcPr>
            <w:tcW w:w="0" w:type="dxa"/>
            <w:vAlign w:val="bottom"/>
          </w:tcPr>
          <w:p>
            <w:pPr>
              <w:spacing w:after="0"/>
              <w:rPr>
                <w:sz w:val="1"/>
                <w:szCs w:val="1"/>
                <w:color w:val="auto"/>
              </w:rPr>
            </w:pPr>
          </w:p>
        </w:tc>
      </w:tr>
      <w:tr>
        <w:trPr>
          <w:trHeight w:val="270"/>
        </w:trPr>
        <w:tc>
          <w:tcPr>
            <w:tcW w:w="4100" w:type="dxa"/>
            <w:vAlign w:val="bottom"/>
          </w:tcPr>
          <w:p>
            <w:pPr>
              <w:ind w:left="1200"/>
              <w:spacing w:after="0"/>
              <w:rPr>
                <w:sz w:val="20"/>
                <w:szCs w:val="20"/>
                <w:color w:val="auto"/>
              </w:rPr>
            </w:pPr>
            <w:r>
              <w:rPr>
                <w:rFonts w:ascii="Arial" w:cs="Arial" w:eastAsia="Arial" w:hAnsi="Arial"/>
                <w:sz w:val="14"/>
                <w:szCs w:val="14"/>
                <w:color w:val="auto"/>
              </w:rPr>
              <w:t>Director since 2002</w:t>
            </w:r>
          </w:p>
        </w:tc>
        <w:tc>
          <w:tcPr>
            <w:tcW w:w="18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4100" w:type="dxa"/>
            <w:vAlign w:val="bottom"/>
          </w:tcPr>
          <w:p>
            <w:pPr>
              <w:ind w:left="1200"/>
              <w:spacing w:after="0"/>
              <w:rPr>
                <w:sz w:val="20"/>
                <w:szCs w:val="20"/>
                <w:color w:val="auto"/>
              </w:rPr>
            </w:pPr>
            <w:r>
              <w:rPr>
                <w:rFonts w:ascii="Arial" w:cs="Arial" w:eastAsia="Arial" w:hAnsi="Arial"/>
                <w:sz w:val="14"/>
                <w:szCs w:val="14"/>
                <w:color w:val="auto"/>
              </w:rPr>
              <w:t>Lead Independent Director since 2012</w:t>
            </w:r>
          </w:p>
        </w:tc>
        <w:tc>
          <w:tcPr>
            <w:tcW w:w="18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6"/>
        </w:trPr>
        <w:tc>
          <w:tcPr>
            <w:tcW w:w="41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4100" w:type="dxa"/>
            <w:vAlign w:val="bottom"/>
          </w:tcPr>
          <w:p>
            <w:pPr>
              <w:ind w:left="1200"/>
              <w:spacing w:after="0" w:line="188" w:lineRule="exact"/>
              <w:rPr>
                <w:sz w:val="20"/>
                <w:szCs w:val="20"/>
                <w:color w:val="auto"/>
              </w:rPr>
            </w:pPr>
            <w:r>
              <w:rPr>
                <w:rFonts w:ascii="Arial" w:cs="Arial" w:eastAsia="Arial" w:hAnsi="Arial"/>
                <w:sz w:val="18"/>
                <w:szCs w:val="18"/>
                <w:b w:val="1"/>
                <w:bCs w:val="1"/>
                <w:color w:val="auto"/>
              </w:rPr>
              <w:t>Jackson P. Tai, 67</w:t>
            </w:r>
          </w:p>
        </w:tc>
        <w:tc>
          <w:tcPr>
            <w:tcW w:w="1880" w:type="dxa"/>
            <w:vAlign w:val="bottom"/>
          </w:tcPr>
          <w:p>
            <w:pPr>
              <w:ind w:left="100"/>
              <w:spacing w:after="0"/>
              <w:rPr>
                <w:sz w:val="20"/>
                <w:szCs w:val="20"/>
                <w:color w:val="auto"/>
              </w:rPr>
            </w:pPr>
            <w:r>
              <w:rPr>
                <w:rFonts w:ascii="Arial" w:cs="Arial" w:eastAsia="Arial" w:hAnsi="Arial"/>
                <w:sz w:val="14"/>
                <w:szCs w:val="14"/>
                <w:color w:val="auto"/>
              </w:rPr>
              <w:t>MasterCard Incorporated,</w:t>
            </w:r>
          </w:p>
        </w:tc>
        <w:tc>
          <w:tcPr>
            <w:tcW w:w="1240" w:type="dxa"/>
            <w:vAlign w:val="bottom"/>
          </w:tcPr>
          <w:p>
            <w:pPr>
              <w:ind w:left="140"/>
              <w:spacing w:after="0" w:line="188" w:lineRule="exact"/>
              <w:rPr>
                <w:sz w:val="20"/>
                <w:szCs w:val="20"/>
                <w:color w:val="auto"/>
              </w:rPr>
            </w:pPr>
            <w:r>
              <w:rPr>
                <w:rFonts w:ascii="Arial" w:cs="Arial" w:eastAsia="Arial" w:hAnsi="Arial"/>
                <w:sz w:val="18"/>
                <w:szCs w:val="18"/>
                <w:b w:val="1"/>
                <w:bCs w:val="1"/>
                <w:color w:val="auto"/>
              </w:rPr>
              <w:t>Vote FOR</w:t>
            </w:r>
          </w:p>
        </w:tc>
        <w:tc>
          <w:tcPr>
            <w:tcW w:w="1460" w:type="dxa"/>
            <w:vAlign w:val="bottom"/>
          </w:tcPr>
          <w:p>
            <w:pPr>
              <w:ind w:left="280"/>
              <w:spacing w:after="0" w:line="188" w:lineRule="exact"/>
              <w:rPr>
                <w:sz w:val="20"/>
                <w:szCs w:val="20"/>
                <w:color w:val="auto"/>
              </w:rPr>
            </w:pPr>
            <w:r>
              <w:rPr>
                <w:rFonts w:ascii="Arial" w:cs="Arial" w:eastAsia="Arial" w:hAnsi="Arial"/>
                <w:sz w:val="18"/>
                <w:szCs w:val="18"/>
                <w:color w:val="auto"/>
              </w:rPr>
              <w:t>Majority of</w:t>
            </w:r>
          </w:p>
        </w:tc>
        <w:tc>
          <w:tcPr>
            <w:tcW w:w="0" w:type="dxa"/>
            <w:vAlign w:val="bottom"/>
          </w:tcPr>
          <w:p>
            <w:pPr>
              <w:spacing w:after="0"/>
              <w:rPr>
                <w:sz w:val="1"/>
                <w:szCs w:val="1"/>
                <w:color w:val="auto"/>
              </w:rPr>
            </w:pPr>
          </w:p>
        </w:tc>
      </w:tr>
      <w:tr>
        <w:trPr>
          <w:trHeight w:val="198"/>
        </w:trPr>
        <w:tc>
          <w:tcPr>
            <w:tcW w:w="4100" w:type="dxa"/>
            <w:vAlign w:val="bottom"/>
            <w:vMerge w:val="restart"/>
          </w:tcPr>
          <w:p>
            <w:pPr>
              <w:ind w:left="1200"/>
              <w:spacing w:after="0"/>
              <w:rPr>
                <w:sz w:val="20"/>
                <w:szCs w:val="20"/>
                <w:color w:val="auto"/>
              </w:rPr>
            </w:pPr>
            <w:r>
              <w:rPr>
                <w:rFonts w:ascii="Arial" w:cs="Arial" w:eastAsia="Arial" w:hAnsi="Arial"/>
                <w:sz w:val="14"/>
                <w:szCs w:val="14"/>
                <w:color w:val="auto"/>
              </w:rPr>
              <w:t>Former Vice Chairman and Chief Executive</w:t>
            </w:r>
          </w:p>
        </w:tc>
        <w:tc>
          <w:tcPr>
            <w:tcW w:w="1880" w:type="dxa"/>
            <w:vAlign w:val="bottom"/>
          </w:tcPr>
          <w:p>
            <w:pPr>
              <w:ind w:left="100"/>
              <w:spacing w:after="0"/>
              <w:rPr>
                <w:sz w:val="20"/>
                <w:szCs w:val="20"/>
                <w:color w:val="auto"/>
              </w:rPr>
            </w:pPr>
            <w:r>
              <w:rPr>
                <w:rFonts w:ascii="Arial" w:cs="Arial" w:eastAsia="Arial" w:hAnsi="Arial"/>
                <w:sz w:val="14"/>
                <w:szCs w:val="14"/>
                <w:color w:val="auto"/>
              </w:rPr>
              <w:t>Royal Philips NV, HSBC</w:t>
            </w:r>
          </w:p>
        </w:tc>
        <w:tc>
          <w:tcPr>
            <w:tcW w:w="1240" w:type="dxa"/>
            <w:vAlign w:val="bottom"/>
          </w:tcPr>
          <w:p>
            <w:pPr>
              <w:spacing w:after="0"/>
              <w:rPr>
                <w:sz w:val="17"/>
                <w:szCs w:val="17"/>
                <w:color w:val="auto"/>
              </w:rPr>
            </w:pPr>
          </w:p>
        </w:tc>
        <w:tc>
          <w:tcPr>
            <w:tcW w:w="1460" w:type="dxa"/>
            <w:vAlign w:val="bottom"/>
          </w:tcPr>
          <w:p>
            <w:pPr>
              <w:ind w:left="300"/>
              <w:spacing w:after="0" w:line="198" w:lineRule="exact"/>
              <w:rPr>
                <w:sz w:val="20"/>
                <w:szCs w:val="20"/>
                <w:color w:val="auto"/>
              </w:rPr>
            </w:pPr>
            <w:r>
              <w:rPr>
                <w:rFonts w:ascii="Arial" w:cs="Arial" w:eastAsia="Arial" w:hAnsi="Arial"/>
                <w:sz w:val="18"/>
                <w:szCs w:val="18"/>
                <w:color w:val="auto"/>
              </w:rPr>
              <w:t>votes cast</w:t>
            </w:r>
          </w:p>
        </w:tc>
        <w:tc>
          <w:tcPr>
            <w:tcW w:w="0" w:type="dxa"/>
            <w:vAlign w:val="bottom"/>
          </w:tcPr>
          <w:p>
            <w:pPr>
              <w:spacing w:after="0"/>
              <w:rPr>
                <w:sz w:val="1"/>
                <w:szCs w:val="1"/>
                <w:color w:val="auto"/>
              </w:rPr>
            </w:pPr>
          </w:p>
        </w:tc>
      </w:tr>
      <w:tr>
        <w:trPr>
          <w:trHeight w:val="140"/>
        </w:trPr>
        <w:tc>
          <w:tcPr>
            <w:tcW w:w="4100" w:type="dxa"/>
            <w:vAlign w:val="bottom"/>
            <w:vMerge w:val="continue"/>
          </w:tcPr>
          <w:p>
            <w:pPr>
              <w:spacing w:after="0"/>
              <w:rPr>
                <w:sz w:val="12"/>
                <w:szCs w:val="12"/>
                <w:color w:val="auto"/>
              </w:rPr>
            </w:pPr>
          </w:p>
        </w:tc>
        <w:tc>
          <w:tcPr>
            <w:tcW w:w="1880" w:type="dxa"/>
            <w:vAlign w:val="bottom"/>
          </w:tcPr>
          <w:p>
            <w:pPr>
              <w:ind w:left="100"/>
              <w:spacing w:after="0" w:line="140" w:lineRule="exact"/>
              <w:rPr>
                <w:sz w:val="20"/>
                <w:szCs w:val="20"/>
                <w:color w:val="auto"/>
              </w:rPr>
            </w:pPr>
            <w:r>
              <w:rPr>
                <w:rFonts w:ascii="Arial" w:cs="Arial" w:eastAsia="Arial" w:hAnsi="Arial"/>
                <w:sz w:val="14"/>
                <w:szCs w:val="14"/>
                <w:color w:val="auto"/>
              </w:rPr>
              <w:t>Holdings plc</w:t>
            </w:r>
          </w:p>
        </w:tc>
        <w:tc>
          <w:tcPr>
            <w:tcW w:w="12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100" w:type="dxa"/>
            <w:vAlign w:val="bottom"/>
          </w:tcPr>
          <w:p>
            <w:pPr>
              <w:ind w:left="1200"/>
              <w:spacing w:after="0"/>
              <w:rPr>
                <w:sz w:val="20"/>
                <w:szCs w:val="20"/>
                <w:color w:val="auto"/>
              </w:rPr>
            </w:pPr>
            <w:r>
              <w:rPr>
                <w:rFonts w:ascii="Arial" w:cs="Arial" w:eastAsia="Arial" w:hAnsi="Arial"/>
                <w:sz w:val="14"/>
                <w:szCs w:val="14"/>
                <w:color w:val="auto"/>
              </w:rPr>
              <w:t>Officer, DBS Group Holdings Ltd. and DBS</w:t>
            </w:r>
          </w:p>
        </w:tc>
        <w:tc>
          <w:tcPr>
            <w:tcW w:w="1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100" w:type="dxa"/>
            <w:vAlign w:val="bottom"/>
          </w:tcPr>
          <w:p>
            <w:pPr>
              <w:ind w:left="1200"/>
              <w:spacing w:after="0"/>
              <w:rPr>
                <w:sz w:val="20"/>
                <w:szCs w:val="20"/>
                <w:color w:val="auto"/>
              </w:rPr>
            </w:pPr>
            <w:r>
              <w:rPr>
                <w:rFonts w:ascii="Arial" w:cs="Arial" w:eastAsia="Arial" w:hAnsi="Arial"/>
                <w:sz w:val="14"/>
                <w:szCs w:val="14"/>
                <w:color w:val="auto"/>
              </w:rPr>
              <w:t>Bank Ltd.</w:t>
            </w:r>
          </w:p>
        </w:tc>
        <w:tc>
          <w:tcPr>
            <w:tcW w:w="1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0"/>
        </w:trPr>
        <w:tc>
          <w:tcPr>
            <w:tcW w:w="4100" w:type="dxa"/>
            <w:vAlign w:val="bottom"/>
          </w:tcPr>
          <w:p>
            <w:pPr>
              <w:ind w:left="1200"/>
              <w:spacing w:after="0"/>
              <w:rPr>
                <w:sz w:val="20"/>
                <w:szCs w:val="20"/>
                <w:color w:val="auto"/>
              </w:rPr>
            </w:pPr>
            <w:r>
              <w:rPr>
                <w:rFonts w:ascii="Arial" w:cs="Arial" w:eastAsia="Arial" w:hAnsi="Arial"/>
                <w:sz w:val="14"/>
                <w:szCs w:val="14"/>
                <w:color w:val="auto"/>
              </w:rPr>
              <w:t>Director since 2013</w:t>
            </w:r>
          </w:p>
        </w:tc>
        <w:tc>
          <w:tcPr>
            <w:tcW w:w="18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Our Corporate Governance Policies Reflect Best Practices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corporate governance practices that are bolded below were new or refreshed in 2017.</w:t>
      </w:r>
    </w:p>
    <w:p>
      <w:pPr>
        <w:spacing w:after="0" w:line="225"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board membership is marked by leadership, experience, and diversity.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13 of our 14 directors, and the members of all board committees, are independent.</w:t>
      </w:r>
    </w:p>
    <w:p>
      <w:pPr>
        <w:spacing w:after="0" w:line="22" w:lineRule="exact"/>
        <w:rPr>
          <w:rFonts w:ascii="Arial" w:cs="Arial" w:eastAsia="Arial" w:hAnsi="Arial"/>
          <w:sz w:val="18"/>
          <w:szCs w:val="18"/>
          <w:color w:val="auto"/>
        </w:rPr>
      </w:pPr>
    </w:p>
    <w:p>
      <w:pPr>
        <w:ind w:left="480" w:hanging="148"/>
        <w:spacing w:after="0"/>
        <w:tabs>
          <w:tab w:leader="none" w:pos="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have a strong, independent, clearly defined lead director role.</w:t>
      </w:r>
    </w:p>
    <w:p>
      <w:pPr>
        <w:spacing w:after="0" w:line="9" w:lineRule="exact"/>
        <w:rPr>
          <w:rFonts w:ascii="Arial" w:cs="Arial" w:eastAsia="Arial" w:hAnsi="Arial"/>
          <w:sz w:val="18"/>
          <w:szCs w:val="18"/>
          <w:color w:val="auto"/>
        </w:rPr>
      </w:pPr>
    </w:p>
    <w:p>
      <w:pPr>
        <w:ind w:left="480" w:hanging="148"/>
        <w:spacing w:after="0"/>
        <w:tabs>
          <w:tab w:leader="none" w:pos="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are committed to board refreshment, and seek to balance continuity and fresh perspectives.</w:t>
      </w:r>
    </w:p>
    <w:p>
      <w:pPr>
        <w:spacing w:after="0" w:line="21" w:lineRule="exact"/>
        <w:rPr>
          <w:rFonts w:ascii="Arial" w:cs="Arial" w:eastAsia="Arial" w:hAnsi="Arial"/>
          <w:sz w:val="18"/>
          <w:szCs w:val="18"/>
          <w:color w:val="auto"/>
        </w:rPr>
      </w:pPr>
    </w:p>
    <w:p>
      <w:pPr>
        <w:ind w:left="600" w:hanging="268"/>
        <w:spacing w:after="0"/>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conduct director orientation and continuing education programs for directors.</w:t>
      </w:r>
    </w:p>
    <w:p>
      <w:pPr>
        <w:spacing w:after="0" w:line="9" w:lineRule="exact"/>
        <w:rPr>
          <w:rFonts w:ascii="Arial" w:cs="Arial" w:eastAsia="Arial" w:hAnsi="Arial"/>
          <w:sz w:val="18"/>
          <w:szCs w:val="18"/>
          <w:color w:val="auto"/>
        </w:rPr>
      </w:pPr>
    </w:p>
    <w:p>
      <w:pPr>
        <w:ind w:left="600" w:hanging="268"/>
        <w:spacing w:after="0"/>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We have an annual cap on director compensation.</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P5</w:t>
      </w:r>
    </w:p>
    <w:p>
      <w:pPr>
        <w:sectPr>
          <w:pgSz w:w="11900" w:h="16838" w:orient="portrait"/>
          <w:cols w:equalWidth="0" w:num="1">
            <w:col w:w="11420"/>
          </w:cols>
          <w:pgMar w:left="240" w:top="1153" w:right="239" w:bottom="1440" w:gutter="0" w:footer="0" w:header="0"/>
          <w:type w:val="continuous"/>
        </w:sectPr>
      </w:pPr>
    </w:p>
    <w:bookmarkStart w:id="9" w:name="page10"/>
    <w:bookmarkEnd w:id="9"/>
    <w:p>
      <w:pPr>
        <w:ind w:left="660" w:right="340" w:hanging="328"/>
        <w:spacing w:after="0" w:line="263"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Our board conducts a robust annual assessment of board performance </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in 2017, we added an annual assessment of individual</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directors to this process.</w:t>
      </w: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have a majority voting standard and resignation policy for the election of directors in uncontested elections.</w:t>
      </w:r>
    </w:p>
    <w:p>
      <w:pPr>
        <w:spacing w:after="0" w:line="9" w:lineRule="exact"/>
        <w:rPr>
          <w:rFonts w:ascii="Arial" w:cs="Arial" w:eastAsia="Arial" w:hAnsi="Arial"/>
          <w:sz w:val="18"/>
          <w:szCs w:val="18"/>
          <w:color w:val="auto"/>
        </w:rPr>
      </w:pPr>
    </w:p>
    <w:p>
      <w:pPr>
        <w:ind w:left="660" w:right="4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Our board values active shareholder engagement. As a result </w:t>
      </w:r>
      <w:r>
        <w:rPr>
          <w:rFonts w:ascii="Arial" w:cs="Arial" w:eastAsia="Arial" w:hAnsi="Arial"/>
          <w:sz w:val="18"/>
          <w:szCs w:val="18"/>
          <w:b w:val="1"/>
          <w:bCs w:val="1"/>
          <w:i w:val="1"/>
          <w:iCs w:val="1"/>
          <w:color w:val="auto"/>
        </w:rPr>
        <w:t>we have put forward for consideration at this year's annual meeting</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management proposals to eliminate our classified board structure and supermajority voting provisions.</w:t>
      </w:r>
    </w:p>
    <w:p>
      <w:pPr>
        <w:ind w:left="600" w:hanging="268"/>
        <w:spacing w:after="0"/>
        <w:tabs>
          <w:tab w:leader="none" w:pos="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have no shareholder rights plan (“poison pill”).</w:t>
      </w:r>
    </w:p>
    <w:p>
      <w:pPr>
        <w:spacing w:after="0" w:line="9" w:lineRule="exact"/>
        <w:rPr>
          <w:rFonts w:ascii="Arial" w:cs="Arial" w:eastAsia="Arial" w:hAnsi="Arial"/>
          <w:sz w:val="18"/>
          <w:szCs w:val="18"/>
          <w:color w:val="auto"/>
        </w:rPr>
      </w:pPr>
    </w:p>
    <w:p>
      <w:pPr>
        <w:ind w:left="600" w:hanging="268"/>
        <w:spacing w:after="0"/>
        <w:tabs>
          <w:tab w:leader="none" w:pos="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charters of the committees of the board clearly establish the committees’ respective</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roles and responsibilities.</w:t>
      </w:r>
    </w:p>
    <w:p>
      <w:pPr>
        <w:spacing w:after="0" w:line="9"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board holds executive sessions of the independent directors at every regular board meeting and most committee meetings.</w:t>
      </w:r>
    </w:p>
    <w:p>
      <w:pPr>
        <w:spacing w:after="0" w:line="9" w:lineRule="exact"/>
        <w:rPr>
          <w:rFonts w:ascii="Arial" w:cs="Arial" w:eastAsia="Arial" w:hAnsi="Arial"/>
          <w:sz w:val="18"/>
          <w:szCs w:val="18"/>
          <w:color w:val="auto"/>
        </w:rPr>
      </w:pPr>
    </w:p>
    <w:p>
      <w:pPr>
        <w:ind w:left="660" w:right="58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independent directors have direct access to management and sole discretion to hire independent advisors at the company’s expense.</w:t>
      </w:r>
    </w:p>
    <w:p>
      <w:pPr>
        <w:ind w:left="660" w:right="40" w:hanging="328"/>
        <w:spacing w:after="0" w:line="265"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 xml:space="preserve">Our independent directors select, evaluate, and compensate our CEO. Our board compensates our other executive officers and ensures we have a strong succession plan for executive officer roles. </w:t>
      </w:r>
      <w:r>
        <w:rPr>
          <w:rFonts w:ascii="Arial" w:cs="Arial" w:eastAsia="Arial" w:hAnsi="Arial"/>
          <w:sz w:val="17"/>
          <w:szCs w:val="17"/>
          <w:b w:val="1"/>
          <w:bCs w:val="1"/>
          <w:i w:val="1"/>
          <w:iCs w:val="1"/>
          <w:color w:val="auto"/>
        </w:rPr>
        <w:t>This was particularly evident as we welcomed Dave Ricks as</w:t>
      </w:r>
    </w:p>
    <w:p>
      <w:pPr>
        <w:ind w:left="660" w:right="240"/>
        <w:spacing w:after="0" w:line="250" w:lineRule="auto"/>
        <w:rPr>
          <w:rFonts w:ascii="Arial" w:cs="Arial" w:eastAsia="Arial" w:hAnsi="Arial"/>
          <w:sz w:val="17"/>
          <w:szCs w:val="17"/>
          <w:color w:val="auto"/>
        </w:rPr>
      </w:pPr>
      <w:r>
        <w:rPr>
          <w:rFonts w:ascii="Arial" w:cs="Arial" w:eastAsia="Arial" w:hAnsi="Arial"/>
          <w:sz w:val="18"/>
          <w:szCs w:val="18"/>
          <w:b w:val="1"/>
          <w:bCs w:val="1"/>
          <w:i w:val="1"/>
          <w:iCs w:val="1"/>
          <w:color w:val="auto"/>
        </w:rPr>
        <w:t>President, CEO, and board chair and three new executive committee members in 2017 and named four additional executive committee members effective 2018.</w:t>
      </w:r>
    </w:p>
    <w:p>
      <w:pPr>
        <w:ind w:left="600" w:hanging="268"/>
        <w:spacing w:after="0"/>
        <w:tabs>
          <w:tab w:leader="none" w:pos="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board actively oversees and approves our corporate strategy.</w:t>
      </w:r>
    </w:p>
    <w:p>
      <w:pPr>
        <w:spacing w:after="0" w:line="9" w:lineRule="exact"/>
        <w:rPr>
          <w:rFonts w:ascii="Arial" w:cs="Arial" w:eastAsia="Arial" w:hAnsi="Arial"/>
          <w:sz w:val="18"/>
          <w:szCs w:val="18"/>
          <w:color w:val="auto"/>
        </w:rPr>
      </w:pPr>
    </w:p>
    <w:p>
      <w:pPr>
        <w:ind w:left="600" w:hanging="268"/>
        <w:spacing w:after="0"/>
        <w:tabs>
          <w:tab w:leader="none" w:pos="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board has a longstanding commitment to corporate responsibility.</w:t>
      </w:r>
    </w:p>
    <w:p>
      <w:pPr>
        <w:spacing w:after="0" w:line="9" w:lineRule="exact"/>
        <w:rPr>
          <w:rFonts w:ascii="Arial" w:cs="Arial" w:eastAsia="Arial" w:hAnsi="Arial"/>
          <w:sz w:val="18"/>
          <w:szCs w:val="18"/>
          <w:color w:val="auto"/>
        </w:rPr>
      </w:pPr>
    </w:p>
    <w:p>
      <w:pPr>
        <w:ind w:left="600" w:hanging="268"/>
        <w:spacing w:after="0"/>
        <w:tabs>
          <w:tab w:leader="none" w:pos="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board oversees compliance and enterprise risk management practices.</w:t>
      </w:r>
    </w:p>
    <w:p>
      <w:pPr>
        <w:spacing w:after="0" w:line="9" w:lineRule="exact"/>
        <w:rPr>
          <w:rFonts w:ascii="Arial" w:cs="Arial" w:eastAsia="Arial" w:hAnsi="Arial"/>
          <w:sz w:val="18"/>
          <w:szCs w:val="18"/>
          <w:color w:val="auto"/>
        </w:rPr>
      </w:pPr>
    </w:p>
    <w:p>
      <w:pPr>
        <w:ind w:left="660" w:right="10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have a comprehensive code of ethical and legal business conduct applicable to our board and all employees worldwide. This code is reviewed and approved annually by the board.</w:t>
      </w:r>
    </w:p>
    <w:p>
      <w:pPr>
        <w:ind w:left="660" w:right="16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have a supplemental code for our CEO and all members of financial management, in recognition of their unique responsibilities to ensure proper accounting, financial reporting, internal controls, and financial stewardship.</w:t>
      </w:r>
    </w:p>
    <w:p>
      <w:pPr>
        <w:ind w:left="600" w:hanging="268"/>
        <w:spacing w:after="0"/>
        <w:tabs>
          <w:tab w:leader="none" w:pos="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have strong governance and disclosure of corporate political spending.</w:t>
      </w:r>
    </w:p>
    <w:p>
      <w:pPr>
        <w:spacing w:after="0" w:line="9" w:lineRule="exact"/>
        <w:rPr>
          <w:rFonts w:ascii="Arial" w:cs="Arial" w:eastAsia="Arial" w:hAnsi="Arial"/>
          <w:sz w:val="18"/>
          <w:szCs w:val="18"/>
          <w:color w:val="auto"/>
        </w:rPr>
      </w:pPr>
    </w:p>
    <w:p>
      <w:pPr>
        <w:ind w:left="600" w:hanging="268"/>
        <w:spacing w:after="0"/>
        <w:tabs>
          <w:tab w:leader="none" w:pos="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have transparent public policy engagement.</w:t>
      </w:r>
    </w:p>
    <w:p>
      <w:pPr>
        <w:spacing w:after="0" w:line="9" w:lineRule="exact"/>
        <w:rPr>
          <w:rFonts w:ascii="Arial" w:cs="Arial" w:eastAsia="Arial" w:hAnsi="Arial"/>
          <w:sz w:val="18"/>
          <w:szCs w:val="18"/>
          <w:color w:val="auto"/>
        </w:rPr>
      </w:pPr>
    </w:p>
    <w:p>
      <w:pPr>
        <w:ind w:left="600" w:hanging="268"/>
        <w:spacing w:after="0"/>
        <w:tabs>
          <w:tab w:leader="none" w:pos="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have meaningful stock ownership guidelines for our directors and executive officers.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383"/>
        </w:trPr>
        <w:tc>
          <w:tcPr>
            <w:tcW w:w="2360" w:type="dxa"/>
            <w:vAlign w:val="bottom"/>
            <w:gridSpan w:val="4"/>
          </w:tcPr>
          <w:p>
            <w:pPr>
              <w:ind w:left="40"/>
              <w:spacing w:after="0"/>
              <w:rPr>
                <w:sz w:val="20"/>
                <w:szCs w:val="20"/>
                <w:color w:val="auto"/>
              </w:rPr>
            </w:pPr>
            <w:r>
              <w:rPr>
                <w:rFonts w:ascii="Arial" w:cs="Arial" w:eastAsia="Arial" w:hAnsi="Arial"/>
                <w:sz w:val="29"/>
                <w:szCs w:val="29"/>
                <w:b w:val="1"/>
                <w:bCs w:val="1"/>
                <w:color w:val="FF0000"/>
              </w:rPr>
              <w:t>Compensation</w:t>
            </w:r>
          </w:p>
        </w:tc>
        <w:tc>
          <w:tcPr>
            <w:tcW w:w="5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gridSpan w:val="2"/>
          </w:tcPr>
          <w:p>
            <w:pPr>
              <w:jc w:val="right"/>
              <w:spacing w:after="0"/>
              <w:rPr>
                <w:sz w:val="20"/>
                <w:szCs w:val="20"/>
                <w:color w:val="auto"/>
              </w:rPr>
            </w:pPr>
            <w:r>
              <w:rPr>
                <w:rFonts w:ascii="Arial" w:cs="Arial" w:eastAsia="Arial" w:hAnsi="Arial"/>
                <w:sz w:val="18"/>
                <w:szCs w:val="18"/>
                <w:b w:val="1"/>
                <w:bCs w:val="1"/>
                <w:color w:val="auto"/>
              </w:rPr>
              <w:t>Further Information</w:t>
            </w:r>
          </w:p>
        </w:tc>
      </w:tr>
      <w:tr>
        <w:trPr>
          <w:trHeight w:val="29"/>
        </w:trPr>
        <w:tc>
          <w:tcPr>
            <w:tcW w:w="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70"/>
        </w:trPr>
        <w:tc>
          <w:tcPr>
            <w:tcW w:w="8940" w:type="dxa"/>
            <w:vAlign w:val="bottom"/>
            <w:gridSpan w:val="7"/>
          </w:tcPr>
          <w:p>
            <w:pPr>
              <w:ind w:left="40"/>
              <w:spacing w:after="0" w:line="270" w:lineRule="exact"/>
              <w:rPr>
                <w:sz w:val="20"/>
                <w:szCs w:val="20"/>
                <w:color w:val="auto"/>
              </w:rPr>
            </w:pPr>
            <w:r>
              <w:rPr>
                <w:rFonts w:ascii="Arial" w:cs="Arial" w:eastAsia="Arial" w:hAnsi="Arial"/>
                <w:sz w:val="25"/>
                <w:szCs w:val="25"/>
                <w:b w:val="1"/>
                <w:bCs w:val="1"/>
                <w:color w:val="FF0000"/>
              </w:rPr>
              <w:t>Item 2: Advisory Vote on Compensation Paid to Named Executive Officers</w:t>
            </w:r>
          </w:p>
        </w:tc>
        <w:tc>
          <w:tcPr>
            <w:tcW w:w="11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See page 34</w:t>
            </w:r>
          </w:p>
        </w:tc>
      </w:tr>
      <w:tr>
        <w:trPr>
          <w:trHeight w:val="196"/>
        </w:trPr>
        <w:tc>
          <w:tcPr>
            <w:tcW w:w="40" w:type="dxa"/>
            <w:vAlign w:val="bottom"/>
          </w:tcPr>
          <w:p>
            <w:pPr>
              <w:spacing w:after="0"/>
              <w:rPr>
                <w:sz w:val="17"/>
                <w:szCs w:val="17"/>
                <w:color w:val="auto"/>
              </w:rPr>
            </w:pPr>
          </w:p>
        </w:tc>
        <w:tc>
          <w:tcPr>
            <w:tcW w:w="720" w:type="dxa"/>
            <w:vAlign w:val="bottom"/>
            <w:tcBorders>
              <w:top w:val="single" w:sz="8" w:color="FF0000"/>
            </w:tcBorders>
          </w:tcPr>
          <w:p>
            <w:pPr>
              <w:spacing w:after="0"/>
              <w:rPr>
                <w:sz w:val="17"/>
                <w:szCs w:val="17"/>
                <w:color w:val="auto"/>
              </w:rPr>
            </w:pPr>
          </w:p>
        </w:tc>
        <w:tc>
          <w:tcPr>
            <w:tcW w:w="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200" w:type="dxa"/>
            <w:vAlign w:val="bottom"/>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320" w:type="dxa"/>
            <w:vAlign w:val="bottom"/>
          </w:tcPr>
          <w:p>
            <w:pPr>
              <w:spacing w:after="0"/>
              <w:rPr>
                <w:sz w:val="17"/>
                <w:szCs w:val="17"/>
                <w:color w:val="auto"/>
              </w:rPr>
            </w:pPr>
          </w:p>
        </w:tc>
      </w:tr>
      <w:tr>
        <w:trPr>
          <w:trHeight w:val="169"/>
        </w:trPr>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0" w:type="dxa"/>
            <w:vAlign w:val="bottom"/>
            <w:tcBorders>
              <w:right w:val="single" w:sz="8" w:color="auto"/>
            </w:tcBorders>
          </w:tcPr>
          <w:p>
            <w:pPr>
              <w:spacing w:after="0"/>
              <w:rPr>
                <w:sz w:val="14"/>
                <w:szCs w:val="14"/>
                <w:color w:val="auto"/>
              </w:rPr>
            </w:pP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FF0000"/>
              </w:rPr>
              <w:t>Management</w:t>
            </w:r>
          </w:p>
        </w:tc>
        <w:tc>
          <w:tcPr>
            <w:tcW w:w="100" w:type="dxa"/>
            <w:vAlign w:val="bottom"/>
          </w:tcPr>
          <w:p>
            <w:pPr>
              <w:spacing w:after="0"/>
              <w:rPr>
                <w:sz w:val="14"/>
                <w:szCs w:val="14"/>
                <w:color w:val="auto"/>
              </w:rPr>
            </w:pPr>
          </w:p>
        </w:tc>
        <w:tc>
          <w:tcPr>
            <w:tcW w:w="1160" w:type="dxa"/>
            <w:vAlign w:val="bottom"/>
            <w:tcBorders>
              <w:right w:val="single" w:sz="8" w:color="auto"/>
            </w:tcBorders>
          </w:tcPr>
          <w:p>
            <w:pPr>
              <w:jc w:val="center"/>
              <w:ind w:right="37"/>
              <w:spacing w:after="0"/>
              <w:rPr>
                <w:sz w:val="20"/>
                <w:szCs w:val="20"/>
                <w:color w:val="auto"/>
              </w:rPr>
            </w:pPr>
            <w:r>
              <w:rPr>
                <w:rFonts w:ascii="Arial" w:cs="Arial" w:eastAsia="Arial" w:hAnsi="Arial"/>
                <w:sz w:val="14"/>
                <w:szCs w:val="14"/>
                <w:b w:val="1"/>
                <w:bCs w:val="1"/>
                <w:color w:val="FF0000"/>
              </w:rPr>
              <w:t>Vote required</w:t>
            </w:r>
          </w:p>
        </w:tc>
        <w:tc>
          <w:tcPr>
            <w:tcW w:w="1320" w:type="dxa"/>
            <w:vAlign w:val="bottom"/>
          </w:tcPr>
          <w:p>
            <w:pPr>
              <w:spacing w:after="0"/>
              <w:rPr>
                <w:sz w:val="14"/>
                <w:szCs w:val="14"/>
                <w:color w:val="auto"/>
              </w:rPr>
            </w:pPr>
          </w:p>
        </w:tc>
      </w:tr>
      <w:tr>
        <w:trPr>
          <w:trHeight w:val="190"/>
        </w:trPr>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200" w:type="dxa"/>
            <w:vAlign w:val="bottom"/>
            <w:tcBorders>
              <w:right w:val="single" w:sz="8" w:color="auto"/>
            </w:tcBorders>
          </w:tcPr>
          <w:p>
            <w:pPr>
              <w:spacing w:after="0"/>
              <w:rPr>
                <w:sz w:val="16"/>
                <w:szCs w:val="16"/>
                <w:color w:val="auto"/>
              </w:rPr>
            </w:pP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FF0000"/>
              </w:rPr>
              <w:t>recommendation</w:t>
            </w:r>
          </w:p>
        </w:tc>
        <w:tc>
          <w:tcPr>
            <w:tcW w:w="100" w:type="dxa"/>
            <w:vAlign w:val="bottom"/>
          </w:tcPr>
          <w:p>
            <w:pPr>
              <w:spacing w:after="0"/>
              <w:rPr>
                <w:sz w:val="16"/>
                <w:szCs w:val="16"/>
                <w:color w:val="auto"/>
              </w:rPr>
            </w:pP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FF0000"/>
              </w:rPr>
              <w:t>to pass</w:t>
            </w:r>
          </w:p>
        </w:tc>
        <w:tc>
          <w:tcPr>
            <w:tcW w:w="1320" w:type="dxa"/>
            <w:vAlign w:val="bottom"/>
          </w:tcPr>
          <w:p>
            <w:pPr>
              <w:spacing w:after="0"/>
              <w:rPr>
                <w:sz w:val="16"/>
                <w:szCs w:val="16"/>
                <w:color w:val="auto"/>
              </w:rPr>
            </w:pPr>
          </w:p>
        </w:tc>
      </w:tr>
      <w:tr>
        <w:trPr>
          <w:trHeight w:val="174"/>
        </w:trPr>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5200" w:type="dxa"/>
            <w:vAlign w:val="bottom"/>
            <w:tcBorders>
              <w:bottom w:val="single" w:sz="8" w:color="auto"/>
              <w:right w:val="single" w:sz="8" w:color="auto"/>
            </w:tcBorders>
          </w:tcPr>
          <w:p>
            <w:pPr>
              <w:spacing w:after="0"/>
              <w:rPr>
                <w:sz w:val="15"/>
                <w:szCs w:val="15"/>
                <w:color w:val="auto"/>
              </w:rPr>
            </w:pPr>
          </w:p>
        </w:tc>
        <w:tc>
          <w:tcPr>
            <w:tcW w:w="1280" w:type="dxa"/>
            <w:vAlign w:val="bottom"/>
            <w:tcBorders>
              <w:bottom w:val="single" w:sz="8" w:color="auto"/>
              <w:right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right w:val="single" w:sz="8" w:color="auto"/>
            </w:tcBorders>
          </w:tcPr>
          <w:p>
            <w:pPr>
              <w:spacing w:after="0"/>
              <w:rPr>
                <w:sz w:val="15"/>
                <w:szCs w:val="15"/>
                <w:color w:val="auto"/>
              </w:rPr>
            </w:pPr>
          </w:p>
        </w:tc>
        <w:tc>
          <w:tcPr>
            <w:tcW w:w="1320" w:type="dxa"/>
            <w:vAlign w:val="bottom"/>
          </w:tcPr>
          <w:p>
            <w:pPr>
              <w:spacing w:after="0"/>
              <w:rPr>
                <w:sz w:val="15"/>
                <w:szCs w:val="15"/>
                <w:color w:val="auto"/>
              </w:rPr>
            </w:pPr>
          </w:p>
        </w:tc>
      </w:tr>
      <w:tr>
        <w:trPr>
          <w:trHeight w:val="222"/>
        </w:trPr>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Borders>
              <w:right w:val="single" w:sz="8" w:color="auto"/>
            </w:tcBorders>
          </w:tcPr>
          <w:p>
            <w:pPr>
              <w:spacing w:after="0"/>
              <w:rPr>
                <w:sz w:val="19"/>
                <w:szCs w:val="19"/>
                <w:color w:val="auto"/>
              </w:rPr>
            </w:pPr>
          </w:p>
        </w:tc>
        <w:tc>
          <w:tcPr>
            <w:tcW w:w="100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Item 2</w:t>
            </w:r>
          </w:p>
        </w:tc>
        <w:tc>
          <w:tcPr>
            <w:tcW w:w="5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Approve, by non-binding vote, compensation paid to the</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Vote FOR</w:t>
            </w:r>
          </w:p>
        </w:tc>
        <w:tc>
          <w:tcPr>
            <w:tcW w:w="100" w:type="dxa"/>
            <w:vAlign w:val="bottom"/>
          </w:tcPr>
          <w:p>
            <w:pPr>
              <w:spacing w:after="0"/>
              <w:rPr>
                <w:sz w:val="19"/>
                <w:szCs w:val="19"/>
                <w:color w:val="auto"/>
              </w:rPr>
            </w:pPr>
          </w:p>
        </w:tc>
        <w:tc>
          <w:tcPr>
            <w:tcW w:w="1160" w:type="dxa"/>
            <w:vAlign w:val="bottom"/>
            <w:tcBorders>
              <w:right w:val="single" w:sz="8" w:color="auto"/>
            </w:tcBorders>
          </w:tcPr>
          <w:p>
            <w:pPr>
              <w:jc w:val="center"/>
              <w:ind w:right="77"/>
              <w:spacing w:after="0"/>
              <w:rPr>
                <w:sz w:val="20"/>
                <w:szCs w:val="20"/>
                <w:color w:val="auto"/>
              </w:rPr>
            </w:pPr>
            <w:r>
              <w:rPr>
                <w:rFonts w:ascii="Arial" w:cs="Arial" w:eastAsia="Arial" w:hAnsi="Arial"/>
                <w:sz w:val="18"/>
                <w:szCs w:val="18"/>
                <w:color w:val="auto"/>
              </w:rPr>
              <w:t>Majority of</w:t>
            </w:r>
          </w:p>
        </w:tc>
        <w:tc>
          <w:tcPr>
            <w:tcW w:w="1320" w:type="dxa"/>
            <w:vAlign w:val="bottom"/>
          </w:tcPr>
          <w:p>
            <w:pPr>
              <w:spacing w:after="0"/>
              <w:rPr>
                <w:sz w:val="19"/>
                <w:szCs w:val="19"/>
                <w:color w:val="auto"/>
              </w:rPr>
            </w:pPr>
          </w:p>
        </w:tc>
      </w:tr>
      <w:tr>
        <w:trPr>
          <w:trHeight w:val="217"/>
        </w:trPr>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5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company's named executive officers</w:t>
            </w:r>
          </w:p>
        </w:tc>
        <w:tc>
          <w:tcPr>
            <w:tcW w:w="12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Borders>
              <w:right w:val="single" w:sz="8" w:color="auto"/>
            </w:tcBorders>
          </w:tcPr>
          <w:p>
            <w:pPr>
              <w:jc w:val="center"/>
              <w:ind w:right="37"/>
              <w:spacing w:after="0"/>
              <w:rPr>
                <w:sz w:val="20"/>
                <w:szCs w:val="20"/>
                <w:color w:val="auto"/>
              </w:rPr>
            </w:pPr>
            <w:r>
              <w:rPr>
                <w:rFonts w:ascii="Arial" w:cs="Arial" w:eastAsia="Arial" w:hAnsi="Arial"/>
                <w:sz w:val="18"/>
                <w:szCs w:val="18"/>
                <w:color w:val="auto"/>
                <w:w w:val="98"/>
              </w:rPr>
              <w:t>votes cast</w:t>
            </w:r>
          </w:p>
        </w:tc>
        <w:tc>
          <w:tcPr>
            <w:tcW w:w="132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5200" w:type="dxa"/>
            <w:vAlign w:val="bottom"/>
            <w:tcBorders>
              <w:bottom w:val="single" w:sz="8" w:color="auto"/>
              <w:right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spacing w:after="0"/>
              <w:rPr>
                <w:sz w:val="18"/>
                <w:szCs w:val="18"/>
                <w:color w:val="auto"/>
              </w:rPr>
            </w:pPr>
          </w:p>
        </w:tc>
        <w:tc>
          <w:tcPr>
            <w:tcW w:w="1320" w:type="dxa"/>
            <w:vAlign w:val="bottom"/>
          </w:tcPr>
          <w:p>
            <w:pPr>
              <w:spacing w:after="0"/>
              <w:rPr>
                <w:sz w:val="18"/>
                <w:szCs w:val="18"/>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Our Executive Compensation Programs Reflect Best Practices</w:t>
      </w:r>
    </w:p>
    <w:p>
      <w:pPr>
        <w:spacing w:after="0" w:line="130" w:lineRule="exact"/>
        <w:rPr>
          <w:sz w:val="20"/>
          <w:szCs w:val="20"/>
          <w:color w:val="auto"/>
        </w:rPr>
      </w:pPr>
    </w:p>
    <w:p>
      <w:pPr>
        <w:ind w:left="660" w:right="520" w:hanging="328"/>
        <w:spacing w:after="0" w:line="250" w:lineRule="auto"/>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We have had strong shareholder support of compensation practices: in 2017, over 97 percent of shares cast voted in favor of our executive compensation.</w:t>
      </w:r>
    </w:p>
    <w:p>
      <w:pPr>
        <w:ind w:left="660" w:right="20" w:hanging="328"/>
        <w:spacing w:after="0" w:line="250" w:lineRule="auto"/>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Our compensation programs are designed to align with shareholder interests and link pay to performance through a blend of short- and long-term performance measures.</w:t>
      </w:r>
    </w:p>
    <w:p>
      <w:pPr>
        <w:ind w:left="660" w:right="64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Compensation Committee annually reviews compensation programs to ensure they provide incentives to deliver long-term, sustainable business results while discouraging excessive risk-taking or other adverse behaviors.</w:t>
      </w: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have a broad compensation recovery policy that applies to all executives and covers a wide range of misconduct.</w:t>
      </w:r>
    </w:p>
    <w:p>
      <w:pPr>
        <w:spacing w:after="0" w:line="9" w:lineRule="exact"/>
        <w:rPr>
          <w:rFonts w:ascii="Arial" w:cs="Arial" w:eastAsia="Arial" w:hAnsi="Arial"/>
          <w:sz w:val="18"/>
          <w:szCs w:val="18"/>
          <w:color w:val="auto"/>
        </w:rPr>
      </w:pPr>
    </w:p>
    <w:p>
      <w:pPr>
        <w:ind w:left="660" w:right="42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executive officers are subject to robust stock ownership guidelines and are prohibited from hedging or pledging their company stock.</w:t>
      </w:r>
    </w:p>
    <w:p>
      <w:pPr>
        <w:ind w:left="660" w:right="60" w:hanging="328"/>
        <w:spacing w:after="0" w:line="262"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do not have "top hat" retirement plans—supplemental plans are open to all employees and are limited to restoring benefits lost due to IRS limits on qualified plans.</w:t>
      </w:r>
    </w:p>
    <w:p>
      <w:pPr>
        <w:spacing w:after="0" w:line="2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P6</w:t>
      </w:r>
    </w:p>
    <w:p>
      <w:pPr>
        <w:sectPr>
          <w:pgSz w:w="11900" w:h="16838" w:orient="portrait"/>
          <w:cols w:equalWidth="0" w:num="1">
            <w:col w:w="11420"/>
          </w:cols>
          <w:pgMar w:left="240" w:top="576" w:right="239" w:bottom="1440" w:gutter="0" w:footer="0" w:header="0"/>
        </w:sectPr>
      </w:pPr>
    </w:p>
    <w:bookmarkStart w:id="10" w:name="page11"/>
    <w:bookmarkEnd w:id="10"/>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do not provide tax gross-ups to executive officers (except for limited gross-ups related to international assignments).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have a very restrictive policy on perquisites.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severance plans related to change-in-control generally require a double trigger.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do not have employment agreements with any of our executive officers.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Executive Compensation Summary for 2017</w:t>
      </w:r>
    </w:p>
    <w:p>
      <w:pPr>
        <w:spacing w:after="0" w:line="130"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At the time the total target compensation was established at the end of 2016, target compensation for our named executive officers (the five officers whose compensation is disclosed in this proxy statement) was in the middle range of the company's peer group. Incentive compensation programs paid at or above target, consistent with the company's strong performance in 2017.</w:t>
      </w: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Pay for Performance</w:t>
      </w:r>
    </w:p>
    <w:p>
      <w:pPr>
        <w:spacing w:after="0" w:line="130"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As described in the Compensation Disclosures and Analysis (CD&amp;A), we link our incentive pay programs to a balanced mix of measures on three dimensions of company performance: operating performance; progress with our innovation pipeline; and shareholder return (both absolute and relative).</w:t>
      </w:r>
    </w:p>
    <w:p>
      <w:pPr>
        <w:spacing w:after="0" w:line="202"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The summary below highlights how our incentive pay programs align with company performance. Please also see Appendix A for adjustments that were made to revenue and EPS for incentive compensation programs.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Annual Cash Bonus Multiple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company exceeded its annual cash bonus targets for revenue, EPS, and pipeline progress.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143510</wp:posOffset>
            </wp:positionV>
            <wp:extent cx="5368290" cy="22809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368290" cy="2280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*Performance goal multiples are capped at 2.0.</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P7</w:t>
      </w:r>
    </w:p>
    <w:p>
      <w:pPr>
        <w:sectPr>
          <w:pgSz w:w="11900" w:h="16838" w:orient="portrait"/>
          <w:cols w:equalWidth="0" w:num="1">
            <w:col w:w="11420"/>
          </w:cols>
          <w:pgMar w:left="240" w:top="598"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2017 Performance Award Multiple</w:t>
      </w:r>
    </w:p>
    <w:p>
      <w:pPr>
        <w:spacing w:after="0" w:line="85"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We met the EPS growth targets under our Performance Award program, which has targets based on expected EPS growth of peer companies over a two-year period. This performance resulted in a Performance Award payout at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125095</wp:posOffset>
            </wp:positionV>
            <wp:extent cx="5299710" cy="24523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299710" cy="2452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Shareholder Value Award Multiple</w:t>
      </w:r>
    </w:p>
    <w:p>
      <w:pPr>
        <w:spacing w:after="0" w:line="85"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Our stock price growth was in the target range (16.2% to 26.6%) under our Shareholder Value Award program, which is based on expected large-cap company returns over a three-year period. This performance resulted in a Shareholder Value Award payout at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159385</wp:posOffset>
            </wp:positionV>
            <wp:extent cx="5299710" cy="24523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299710" cy="2452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P8</w:t>
      </w:r>
    </w:p>
    <w:p>
      <w:pPr>
        <w:sectPr>
          <w:pgSz w:w="11900" w:h="16838" w:orient="portrait"/>
          <w:cols w:equalWidth="0" w:num="1">
            <w:col w:w="11420"/>
          </w:cols>
          <w:pgMar w:left="240" w:top="576"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383"/>
        </w:trPr>
        <w:tc>
          <w:tcPr>
            <w:tcW w:w="40" w:type="dxa"/>
            <w:vAlign w:val="bottom"/>
          </w:tcPr>
          <w:p>
            <w:pPr>
              <w:spacing w:after="0"/>
              <w:rPr>
                <w:sz w:val="24"/>
                <w:szCs w:val="24"/>
                <w:color w:val="auto"/>
              </w:rPr>
            </w:pPr>
          </w:p>
        </w:tc>
        <w:tc>
          <w:tcPr>
            <w:tcW w:w="2440" w:type="dxa"/>
            <w:vAlign w:val="bottom"/>
            <w:gridSpan w:val="3"/>
          </w:tcPr>
          <w:p>
            <w:pPr>
              <w:spacing w:after="0"/>
              <w:rPr>
                <w:sz w:val="20"/>
                <w:szCs w:val="20"/>
                <w:color w:val="auto"/>
              </w:rPr>
            </w:pPr>
            <w:r>
              <w:rPr>
                <w:rFonts w:ascii="Arial" w:cs="Arial" w:eastAsia="Arial" w:hAnsi="Arial"/>
                <w:sz w:val="29"/>
                <w:szCs w:val="29"/>
                <w:b w:val="1"/>
                <w:bCs w:val="1"/>
                <w:color w:val="FF0000"/>
              </w:rPr>
              <w:t>Audit Matters</w:t>
            </w:r>
          </w:p>
        </w:tc>
        <w:tc>
          <w:tcPr>
            <w:tcW w:w="50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20" w:type="dxa"/>
            <w:vAlign w:val="bottom"/>
            <w:gridSpan w:val="2"/>
          </w:tcPr>
          <w:p>
            <w:pPr>
              <w:jc w:val="right"/>
              <w:spacing w:after="0"/>
              <w:rPr>
                <w:sz w:val="20"/>
                <w:szCs w:val="20"/>
                <w:color w:val="auto"/>
              </w:rPr>
            </w:pPr>
            <w:r>
              <w:rPr>
                <w:rFonts w:ascii="Arial" w:cs="Arial" w:eastAsia="Arial" w:hAnsi="Arial"/>
                <w:sz w:val="18"/>
                <w:szCs w:val="18"/>
                <w:b w:val="1"/>
                <w:bCs w:val="1"/>
                <w:color w:val="auto"/>
              </w:rPr>
              <w:t>Further Information</w:t>
            </w:r>
          </w:p>
        </w:tc>
      </w:tr>
      <w:tr>
        <w:trPr>
          <w:trHeight w:val="29"/>
        </w:trPr>
        <w:tc>
          <w:tcPr>
            <w:tcW w:w="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70"/>
        </w:trPr>
        <w:tc>
          <w:tcPr>
            <w:tcW w:w="40" w:type="dxa"/>
            <w:vAlign w:val="bottom"/>
          </w:tcPr>
          <w:p>
            <w:pPr>
              <w:spacing w:after="0"/>
              <w:rPr>
                <w:sz w:val="23"/>
                <w:szCs w:val="23"/>
                <w:color w:val="auto"/>
              </w:rPr>
            </w:pPr>
          </w:p>
        </w:tc>
        <w:tc>
          <w:tcPr>
            <w:tcW w:w="8860" w:type="dxa"/>
            <w:vAlign w:val="bottom"/>
            <w:gridSpan w:val="7"/>
          </w:tcPr>
          <w:p>
            <w:pPr>
              <w:spacing w:after="0" w:line="270" w:lineRule="exact"/>
              <w:rPr>
                <w:sz w:val="20"/>
                <w:szCs w:val="20"/>
                <w:color w:val="auto"/>
              </w:rPr>
            </w:pPr>
            <w:r>
              <w:rPr>
                <w:rFonts w:ascii="Arial" w:cs="Arial" w:eastAsia="Arial" w:hAnsi="Arial"/>
                <w:sz w:val="25"/>
                <w:szCs w:val="25"/>
                <w:b w:val="1"/>
                <w:bCs w:val="1"/>
                <w:color w:val="FF0000"/>
              </w:rPr>
              <w:t>Item 3: Ratification of Appointment of Principal Independent Auditor</w:t>
            </w:r>
          </w:p>
        </w:tc>
        <w:tc>
          <w:tcPr>
            <w:tcW w:w="11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See page 62</w:t>
            </w:r>
          </w:p>
        </w:tc>
      </w:tr>
      <w:tr>
        <w:trPr>
          <w:trHeight w:val="196"/>
        </w:trPr>
        <w:tc>
          <w:tcPr>
            <w:tcW w:w="40" w:type="dxa"/>
            <w:vAlign w:val="bottom"/>
          </w:tcPr>
          <w:p>
            <w:pPr>
              <w:spacing w:after="0"/>
              <w:rPr>
                <w:sz w:val="17"/>
                <w:szCs w:val="17"/>
                <w:color w:val="auto"/>
              </w:rPr>
            </w:pPr>
          </w:p>
        </w:tc>
        <w:tc>
          <w:tcPr>
            <w:tcW w:w="720" w:type="dxa"/>
            <w:vAlign w:val="bottom"/>
            <w:tcBorders>
              <w:top w:val="single" w:sz="8" w:color="FF0000"/>
            </w:tcBorders>
          </w:tcPr>
          <w:p>
            <w:pPr>
              <w:spacing w:after="0"/>
              <w:rPr>
                <w:sz w:val="17"/>
                <w:szCs w:val="17"/>
                <w:color w:val="auto"/>
              </w:rPr>
            </w:pPr>
          </w:p>
        </w:tc>
        <w:tc>
          <w:tcPr>
            <w:tcW w:w="6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340" w:type="dxa"/>
            <w:vAlign w:val="bottom"/>
          </w:tcPr>
          <w:p>
            <w:pPr>
              <w:spacing w:after="0"/>
              <w:rPr>
                <w:sz w:val="17"/>
                <w:szCs w:val="17"/>
                <w:color w:val="auto"/>
              </w:rPr>
            </w:pPr>
          </w:p>
        </w:tc>
      </w:tr>
      <w:tr>
        <w:trPr>
          <w:trHeight w:val="169"/>
        </w:trPr>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60" w:type="dxa"/>
            <w:vAlign w:val="bottom"/>
            <w:tcBorders>
              <w:right w:val="single" w:sz="8" w:color="auto"/>
            </w:tcBorders>
          </w:tcPr>
          <w:p>
            <w:pPr>
              <w:spacing w:after="0"/>
              <w:rPr>
                <w:sz w:val="14"/>
                <w:szCs w:val="14"/>
                <w:color w:val="auto"/>
              </w:rPr>
            </w:pPr>
          </w:p>
        </w:tc>
        <w:tc>
          <w:tcPr>
            <w:tcW w:w="128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4"/>
                <w:szCs w:val="14"/>
                <w:b w:val="1"/>
                <w:bCs w:val="1"/>
                <w:color w:val="FF0000"/>
              </w:rPr>
              <w:t>Management</w:t>
            </w:r>
          </w:p>
        </w:tc>
        <w:tc>
          <w:tcPr>
            <w:tcW w:w="80" w:type="dxa"/>
            <w:vAlign w:val="bottom"/>
          </w:tcPr>
          <w:p>
            <w:pPr>
              <w:spacing w:after="0"/>
              <w:rPr>
                <w:sz w:val="14"/>
                <w:szCs w:val="14"/>
                <w:color w:val="auto"/>
              </w:rPr>
            </w:pPr>
          </w:p>
        </w:tc>
        <w:tc>
          <w:tcPr>
            <w:tcW w:w="1180" w:type="dxa"/>
            <w:vAlign w:val="bottom"/>
            <w:tcBorders>
              <w:right w:val="single" w:sz="8" w:color="auto"/>
            </w:tcBorders>
          </w:tcPr>
          <w:p>
            <w:pPr>
              <w:jc w:val="center"/>
              <w:ind w:right="16"/>
              <w:spacing w:after="0"/>
              <w:rPr>
                <w:sz w:val="20"/>
                <w:szCs w:val="20"/>
                <w:color w:val="auto"/>
              </w:rPr>
            </w:pPr>
            <w:r>
              <w:rPr>
                <w:rFonts w:ascii="Arial" w:cs="Arial" w:eastAsia="Arial" w:hAnsi="Arial"/>
                <w:sz w:val="14"/>
                <w:szCs w:val="14"/>
                <w:b w:val="1"/>
                <w:bCs w:val="1"/>
                <w:color w:val="FF0000"/>
              </w:rPr>
              <w:t>Vote required</w:t>
            </w:r>
          </w:p>
        </w:tc>
        <w:tc>
          <w:tcPr>
            <w:tcW w:w="1340" w:type="dxa"/>
            <w:vAlign w:val="bottom"/>
          </w:tcPr>
          <w:p>
            <w:pPr>
              <w:spacing w:after="0"/>
              <w:rPr>
                <w:sz w:val="14"/>
                <w:szCs w:val="14"/>
                <w:color w:val="auto"/>
              </w:rPr>
            </w:pPr>
          </w:p>
        </w:tc>
      </w:tr>
      <w:tr>
        <w:trPr>
          <w:trHeight w:val="190"/>
        </w:trPr>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060" w:type="dxa"/>
            <w:vAlign w:val="bottom"/>
            <w:tcBorders>
              <w:right w:val="single" w:sz="8" w:color="auto"/>
            </w:tcBorders>
          </w:tcPr>
          <w:p>
            <w:pPr>
              <w:spacing w:after="0"/>
              <w:rPr>
                <w:sz w:val="16"/>
                <w:szCs w:val="16"/>
                <w:color w:val="auto"/>
              </w:rPr>
            </w:pPr>
          </w:p>
        </w:tc>
        <w:tc>
          <w:tcPr>
            <w:tcW w:w="128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4"/>
                <w:szCs w:val="14"/>
                <w:b w:val="1"/>
                <w:bCs w:val="1"/>
                <w:color w:val="FF0000"/>
              </w:rPr>
              <w:t>recommendation</w:t>
            </w:r>
          </w:p>
        </w:tc>
        <w:tc>
          <w:tcPr>
            <w:tcW w:w="80" w:type="dxa"/>
            <w:vAlign w:val="bottom"/>
          </w:tcPr>
          <w:p>
            <w:pPr>
              <w:spacing w:after="0"/>
              <w:rPr>
                <w:sz w:val="16"/>
                <w:szCs w:val="16"/>
                <w:color w:val="auto"/>
              </w:rPr>
            </w:pP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FF0000"/>
              </w:rPr>
              <w:t>to pass</w:t>
            </w:r>
          </w:p>
        </w:tc>
        <w:tc>
          <w:tcPr>
            <w:tcW w:w="1340" w:type="dxa"/>
            <w:vAlign w:val="bottom"/>
          </w:tcPr>
          <w:p>
            <w:pPr>
              <w:spacing w:after="0"/>
              <w:rPr>
                <w:sz w:val="16"/>
                <w:szCs w:val="16"/>
                <w:color w:val="auto"/>
              </w:rPr>
            </w:pPr>
          </w:p>
        </w:tc>
      </w:tr>
      <w:tr>
        <w:trPr>
          <w:trHeight w:val="174"/>
        </w:trPr>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506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40" w:type="dxa"/>
            <w:vAlign w:val="bottom"/>
            <w:tcBorders>
              <w:bottom w:val="single" w:sz="8" w:color="auto"/>
              <w:right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80" w:type="dxa"/>
            <w:vAlign w:val="bottom"/>
            <w:tcBorders>
              <w:bottom w:val="single" w:sz="8" w:color="auto"/>
              <w:right w:val="single" w:sz="8" w:color="auto"/>
            </w:tcBorders>
          </w:tcPr>
          <w:p>
            <w:pPr>
              <w:spacing w:after="0"/>
              <w:rPr>
                <w:sz w:val="15"/>
                <w:szCs w:val="15"/>
                <w:color w:val="auto"/>
              </w:rPr>
            </w:pPr>
          </w:p>
        </w:tc>
        <w:tc>
          <w:tcPr>
            <w:tcW w:w="1340" w:type="dxa"/>
            <w:vAlign w:val="bottom"/>
          </w:tcPr>
          <w:p>
            <w:pPr>
              <w:spacing w:after="0"/>
              <w:rPr>
                <w:sz w:val="15"/>
                <w:szCs w:val="15"/>
                <w:color w:val="auto"/>
              </w:rPr>
            </w:pPr>
          </w:p>
        </w:tc>
      </w:tr>
      <w:tr>
        <w:trPr>
          <w:trHeight w:val="222"/>
        </w:trPr>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Borders>
              <w:right w:val="single" w:sz="8" w:color="auto"/>
            </w:tcBorders>
          </w:tcPr>
          <w:p>
            <w:pPr>
              <w:spacing w:after="0"/>
              <w:rPr>
                <w:sz w:val="19"/>
                <w:szCs w:val="19"/>
                <w:color w:val="auto"/>
              </w:rPr>
            </w:pP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Item 3</w:t>
            </w:r>
          </w:p>
        </w:tc>
        <w:tc>
          <w:tcPr>
            <w:tcW w:w="5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Ratify the appointment of Ernst &amp; Young LLP as the</w:t>
            </w:r>
          </w:p>
        </w:tc>
        <w:tc>
          <w:tcPr>
            <w:tcW w:w="128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8"/>
                <w:szCs w:val="18"/>
                <w:b w:val="1"/>
                <w:bCs w:val="1"/>
                <w:color w:val="auto"/>
                <w:w w:val="97"/>
              </w:rPr>
              <w:t>Vote FOR</w:t>
            </w:r>
          </w:p>
        </w:tc>
        <w:tc>
          <w:tcPr>
            <w:tcW w:w="80" w:type="dxa"/>
            <w:vAlign w:val="bottom"/>
          </w:tcPr>
          <w:p>
            <w:pPr>
              <w:spacing w:after="0"/>
              <w:rPr>
                <w:sz w:val="19"/>
                <w:szCs w:val="19"/>
                <w:color w:val="auto"/>
              </w:rPr>
            </w:pPr>
          </w:p>
        </w:tc>
        <w:tc>
          <w:tcPr>
            <w:tcW w:w="1180" w:type="dxa"/>
            <w:vAlign w:val="bottom"/>
            <w:tcBorders>
              <w:right w:val="single" w:sz="8" w:color="auto"/>
            </w:tcBorders>
          </w:tcPr>
          <w:p>
            <w:pPr>
              <w:jc w:val="center"/>
              <w:ind w:right="76"/>
              <w:spacing w:after="0"/>
              <w:rPr>
                <w:sz w:val="20"/>
                <w:szCs w:val="20"/>
                <w:color w:val="auto"/>
              </w:rPr>
            </w:pPr>
            <w:r>
              <w:rPr>
                <w:rFonts w:ascii="Arial" w:cs="Arial" w:eastAsia="Arial" w:hAnsi="Arial"/>
                <w:sz w:val="18"/>
                <w:szCs w:val="18"/>
                <w:color w:val="auto"/>
                <w:w w:val="98"/>
              </w:rPr>
              <w:t>Majority of</w:t>
            </w:r>
          </w:p>
        </w:tc>
        <w:tc>
          <w:tcPr>
            <w:tcW w:w="1340" w:type="dxa"/>
            <w:vAlign w:val="bottom"/>
          </w:tcPr>
          <w:p>
            <w:pPr>
              <w:spacing w:after="0"/>
              <w:rPr>
                <w:sz w:val="19"/>
                <w:szCs w:val="19"/>
                <w:color w:val="auto"/>
              </w:rPr>
            </w:pPr>
          </w:p>
        </w:tc>
      </w:tr>
      <w:tr>
        <w:trPr>
          <w:trHeight w:val="217"/>
        </w:trPr>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5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company's principal independent auditor for 2018</w:t>
            </w:r>
          </w:p>
        </w:tc>
        <w:tc>
          <w:tcPr>
            <w:tcW w:w="124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Borders>
              <w:right w:val="single" w:sz="8" w:color="auto"/>
            </w:tcBorders>
          </w:tcPr>
          <w:p>
            <w:pPr>
              <w:jc w:val="center"/>
              <w:ind w:right="36"/>
              <w:spacing w:after="0"/>
              <w:rPr>
                <w:sz w:val="20"/>
                <w:szCs w:val="20"/>
                <w:color w:val="auto"/>
              </w:rPr>
            </w:pPr>
            <w:r>
              <w:rPr>
                <w:rFonts w:ascii="Arial" w:cs="Arial" w:eastAsia="Arial" w:hAnsi="Arial"/>
                <w:sz w:val="18"/>
                <w:szCs w:val="18"/>
                <w:color w:val="auto"/>
              </w:rPr>
              <w:t>votes cast</w:t>
            </w:r>
          </w:p>
        </w:tc>
        <w:tc>
          <w:tcPr>
            <w:tcW w:w="134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spacing w:after="0"/>
              <w:rPr>
                <w:sz w:val="18"/>
                <w:szCs w:val="18"/>
                <w:color w:val="auto"/>
              </w:rPr>
            </w:pPr>
          </w:p>
        </w:tc>
        <w:tc>
          <w:tcPr>
            <w:tcW w:w="506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4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80" w:type="dxa"/>
            <w:vAlign w:val="bottom"/>
            <w:tcBorders>
              <w:bottom w:val="single" w:sz="8" w:color="auto"/>
              <w:right w:val="single" w:sz="8" w:color="auto"/>
            </w:tcBorders>
          </w:tcPr>
          <w:p>
            <w:pPr>
              <w:spacing w:after="0"/>
              <w:rPr>
                <w:sz w:val="18"/>
                <w:szCs w:val="18"/>
                <w:color w:val="auto"/>
              </w:rPr>
            </w:pPr>
          </w:p>
        </w:tc>
        <w:tc>
          <w:tcPr>
            <w:tcW w:w="1340" w:type="dxa"/>
            <w:vAlign w:val="bottom"/>
          </w:tcPr>
          <w:p>
            <w:pPr>
              <w:spacing w:after="0"/>
              <w:rPr>
                <w:sz w:val="18"/>
                <w:szCs w:val="18"/>
                <w:color w:val="auto"/>
              </w:rPr>
            </w:pPr>
          </w:p>
        </w:tc>
      </w:tr>
      <w:tr>
        <w:trPr>
          <w:trHeight w:val="836"/>
        </w:trPr>
        <w:tc>
          <w:tcPr>
            <w:tcW w:w="40" w:type="dxa"/>
            <w:vAlign w:val="bottom"/>
          </w:tcPr>
          <w:p>
            <w:pPr>
              <w:spacing w:after="0"/>
              <w:rPr>
                <w:sz w:val="24"/>
                <w:szCs w:val="24"/>
                <w:color w:val="auto"/>
              </w:rPr>
            </w:pPr>
          </w:p>
        </w:tc>
        <w:tc>
          <w:tcPr>
            <w:tcW w:w="7500" w:type="dxa"/>
            <w:vAlign w:val="bottom"/>
            <w:gridSpan w:val="4"/>
          </w:tcPr>
          <w:p>
            <w:pPr>
              <w:spacing w:after="0"/>
              <w:rPr>
                <w:sz w:val="20"/>
                <w:szCs w:val="20"/>
                <w:color w:val="auto"/>
              </w:rPr>
            </w:pPr>
            <w:r>
              <w:rPr>
                <w:rFonts w:ascii="Arial" w:cs="Arial" w:eastAsia="Arial" w:hAnsi="Arial"/>
                <w:sz w:val="29"/>
                <w:szCs w:val="29"/>
                <w:b w:val="1"/>
                <w:bCs w:val="1"/>
                <w:color w:val="FF0000"/>
              </w:rPr>
              <w:t>Management Proposals</w:t>
            </w: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20" w:type="dxa"/>
            <w:vAlign w:val="bottom"/>
            <w:gridSpan w:val="2"/>
          </w:tcPr>
          <w:p>
            <w:pPr>
              <w:jc w:val="right"/>
              <w:spacing w:after="0"/>
              <w:rPr>
                <w:sz w:val="20"/>
                <w:szCs w:val="20"/>
                <w:color w:val="auto"/>
              </w:rPr>
            </w:pPr>
            <w:r>
              <w:rPr>
                <w:rFonts w:ascii="Arial" w:cs="Arial" w:eastAsia="Arial" w:hAnsi="Arial"/>
                <w:sz w:val="18"/>
                <w:szCs w:val="18"/>
                <w:b w:val="1"/>
                <w:bCs w:val="1"/>
                <w:color w:val="auto"/>
              </w:rPr>
              <w:t>Further Information</w:t>
            </w:r>
          </w:p>
        </w:tc>
      </w:tr>
      <w:tr>
        <w:trPr>
          <w:trHeight w:val="29"/>
        </w:trPr>
        <w:tc>
          <w:tcPr>
            <w:tcW w:w="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20" w:type="dxa"/>
            <w:vAlign w:val="bottom"/>
            <w:tcBorders>
              <w:bottom w:val="single" w:sz="8" w:color="auto"/>
            </w:tcBorders>
            <w:gridSpan w:val="4"/>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70"/>
        </w:trPr>
        <w:tc>
          <w:tcPr>
            <w:tcW w:w="40" w:type="dxa"/>
            <w:vAlign w:val="bottom"/>
          </w:tcPr>
          <w:p>
            <w:pPr>
              <w:spacing w:after="0"/>
              <w:rPr>
                <w:sz w:val="23"/>
                <w:szCs w:val="23"/>
                <w:color w:val="auto"/>
              </w:rPr>
            </w:pPr>
          </w:p>
        </w:tc>
        <w:tc>
          <w:tcPr>
            <w:tcW w:w="8860" w:type="dxa"/>
            <w:vAlign w:val="bottom"/>
            <w:gridSpan w:val="7"/>
          </w:tcPr>
          <w:p>
            <w:pPr>
              <w:spacing w:after="0" w:line="270" w:lineRule="exact"/>
              <w:rPr>
                <w:sz w:val="20"/>
                <w:szCs w:val="20"/>
                <w:color w:val="auto"/>
              </w:rPr>
            </w:pPr>
            <w:r>
              <w:rPr>
                <w:rFonts w:ascii="Arial" w:cs="Arial" w:eastAsia="Arial" w:hAnsi="Arial"/>
                <w:sz w:val="25"/>
                <w:szCs w:val="25"/>
                <w:b w:val="1"/>
                <w:bCs w:val="1"/>
                <w:color w:val="FF0000"/>
              </w:rPr>
              <w:t>Item 4: Approve Amendments to the Articles of Incorporation to Eliminate</w:t>
            </w:r>
          </w:p>
        </w:tc>
        <w:tc>
          <w:tcPr>
            <w:tcW w:w="11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See page 65</w:t>
            </w:r>
          </w:p>
        </w:tc>
      </w:tr>
      <w:tr>
        <w:trPr>
          <w:trHeight w:val="20"/>
        </w:trPr>
        <w:tc>
          <w:tcPr>
            <w:tcW w:w="40" w:type="dxa"/>
            <w:vAlign w:val="bottom"/>
          </w:tcPr>
          <w:p>
            <w:pPr>
              <w:spacing w:after="0" w:line="20" w:lineRule="exact"/>
              <w:rPr>
                <w:sz w:val="1"/>
                <w:szCs w:val="1"/>
                <w:color w:val="auto"/>
              </w:rPr>
            </w:pPr>
          </w:p>
        </w:tc>
        <w:tc>
          <w:tcPr>
            <w:tcW w:w="720" w:type="dxa"/>
            <w:vAlign w:val="bottom"/>
            <w:shd w:val="clear" w:color="auto" w:fill="FF0000"/>
          </w:tcPr>
          <w:p>
            <w:pPr>
              <w:spacing w:after="0" w:line="20" w:lineRule="exact"/>
              <w:rPr>
                <w:sz w:val="1"/>
                <w:szCs w:val="1"/>
                <w:color w:val="auto"/>
              </w:rPr>
            </w:pPr>
          </w:p>
        </w:tc>
        <w:tc>
          <w:tcPr>
            <w:tcW w:w="6780" w:type="dxa"/>
            <w:vAlign w:val="bottom"/>
            <w:gridSpan w:val="3"/>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340"/>
        </w:trPr>
        <w:tc>
          <w:tcPr>
            <w:tcW w:w="40" w:type="dxa"/>
            <w:vAlign w:val="bottom"/>
          </w:tcPr>
          <w:p>
            <w:pPr>
              <w:spacing w:after="0"/>
              <w:rPr>
                <w:sz w:val="24"/>
                <w:szCs w:val="24"/>
                <w:color w:val="auto"/>
              </w:rPr>
            </w:pPr>
          </w:p>
        </w:tc>
        <w:tc>
          <w:tcPr>
            <w:tcW w:w="7500" w:type="dxa"/>
            <w:vAlign w:val="bottom"/>
            <w:gridSpan w:val="4"/>
          </w:tcPr>
          <w:p>
            <w:pPr>
              <w:spacing w:after="0"/>
              <w:rPr>
                <w:sz w:val="20"/>
                <w:szCs w:val="20"/>
                <w:color w:val="auto"/>
              </w:rPr>
            </w:pPr>
            <w:r>
              <w:rPr>
                <w:rFonts w:ascii="Arial" w:cs="Arial" w:eastAsia="Arial" w:hAnsi="Arial"/>
                <w:sz w:val="25"/>
                <w:szCs w:val="25"/>
                <w:b w:val="1"/>
                <w:bCs w:val="1"/>
                <w:color w:val="FF0000"/>
              </w:rPr>
              <w:t>the Classified Board Structure</w:t>
            </w: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54"/>
        </w:trPr>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0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2520" w:type="dxa"/>
            <w:vAlign w:val="bottom"/>
            <w:gridSpan w:val="2"/>
          </w:tcPr>
          <w:p>
            <w:pPr>
              <w:spacing w:after="0"/>
              <w:rPr>
                <w:sz w:val="13"/>
                <w:szCs w:val="13"/>
                <w:color w:val="auto"/>
              </w:rPr>
            </w:pPr>
          </w:p>
        </w:tc>
      </w:tr>
      <w:tr>
        <w:trPr>
          <w:trHeight w:val="169"/>
        </w:trPr>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60" w:type="dxa"/>
            <w:vAlign w:val="bottom"/>
            <w:tcBorders>
              <w:right w:val="single" w:sz="8" w:color="auto"/>
            </w:tcBorders>
          </w:tcPr>
          <w:p>
            <w:pPr>
              <w:spacing w:after="0"/>
              <w:rPr>
                <w:sz w:val="14"/>
                <w:szCs w:val="14"/>
                <w:color w:val="auto"/>
              </w:rPr>
            </w:pPr>
          </w:p>
        </w:tc>
        <w:tc>
          <w:tcPr>
            <w:tcW w:w="12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FF0000"/>
              </w:rPr>
              <w:t>Management</w:t>
            </w:r>
          </w:p>
        </w:tc>
        <w:tc>
          <w:tcPr>
            <w:tcW w:w="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180" w:type="dxa"/>
            <w:vAlign w:val="bottom"/>
            <w:tcBorders>
              <w:top w:val="single" w:sz="8" w:color="auto"/>
              <w:right w:val="single" w:sz="8" w:color="auto"/>
            </w:tcBorders>
          </w:tcPr>
          <w:p>
            <w:pPr>
              <w:jc w:val="center"/>
              <w:ind w:right="56"/>
              <w:spacing w:after="0"/>
              <w:rPr>
                <w:sz w:val="20"/>
                <w:szCs w:val="20"/>
                <w:color w:val="auto"/>
              </w:rPr>
            </w:pPr>
            <w:r>
              <w:rPr>
                <w:rFonts w:ascii="Arial" w:cs="Arial" w:eastAsia="Arial" w:hAnsi="Arial"/>
                <w:sz w:val="14"/>
                <w:szCs w:val="14"/>
                <w:b w:val="1"/>
                <w:bCs w:val="1"/>
                <w:color w:val="FF0000"/>
              </w:rPr>
              <w:t>Vote required</w:t>
            </w:r>
          </w:p>
        </w:tc>
        <w:tc>
          <w:tcPr>
            <w:tcW w:w="1340" w:type="dxa"/>
            <w:vAlign w:val="bottom"/>
          </w:tcPr>
          <w:p>
            <w:pPr>
              <w:spacing w:after="0"/>
              <w:rPr>
                <w:sz w:val="14"/>
                <w:szCs w:val="14"/>
                <w:color w:val="auto"/>
              </w:rPr>
            </w:pPr>
          </w:p>
        </w:tc>
      </w:tr>
      <w:tr>
        <w:trPr>
          <w:trHeight w:val="190"/>
        </w:trPr>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06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FF0000"/>
              </w:rPr>
              <w:t>recommendation</w:t>
            </w:r>
          </w:p>
        </w:tc>
        <w:tc>
          <w:tcPr>
            <w:tcW w:w="120" w:type="dxa"/>
            <w:vAlign w:val="bottom"/>
            <w:gridSpan w:val="2"/>
          </w:tcPr>
          <w:p>
            <w:pPr>
              <w:spacing w:after="0"/>
              <w:rPr>
                <w:sz w:val="16"/>
                <w:szCs w:val="16"/>
                <w:color w:val="auto"/>
              </w:rPr>
            </w:pPr>
          </w:p>
        </w:tc>
        <w:tc>
          <w:tcPr>
            <w:tcW w:w="1180" w:type="dxa"/>
            <w:vAlign w:val="bottom"/>
            <w:tcBorders>
              <w:right w:val="single" w:sz="8" w:color="auto"/>
            </w:tcBorders>
          </w:tcPr>
          <w:p>
            <w:pPr>
              <w:jc w:val="center"/>
              <w:ind w:right="36"/>
              <w:spacing w:after="0"/>
              <w:rPr>
                <w:sz w:val="20"/>
                <w:szCs w:val="20"/>
                <w:color w:val="auto"/>
              </w:rPr>
            </w:pPr>
            <w:r>
              <w:rPr>
                <w:rFonts w:ascii="Arial" w:cs="Arial" w:eastAsia="Arial" w:hAnsi="Arial"/>
                <w:sz w:val="14"/>
                <w:szCs w:val="14"/>
                <w:b w:val="1"/>
                <w:bCs w:val="1"/>
                <w:color w:val="FF0000"/>
              </w:rPr>
              <w:t>to pass</w:t>
            </w:r>
          </w:p>
        </w:tc>
        <w:tc>
          <w:tcPr>
            <w:tcW w:w="1340" w:type="dxa"/>
            <w:vAlign w:val="bottom"/>
          </w:tcPr>
          <w:p>
            <w:pPr>
              <w:spacing w:after="0"/>
              <w:rPr>
                <w:sz w:val="16"/>
                <w:szCs w:val="16"/>
                <w:color w:val="auto"/>
              </w:rPr>
            </w:pPr>
          </w:p>
        </w:tc>
      </w:tr>
      <w:tr>
        <w:trPr>
          <w:trHeight w:val="174"/>
        </w:trPr>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506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right w:val="single" w:sz="8" w:color="auto"/>
            </w:tcBorders>
          </w:tcPr>
          <w:p>
            <w:pPr>
              <w:spacing w:after="0"/>
              <w:rPr>
                <w:sz w:val="15"/>
                <w:szCs w:val="15"/>
                <w:color w:val="auto"/>
              </w:rPr>
            </w:pPr>
          </w:p>
        </w:tc>
        <w:tc>
          <w:tcPr>
            <w:tcW w:w="120" w:type="dxa"/>
            <w:vAlign w:val="bottom"/>
            <w:tcBorders>
              <w:bottom w:val="single" w:sz="8" w:color="auto"/>
            </w:tcBorders>
            <w:gridSpan w:val="2"/>
          </w:tcPr>
          <w:p>
            <w:pPr>
              <w:spacing w:after="0"/>
              <w:rPr>
                <w:sz w:val="15"/>
                <w:szCs w:val="15"/>
                <w:color w:val="auto"/>
              </w:rPr>
            </w:pPr>
          </w:p>
        </w:tc>
        <w:tc>
          <w:tcPr>
            <w:tcW w:w="1180" w:type="dxa"/>
            <w:vAlign w:val="bottom"/>
            <w:tcBorders>
              <w:bottom w:val="single" w:sz="8" w:color="auto"/>
              <w:right w:val="single" w:sz="8" w:color="auto"/>
            </w:tcBorders>
          </w:tcPr>
          <w:p>
            <w:pPr>
              <w:spacing w:after="0"/>
              <w:rPr>
                <w:sz w:val="15"/>
                <w:szCs w:val="15"/>
                <w:color w:val="auto"/>
              </w:rPr>
            </w:pPr>
          </w:p>
        </w:tc>
        <w:tc>
          <w:tcPr>
            <w:tcW w:w="1340" w:type="dxa"/>
            <w:vAlign w:val="bottom"/>
          </w:tcPr>
          <w:p>
            <w:pPr>
              <w:spacing w:after="0"/>
              <w:rPr>
                <w:sz w:val="15"/>
                <w:szCs w:val="15"/>
                <w:color w:val="auto"/>
              </w:rPr>
            </w:pPr>
          </w:p>
        </w:tc>
      </w:tr>
      <w:tr>
        <w:trPr>
          <w:trHeight w:val="222"/>
        </w:trPr>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Borders>
              <w:right w:val="single" w:sz="8" w:color="auto"/>
            </w:tcBorders>
          </w:tcPr>
          <w:p>
            <w:pPr>
              <w:spacing w:after="0"/>
              <w:rPr>
                <w:sz w:val="19"/>
                <w:szCs w:val="19"/>
                <w:color w:val="auto"/>
              </w:rPr>
            </w:pP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Item 4</w:t>
            </w:r>
          </w:p>
        </w:tc>
        <w:tc>
          <w:tcPr>
            <w:tcW w:w="5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Approve amendments to the articles of incorporation to</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Vote FOR</w:t>
            </w:r>
          </w:p>
        </w:tc>
        <w:tc>
          <w:tcPr>
            <w:tcW w:w="120" w:type="dxa"/>
            <w:vAlign w:val="bottom"/>
            <w:gridSpan w:val="2"/>
          </w:tcPr>
          <w:p>
            <w:pPr>
              <w:spacing w:after="0"/>
              <w:rPr>
                <w:sz w:val="19"/>
                <w:szCs w:val="19"/>
                <w:color w:val="auto"/>
              </w:rPr>
            </w:pPr>
          </w:p>
        </w:tc>
        <w:tc>
          <w:tcPr>
            <w:tcW w:w="1180" w:type="dxa"/>
            <w:vAlign w:val="bottom"/>
            <w:tcBorders>
              <w:right w:val="single" w:sz="8" w:color="auto"/>
            </w:tcBorders>
          </w:tcPr>
          <w:p>
            <w:pPr>
              <w:jc w:val="center"/>
              <w:ind w:right="56"/>
              <w:spacing w:after="0"/>
              <w:rPr>
                <w:sz w:val="20"/>
                <w:szCs w:val="20"/>
                <w:color w:val="auto"/>
              </w:rPr>
            </w:pPr>
            <w:r>
              <w:rPr>
                <w:rFonts w:ascii="Arial" w:cs="Arial" w:eastAsia="Arial" w:hAnsi="Arial"/>
                <w:sz w:val="18"/>
                <w:szCs w:val="18"/>
                <w:color w:val="auto"/>
                <w:w w:val="99"/>
              </w:rPr>
              <w:t>80% of</w:t>
            </w:r>
          </w:p>
        </w:tc>
        <w:tc>
          <w:tcPr>
            <w:tcW w:w="1340" w:type="dxa"/>
            <w:vAlign w:val="bottom"/>
          </w:tcPr>
          <w:p>
            <w:pPr>
              <w:spacing w:after="0"/>
              <w:rPr>
                <w:sz w:val="19"/>
                <w:szCs w:val="19"/>
                <w:color w:val="auto"/>
              </w:rPr>
            </w:pPr>
          </w:p>
        </w:tc>
      </w:tr>
      <w:tr>
        <w:trPr>
          <w:trHeight w:val="203"/>
        </w:trPr>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506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eliminate the classified board structure</w:t>
            </w:r>
          </w:p>
        </w:tc>
        <w:tc>
          <w:tcPr>
            <w:tcW w:w="124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Borders>
              <w:right w:val="single" w:sz="8" w:color="auto"/>
            </w:tcBorders>
          </w:tcPr>
          <w:p>
            <w:pPr>
              <w:jc w:val="center"/>
              <w:ind w:right="76"/>
              <w:spacing w:after="0" w:line="202" w:lineRule="exact"/>
              <w:rPr>
                <w:sz w:val="20"/>
                <w:szCs w:val="20"/>
                <w:color w:val="auto"/>
              </w:rPr>
            </w:pPr>
            <w:r>
              <w:rPr>
                <w:rFonts w:ascii="Arial" w:cs="Arial" w:eastAsia="Arial" w:hAnsi="Arial"/>
                <w:sz w:val="18"/>
                <w:szCs w:val="18"/>
                <w:color w:val="auto"/>
              </w:rPr>
              <w:t>outstanding</w:t>
            </w:r>
          </w:p>
        </w:tc>
        <w:tc>
          <w:tcPr>
            <w:tcW w:w="1340" w:type="dxa"/>
            <w:vAlign w:val="bottom"/>
          </w:tcPr>
          <w:p>
            <w:pPr>
              <w:spacing w:after="0"/>
              <w:rPr>
                <w:sz w:val="17"/>
                <w:szCs w:val="17"/>
                <w:color w:val="auto"/>
              </w:rPr>
            </w:pPr>
          </w:p>
        </w:tc>
      </w:tr>
      <w:tr>
        <w:trPr>
          <w:trHeight w:val="224"/>
        </w:trPr>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Borders>
              <w:right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spacing w:after="0"/>
              <w:rPr>
                <w:sz w:val="19"/>
                <w:szCs w:val="19"/>
                <w:color w:val="auto"/>
              </w:rPr>
            </w:pPr>
          </w:p>
        </w:tc>
        <w:tc>
          <w:tcPr>
            <w:tcW w:w="5060" w:type="dxa"/>
            <w:vAlign w:val="bottom"/>
            <w:tcBorders>
              <w:bottom w:val="single" w:sz="8" w:color="auto"/>
              <w:right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jc w:val="center"/>
              <w:ind w:right="76"/>
              <w:spacing w:after="0"/>
              <w:rPr>
                <w:sz w:val="20"/>
                <w:szCs w:val="20"/>
                <w:color w:val="auto"/>
              </w:rPr>
            </w:pPr>
            <w:r>
              <w:rPr>
                <w:rFonts w:ascii="Arial" w:cs="Arial" w:eastAsia="Arial" w:hAnsi="Arial"/>
                <w:sz w:val="18"/>
                <w:szCs w:val="18"/>
                <w:color w:val="auto"/>
                <w:w w:val="99"/>
              </w:rPr>
              <w:t>shares</w:t>
            </w:r>
          </w:p>
        </w:tc>
        <w:tc>
          <w:tcPr>
            <w:tcW w:w="1340" w:type="dxa"/>
            <w:vAlign w:val="bottom"/>
          </w:tcPr>
          <w:p>
            <w:pPr>
              <w:spacing w:after="0"/>
              <w:rPr>
                <w:sz w:val="19"/>
                <w:szCs w:val="19"/>
                <w:color w:val="auto"/>
              </w:rPr>
            </w:pPr>
          </w:p>
        </w:tc>
      </w:tr>
      <w:tr>
        <w:trPr>
          <w:trHeight w:val="716"/>
        </w:trPr>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20" w:type="dxa"/>
            <w:vAlign w:val="bottom"/>
            <w:gridSpan w:val="2"/>
          </w:tcPr>
          <w:p>
            <w:pPr>
              <w:jc w:val="right"/>
              <w:spacing w:after="0"/>
              <w:rPr>
                <w:sz w:val="20"/>
                <w:szCs w:val="20"/>
                <w:color w:val="auto"/>
              </w:rPr>
            </w:pPr>
            <w:r>
              <w:rPr>
                <w:rFonts w:ascii="Arial" w:cs="Arial" w:eastAsia="Arial" w:hAnsi="Arial"/>
                <w:sz w:val="18"/>
                <w:szCs w:val="18"/>
                <w:b w:val="1"/>
                <w:bCs w:val="1"/>
                <w:color w:val="auto"/>
              </w:rPr>
              <w:t>Further Information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21" w:right="239" w:bottom="1440" w:gutter="0" w:footer="0" w:header="0"/>
        </w:sectPr>
      </w:pPr>
    </w:p>
    <w:p>
      <w:pPr>
        <w:spacing w:after="0" w:line="51" w:lineRule="exact"/>
        <w:rPr>
          <w:sz w:val="20"/>
          <w:szCs w:val="20"/>
          <w:color w:val="auto"/>
        </w:rPr>
      </w:pPr>
    </w:p>
    <w:p>
      <w:pPr>
        <w:ind w:left="40" w:right="920"/>
        <w:spacing w:after="0" w:line="288" w:lineRule="auto"/>
        <w:rPr>
          <w:sz w:val="20"/>
          <w:szCs w:val="20"/>
          <w:color w:val="auto"/>
        </w:rPr>
      </w:pPr>
      <w:r>
        <w:rPr>
          <w:rFonts w:ascii="Arial" w:cs="Arial" w:eastAsia="Arial" w:hAnsi="Arial"/>
          <w:sz w:val="25"/>
          <w:szCs w:val="25"/>
          <w:b w:val="1"/>
          <w:bCs w:val="1"/>
          <w:u w:val="single" w:color="auto"/>
          <w:color w:val="FF0000"/>
        </w:rPr>
        <w:t>Item 5</w:t>
      </w:r>
      <w:r>
        <w:rPr>
          <w:rFonts w:ascii="Arial" w:cs="Arial" w:eastAsia="Arial" w:hAnsi="Arial"/>
          <w:sz w:val="25"/>
          <w:szCs w:val="25"/>
          <w:b w:val="1"/>
          <w:bCs w:val="1"/>
          <w:color w:val="FF0000"/>
        </w:rPr>
        <w:t>: Approve Amendments to the Articles of Incorporation to Eliminate Supermajority Voting Provisions</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See page 66</w:t>
      </w:r>
    </w:p>
    <w:p>
      <w:pPr>
        <w:spacing w:after="0" w:line="582" w:lineRule="exact"/>
        <w:rPr>
          <w:sz w:val="20"/>
          <w:szCs w:val="20"/>
          <w:color w:val="auto"/>
        </w:rPr>
      </w:pPr>
    </w:p>
    <w:p>
      <w:pPr>
        <w:sectPr>
          <w:pgSz w:w="11900" w:h="16838" w:orient="portrait"/>
          <w:cols w:equalWidth="0" w:num="2">
            <w:col w:w="9780" w:space="720"/>
            <w:col w:w="920"/>
          </w:cols>
          <w:pgMar w:left="240" w:top="721" w:right="239" w:bottom="1440" w:gutter="0" w:footer="0" w:header="0"/>
          <w:type w:val="continuous"/>
        </w:sectPr>
      </w:pPr>
    </w:p>
    <w:tbl>
      <w:tblPr>
        <w:tblLayout w:type="fixed"/>
        <w:tblInd w:w="1390" w:type="dxa"/>
        <w:tblCellMar>
          <w:top w:w="0" w:type="dxa"/>
          <w:left w:w="0" w:type="dxa"/>
          <w:bottom w:w="0" w:type="dxa"/>
          <w:right w:w="0" w:type="dxa"/>
        </w:tblCellMar>
      </w:tblPr>
      <w:tr>
        <w:trPr>
          <w:trHeight w:val="189"/>
        </w:trPr>
        <w:tc>
          <w:tcPr>
            <w:tcW w:w="1100" w:type="dxa"/>
            <w:vAlign w:val="bottom"/>
          </w:tcPr>
          <w:p>
            <w:pPr>
              <w:spacing w:after="0"/>
              <w:rPr>
                <w:sz w:val="16"/>
                <w:szCs w:val="16"/>
                <w:color w:val="auto"/>
              </w:rPr>
            </w:pPr>
          </w:p>
        </w:tc>
        <w:tc>
          <w:tcPr>
            <w:tcW w:w="5060" w:type="dxa"/>
            <w:vAlign w:val="bottom"/>
            <w:tcBorders>
              <w:right w:val="single" w:sz="8" w:color="auto"/>
            </w:tcBorders>
          </w:tcPr>
          <w:p>
            <w:pPr>
              <w:spacing w:after="0"/>
              <w:rPr>
                <w:sz w:val="16"/>
                <w:szCs w:val="16"/>
                <w:color w:val="auto"/>
              </w:rPr>
            </w:pPr>
          </w:p>
        </w:tc>
        <w:tc>
          <w:tcPr>
            <w:tcW w:w="12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FF0000"/>
              </w:rPr>
              <w:t>Management</w:t>
            </w:r>
          </w:p>
        </w:tc>
        <w:tc>
          <w:tcPr>
            <w:tcW w:w="13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FF0000"/>
              </w:rPr>
              <w:t>Vote required</w:t>
            </w:r>
          </w:p>
        </w:tc>
      </w:tr>
      <w:tr>
        <w:trPr>
          <w:trHeight w:val="190"/>
        </w:trPr>
        <w:tc>
          <w:tcPr>
            <w:tcW w:w="1100" w:type="dxa"/>
            <w:vAlign w:val="bottom"/>
          </w:tcPr>
          <w:p>
            <w:pPr>
              <w:spacing w:after="0"/>
              <w:rPr>
                <w:sz w:val="16"/>
                <w:szCs w:val="16"/>
                <w:color w:val="auto"/>
              </w:rPr>
            </w:pPr>
          </w:p>
        </w:tc>
        <w:tc>
          <w:tcPr>
            <w:tcW w:w="506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FF0000"/>
              </w:rPr>
              <w:t>recommendation</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FF0000"/>
              </w:rPr>
              <w:t>to pass</w:t>
            </w:r>
          </w:p>
        </w:tc>
      </w:tr>
      <w:tr>
        <w:trPr>
          <w:trHeight w:val="174"/>
        </w:trPr>
        <w:tc>
          <w:tcPr>
            <w:tcW w:w="1100" w:type="dxa"/>
            <w:vAlign w:val="bottom"/>
            <w:tcBorders>
              <w:bottom w:val="single" w:sz="8" w:color="auto"/>
            </w:tcBorders>
          </w:tcPr>
          <w:p>
            <w:pPr>
              <w:spacing w:after="0"/>
              <w:rPr>
                <w:sz w:val="15"/>
                <w:szCs w:val="15"/>
                <w:color w:val="auto"/>
              </w:rPr>
            </w:pPr>
          </w:p>
        </w:tc>
        <w:tc>
          <w:tcPr>
            <w:tcW w:w="506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right w:val="single" w:sz="8" w:color="auto"/>
            </w:tcBorders>
          </w:tcPr>
          <w:p>
            <w:pPr>
              <w:spacing w:after="0"/>
              <w:rPr>
                <w:sz w:val="15"/>
                <w:szCs w:val="15"/>
                <w:color w:val="auto"/>
              </w:rPr>
            </w:pPr>
          </w:p>
        </w:tc>
        <w:tc>
          <w:tcPr>
            <w:tcW w:w="1300" w:type="dxa"/>
            <w:vAlign w:val="bottom"/>
            <w:tcBorders>
              <w:bottom w:val="single" w:sz="8" w:color="auto"/>
              <w:right w:val="single" w:sz="8" w:color="auto"/>
            </w:tcBorders>
          </w:tcPr>
          <w:p>
            <w:pPr>
              <w:spacing w:after="0"/>
              <w:rPr>
                <w:sz w:val="15"/>
                <w:szCs w:val="15"/>
                <w:color w:val="auto"/>
              </w:rPr>
            </w:pPr>
          </w:p>
        </w:tc>
      </w:tr>
      <w:tr>
        <w:trPr>
          <w:trHeight w:val="222"/>
        </w:trPr>
        <w:tc>
          <w:tcPr>
            <w:tcW w:w="11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Item 5</w:t>
            </w:r>
          </w:p>
        </w:tc>
        <w:tc>
          <w:tcPr>
            <w:tcW w:w="5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Approve amendments to the articles of incorporation to</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Vote FOR</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80% of</w:t>
            </w:r>
          </w:p>
        </w:tc>
      </w:tr>
      <w:tr>
        <w:trPr>
          <w:trHeight w:val="203"/>
        </w:trPr>
        <w:tc>
          <w:tcPr>
            <w:tcW w:w="1100" w:type="dxa"/>
            <w:vAlign w:val="bottom"/>
            <w:tcBorders>
              <w:left w:val="single" w:sz="8" w:color="auto"/>
              <w:right w:val="single" w:sz="8" w:color="auto"/>
            </w:tcBorders>
          </w:tcPr>
          <w:p>
            <w:pPr>
              <w:spacing w:after="0"/>
              <w:rPr>
                <w:sz w:val="17"/>
                <w:szCs w:val="17"/>
                <w:color w:val="auto"/>
              </w:rPr>
            </w:pPr>
          </w:p>
        </w:tc>
        <w:tc>
          <w:tcPr>
            <w:tcW w:w="506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eliminate supermajority voting provisions</w:t>
            </w:r>
          </w:p>
        </w:tc>
        <w:tc>
          <w:tcPr>
            <w:tcW w:w="1240" w:type="dxa"/>
            <w:vAlign w:val="bottom"/>
            <w:tcBorders>
              <w:right w:val="single" w:sz="8" w:color="auto"/>
            </w:tcBorders>
          </w:tcPr>
          <w:p>
            <w:pPr>
              <w:spacing w:after="0"/>
              <w:rPr>
                <w:sz w:val="17"/>
                <w:szCs w:val="17"/>
                <w:color w:val="auto"/>
              </w:rPr>
            </w:pPr>
          </w:p>
        </w:tc>
        <w:tc>
          <w:tcPr>
            <w:tcW w:w="13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outstanding</w:t>
            </w:r>
          </w:p>
        </w:tc>
      </w:tr>
      <w:tr>
        <w:trPr>
          <w:trHeight w:val="217"/>
        </w:trPr>
        <w:tc>
          <w:tcPr>
            <w:tcW w:w="1100" w:type="dxa"/>
            <w:vAlign w:val="bottom"/>
            <w:tcBorders>
              <w:left w:val="single" w:sz="8" w:color="auto"/>
              <w:right w:val="single" w:sz="8" w:color="auto"/>
            </w:tcBorders>
          </w:tcPr>
          <w:p>
            <w:pPr>
              <w:spacing w:after="0"/>
              <w:rPr>
                <w:sz w:val="18"/>
                <w:szCs w:val="18"/>
                <w:color w:val="auto"/>
              </w:rPr>
            </w:pPr>
          </w:p>
        </w:tc>
        <w:tc>
          <w:tcPr>
            <w:tcW w:w="506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shares</w:t>
            </w:r>
          </w:p>
        </w:tc>
      </w:tr>
      <w:tr>
        <w:trPr>
          <w:trHeight w:val="216"/>
        </w:trPr>
        <w:tc>
          <w:tcPr>
            <w:tcW w:w="1100" w:type="dxa"/>
            <w:vAlign w:val="bottom"/>
            <w:tcBorders>
              <w:left w:val="single" w:sz="8" w:color="auto"/>
              <w:bottom w:val="single" w:sz="8" w:color="auto"/>
              <w:right w:val="single" w:sz="8" w:color="auto"/>
            </w:tcBorders>
          </w:tcPr>
          <w:p>
            <w:pPr>
              <w:spacing w:after="0"/>
              <w:rPr>
                <w:sz w:val="18"/>
                <w:szCs w:val="18"/>
                <w:color w:val="auto"/>
              </w:rPr>
            </w:pPr>
          </w:p>
        </w:tc>
        <w:tc>
          <w:tcPr>
            <w:tcW w:w="506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580" w:type="dxa"/>
            <w:vAlign w:val="bottom"/>
            <w:gridSpan w:val="2"/>
          </w:tcPr>
          <w:p>
            <w:pPr>
              <w:jc w:val="right"/>
              <w:spacing w:after="0"/>
              <w:rPr>
                <w:sz w:val="20"/>
                <w:szCs w:val="20"/>
                <w:color w:val="auto"/>
              </w:rPr>
            </w:pPr>
            <w:r>
              <w:rPr>
                <w:rFonts w:ascii="Arial" w:cs="Arial" w:eastAsia="Arial" w:hAnsi="Arial"/>
                <w:sz w:val="18"/>
                <w:szCs w:val="18"/>
                <w:b w:val="1"/>
                <w:bCs w:val="1"/>
                <w:color w:val="auto"/>
              </w:rPr>
              <w:t>Further Information</w:t>
            </w:r>
          </w:p>
        </w:tc>
      </w:tr>
      <w:tr>
        <w:trPr>
          <w:trHeight w:val="34"/>
        </w:trPr>
        <w:tc>
          <w:tcPr>
            <w:tcW w:w="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70"/>
        </w:trPr>
        <w:tc>
          <w:tcPr>
            <w:tcW w:w="8840" w:type="dxa"/>
            <w:vAlign w:val="bottom"/>
            <w:gridSpan w:val="6"/>
          </w:tcPr>
          <w:p>
            <w:pPr>
              <w:ind w:left="40"/>
              <w:spacing w:after="0" w:line="270" w:lineRule="exact"/>
              <w:rPr>
                <w:sz w:val="20"/>
                <w:szCs w:val="20"/>
                <w:color w:val="auto"/>
              </w:rPr>
            </w:pPr>
            <w:r>
              <w:rPr>
                <w:rFonts w:ascii="Arial" w:cs="Arial" w:eastAsia="Arial" w:hAnsi="Arial"/>
                <w:sz w:val="25"/>
                <w:szCs w:val="25"/>
                <w:b w:val="1"/>
                <w:bCs w:val="1"/>
                <w:color w:val="FF0000"/>
              </w:rPr>
              <w:t>Item 6: Approve the Amended and Restated 2002 Lilly Stock Plan</w:t>
            </w:r>
          </w:p>
        </w:tc>
        <w:tc>
          <w:tcPr>
            <w:tcW w:w="12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See page 68</w:t>
            </w:r>
          </w:p>
        </w:tc>
      </w:tr>
      <w:tr>
        <w:trPr>
          <w:trHeight w:val="196"/>
        </w:trPr>
        <w:tc>
          <w:tcPr>
            <w:tcW w:w="40" w:type="dxa"/>
            <w:vAlign w:val="bottom"/>
          </w:tcPr>
          <w:p>
            <w:pPr>
              <w:spacing w:after="0"/>
              <w:rPr>
                <w:sz w:val="17"/>
                <w:szCs w:val="17"/>
                <w:color w:val="auto"/>
              </w:rPr>
            </w:pPr>
          </w:p>
        </w:tc>
        <w:tc>
          <w:tcPr>
            <w:tcW w:w="720" w:type="dxa"/>
            <w:vAlign w:val="bottom"/>
            <w:tcBorders>
              <w:top w:val="single" w:sz="8" w:color="FF0000"/>
            </w:tcBorders>
          </w:tcPr>
          <w:p>
            <w:pPr>
              <w:spacing w:after="0"/>
              <w:rPr>
                <w:sz w:val="17"/>
                <w:szCs w:val="17"/>
                <w:color w:val="auto"/>
              </w:rPr>
            </w:pPr>
          </w:p>
        </w:tc>
        <w:tc>
          <w:tcPr>
            <w:tcW w:w="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200" w:type="dxa"/>
            <w:vAlign w:val="bottom"/>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320" w:type="dxa"/>
            <w:vAlign w:val="bottom"/>
          </w:tcPr>
          <w:p>
            <w:pPr>
              <w:spacing w:after="0"/>
              <w:rPr>
                <w:sz w:val="17"/>
                <w:szCs w:val="17"/>
                <w:color w:val="auto"/>
              </w:rPr>
            </w:pPr>
          </w:p>
        </w:tc>
      </w:tr>
      <w:tr>
        <w:trPr>
          <w:trHeight w:val="169"/>
        </w:trPr>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0" w:type="dxa"/>
            <w:vAlign w:val="bottom"/>
            <w:tcBorders>
              <w:right w:val="single" w:sz="8" w:color="auto"/>
            </w:tcBorders>
          </w:tcPr>
          <w:p>
            <w:pPr>
              <w:spacing w:after="0"/>
              <w:rPr>
                <w:sz w:val="14"/>
                <w:szCs w:val="14"/>
                <w:color w:val="auto"/>
              </w:rPr>
            </w:pP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FF0000"/>
              </w:rPr>
              <w:t>Management</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FF0000"/>
              </w:rPr>
              <w:t>Vote required</w:t>
            </w:r>
          </w:p>
        </w:tc>
        <w:tc>
          <w:tcPr>
            <w:tcW w:w="1320" w:type="dxa"/>
            <w:vAlign w:val="bottom"/>
          </w:tcPr>
          <w:p>
            <w:pPr>
              <w:spacing w:after="0"/>
              <w:rPr>
                <w:sz w:val="14"/>
                <w:szCs w:val="14"/>
                <w:color w:val="auto"/>
              </w:rPr>
            </w:pPr>
          </w:p>
        </w:tc>
      </w:tr>
      <w:tr>
        <w:trPr>
          <w:trHeight w:val="190"/>
        </w:trPr>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200" w:type="dxa"/>
            <w:vAlign w:val="bottom"/>
            <w:tcBorders>
              <w:right w:val="single" w:sz="8" w:color="auto"/>
            </w:tcBorders>
          </w:tcPr>
          <w:p>
            <w:pPr>
              <w:spacing w:after="0"/>
              <w:rPr>
                <w:sz w:val="16"/>
                <w:szCs w:val="16"/>
                <w:color w:val="auto"/>
              </w:rPr>
            </w:pP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FF0000"/>
              </w:rPr>
              <w:t>recommendation</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FF0000"/>
              </w:rPr>
              <w:t>to pass</w:t>
            </w:r>
          </w:p>
        </w:tc>
        <w:tc>
          <w:tcPr>
            <w:tcW w:w="1320" w:type="dxa"/>
            <w:vAlign w:val="bottom"/>
          </w:tcPr>
          <w:p>
            <w:pPr>
              <w:spacing w:after="0"/>
              <w:rPr>
                <w:sz w:val="16"/>
                <w:szCs w:val="16"/>
                <w:color w:val="auto"/>
              </w:rPr>
            </w:pPr>
          </w:p>
        </w:tc>
      </w:tr>
      <w:tr>
        <w:trPr>
          <w:trHeight w:val="174"/>
        </w:trPr>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5200" w:type="dxa"/>
            <w:vAlign w:val="bottom"/>
            <w:tcBorders>
              <w:bottom w:val="single" w:sz="8" w:color="auto"/>
              <w:right w:val="single" w:sz="8" w:color="auto"/>
            </w:tcBorders>
          </w:tcPr>
          <w:p>
            <w:pPr>
              <w:spacing w:after="0"/>
              <w:rPr>
                <w:sz w:val="15"/>
                <w:szCs w:val="15"/>
                <w:color w:val="auto"/>
              </w:rPr>
            </w:pPr>
          </w:p>
        </w:tc>
        <w:tc>
          <w:tcPr>
            <w:tcW w:w="1280" w:type="dxa"/>
            <w:vAlign w:val="bottom"/>
            <w:tcBorders>
              <w:bottom w:val="single" w:sz="8" w:color="auto"/>
              <w:right w:val="single" w:sz="8" w:color="auto"/>
            </w:tcBorders>
          </w:tcPr>
          <w:p>
            <w:pPr>
              <w:spacing w:after="0"/>
              <w:rPr>
                <w:sz w:val="15"/>
                <w:szCs w:val="15"/>
                <w:color w:val="auto"/>
              </w:rPr>
            </w:pPr>
          </w:p>
        </w:tc>
        <w:tc>
          <w:tcPr>
            <w:tcW w:w="1260" w:type="dxa"/>
            <w:vAlign w:val="bottom"/>
            <w:tcBorders>
              <w:bottom w:val="single" w:sz="8" w:color="auto"/>
              <w:right w:val="single" w:sz="8" w:color="auto"/>
            </w:tcBorders>
          </w:tcPr>
          <w:p>
            <w:pPr>
              <w:spacing w:after="0"/>
              <w:rPr>
                <w:sz w:val="15"/>
                <w:szCs w:val="15"/>
                <w:color w:val="auto"/>
              </w:rPr>
            </w:pPr>
          </w:p>
        </w:tc>
        <w:tc>
          <w:tcPr>
            <w:tcW w:w="1320" w:type="dxa"/>
            <w:vAlign w:val="bottom"/>
          </w:tcPr>
          <w:p>
            <w:pPr>
              <w:spacing w:after="0"/>
              <w:rPr>
                <w:sz w:val="15"/>
                <w:szCs w:val="15"/>
                <w:color w:val="auto"/>
              </w:rPr>
            </w:pPr>
          </w:p>
        </w:tc>
      </w:tr>
      <w:tr>
        <w:trPr>
          <w:trHeight w:val="222"/>
        </w:trPr>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Borders>
              <w:right w:val="single" w:sz="8" w:color="auto"/>
            </w:tcBorders>
          </w:tcPr>
          <w:p>
            <w:pPr>
              <w:spacing w:after="0"/>
              <w:rPr>
                <w:sz w:val="19"/>
                <w:szCs w:val="19"/>
                <w:color w:val="auto"/>
              </w:rPr>
            </w:pPr>
          </w:p>
        </w:tc>
        <w:tc>
          <w:tcPr>
            <w:tcW w:w="100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Item 6</w:t>
            </w:r>
          </w:p>
        </w:tc>
        <w:tc>
          <w:tcPr>
            <w:tcW w:w="5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Approve the amended and restated 2002 Lilly stock plan</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Vote FOR</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Majority of</w:t>
            </w:r>
          </w:p>
        </w:tc>
        <w:tc>
          <w:tcPr>
            <w:tcW w:w="1320" w:type="dxa"/>
            <w:vAlign w:val="bottom"/>
          </w:tcPr>
          <w:p>
            <w:pPr>
              <w:spacing w:after="0"/>
              <w:rPr>
                <w:sz w:val="19"/>
                <w:szCs w:val="19"/>
                <w:color w:val="auto"/>
              </w:rPr>
            </w:pPr>
          </w:p>
        </w:tc>
      </w:tr>
      <w:tr>
        <w:trPr>
          <w:trHeight w:val="224"/>
        </w:trPr>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Borders>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c>
          <w:tcPr>
            <w:tcW w:w="5200" w:type="dxa"/>
            <w:vAlign w:val="bottom"/>
            <w:tcBorders>
              <w:bottom w:val="single" w:sz="8" w:color="auto"/>
              <w:right w:val="single" w:sz="8" w:color="auto"/>
            </w:tcBorders>
          </w:tcPr>
          <w:p>
            <w:pPr>
              <w:spacing w:after="0"/>
              <w:rPr>
                <w:sz w:val="19"/>
                <w:szCs w:val="19"/>
                <w:color w:val="auto"/>
              </w:rPr>
            </w:pPr>
          </w:p>
        </w:tc>
        <w:tc>
          <w:tcPr>
            <w:tcW w:w="128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votes cast</w:t>
            </w:r>
          </w:p>
        </w:tc>
        <w:tc>
          <w:tcPr>
            <w:tcW w:w="13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P9</w:t>
      </w:r>
    </w:p>
    <w:p>
      <w:pPr>
        <w:sectPr>
          <w:pgSz w:w="11900" w:h="16838" w:orient="portrait"/>
          <w:cols w:equalWidth="0" w:num="1">
            <w:col w:w="11420"/>
          </w:cols>
          <w:pgMar w:left="240" w:top="721" w:right="2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28"/>
          <w:szCs w:val="28"/>
          <w:b w:val="1"/>
          <w:bCs w:val="1"/>
          <w:color w:val="FF0000"/>
        </w:rPr>
        <w:t>Shareholder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52705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Further Information</w:t>
      </w:r>
    </w:p>
    <w:p>
      <w:pPr>
        <w:spacing w:after="0" w:line="90" w:lineRule="exact"/>
        <w:rPr>
          <w:sz w:val="20"/>
          <w:szCs w:val="20"/>
          <w:color w:val="auto"/>
        </w:rPr>
      </w:pPr>
    </w:p>
    <w:p>
      <w:pPr>
        <w:sectPr>
          <w:pgSz w:w="11900" w:h="16838" w:orient="portrait"/>
          <w:cols w:equalWidth="0" w:num="2">
            <w:col w:w="9040" w:space="720"/>
            <w:col w:w="1620"/>
          </w:cols>
          <w:pgMar w:left="280" w:top="721" w:right="239" w:bottom="1440" w:gutter="0" w:footer="0" w:header="0"/>
        </w:sectPr>
      </w:pPr>
    </w:p>
    <w:p>
      <w:pPr>
        <w:ind w:right="1280"/>
        <w:spacing w:after="0" w:line="288" w:lineRule="auto"/>
        <w:rPr>
          <w:sz w:val="20"/>
          <w:szCs w:val="20"/>
          <w:color w:val="auto"/>
        </w:rPr>
      </w:pPr>
      <w:r>
        <w:rPr>
          <w:rFonts w:ascii="Arial" w:cs="Arial" w:eastAsia="Arial" w:hAnsi="Arial"/>
          <w:sz w:val="25"/>
          <w:szCs w:val="25"/>
          <w:b w:val="1"/>
          <w:bCs w:val="1"/>
          <w:u w:val="single" w:color="auto"/>
          <w:color w:val="FF0000"/>
        </w:rPr>
        <w:t>Item 7</w:t>
      </w:r>
      <w:r>
        <w:rPr>
          <w:rFonts w:ascii="Arial" w:cs="Arial" w:eastAsia="Arial" w:hAnsi="Arial"/>
          <w:sz w:val="25"/>
          <w:szCs w:val="25"/>
          <w:b w:val="1"/>
          <w:bCs w:val="1"/>
          <w:color w:val="FF0000"/>
        </w:rPr>
        <w:t>: Shareholder Proposal Seeking Support for the Descheduling of Cannabis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See page 77</w:t>
      </w:r>
    </w:p>
    <w:p>
      <w:pPr>
        <w:spacing w:after="0" w:line="582" w:lineRule="exact"/>
        <w:rPr>
          <w:sz w:val="20"/>
          <w:szCs w:val="20"/>
          <w:color w:val="auto"/>
        </w:rPr>
      </w:pPr>
    </w:p>
    <w:p>
      <w:pPr>
        <w:sectPr>
          <w:pgSz w:w="11900" w:h="16838" w:orient="portrait"/>
          <w:cols w:equalWidth="0" w:num="2">
            <w:col w:w="9740" w:space="720"/>
            <w:col w:w="920"/>
          </w:cols>
          <w:pgMar w:left="280" w:top="721" w:right="239" w:bottom="1440" w:gutter="0" w:footer="0" w:header="0"/>
          <w:type w:val="continuous"/>
        </w:sectPr>
      </w:pPr>
    </w:p>
    <w:tbl>
      <w:tblPr>
        <w:tblLayout w:type="fixed"/>
        <w:tblInd w:w="1350" w:type="dxa"/>
        <w:tblCellMar>
          <w:top w:w="0" w:type="dxa"/>
          <w:left w:w="0" w:type="dxa"/>
          <w:bottom w:w="0" w:type="dxa"/>
          <w:right w:w="0" w:type="dxa"/>
        </w:tblCellMar>
      </w:tblPr>
      <w:tr>
        <w:trPr>
          <w:trHeight w:val="189"/>
        </w:trPr>
        <w:tc>
          <w:tcPr>
            <w:tcW w:w="1100" w:type="dxa"/>
            <w:vAlign w:val="bottom"/>
          </w:tcPr>
          <w:p>
            <w:pPr>
              <w:spacing w:after="0"/>
              <w:rPr>
                <w:sz w:val="16"/>
                <w:szCs w:val="16"/>
                <w:color w:val="auto"/>
              </w:rPr>
            </w:pPr>
          </w:p>
        </w:tc>
        <w:tc>
          <w:tcPr>
            <w:tcW w:w="5060" w:type="dxa"/>
            <w:vAlign w:val="bottom"/>
            <w:tcBorders>
              <w:right w:val="single" w:sz="8" w:color="auto"/>
            </w:tcBorders>
          </w:tcPr>
          <w:p>
            <w:pPr>
              <w:spacing w:after="0"/>
              <w:rPr>
                <w:sz w:val="16"/>
                <w:szCs w:val="16"/>
                <w:color w:val="auto"/>
              </w:rPr>
            </w:pPr>
          </w:p>
        </w:tc>
        <w:tc>
          <w:tcPr>
            <w:tcW w:w="1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FF0000"/>
              </w:rPr>
              <w:t>Management</w:t>
            </w:r>
          </w:p>
        </w:tc>
        <w:tc>
          <w:tcPr>
            <w:tcW w:w="12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FF0000"/>
              </w:rPr>
              <w:t>Vote required</w:t>
            </w:r>
          </w:p>
        </w:tc>
      </w:tr>
      <w:tr>
        <w:trPr>
          <w:trHeight w:val="190"/>
        </w:trPr>
        <w:tc>
          <w:tcPr>
            <w:tcW w:w="1100" w:type="dxa"/>
            <w:vAlign w:val="bottom"/>
          </w:tcPr>
          <w:p>
            <w:pPr>
              <w:spacing w:after="0"/>
              <w:rPr>
                <w:sz w:val="16"/>
                <w:szCs w:val="16"/>
                <w:color w:val="auto"/>
              </w:rPr>
            </w:pPr>
          </w:p>
        </w:tc>
        <w:tc>
          <w:tcPr>
            <w:tcW w:w="5060" w:type="dxa"/>
            <w:vAlign w:val="bottom"/>
            <w:tcBorders>
              <w:right w:val="single" w:sz="8" w:color="auto"/>
            </w:tcBorders>
          </w:tcPr>
          <w:p>
            <w:pPr>
              <w:spacing w:after="0"/>
              <w:rPr>
                <w:sz w:val="16"/>
                <w:szCs w:val="16"/>
                <w:color w:val="auto"/>
              </w:rPr>
            </w:pP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FF0000"/>
              </w:rPr>
              <w:t>recommendation</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FF0000"/>
              </w:rPr>
              <w:t>to pass</w:t>
            </w:r>
          </w:p>
        </w:tc>
      </w:tr>
      <w:tr>
        <w:trPr>
          <w:trHeight w:val="174"/>
        </w:trPr>
        <w:tc>
          <w:tcPr>
            <w:tcW w:w="1100" w:type="dxa"/>
            <w:vAlign w:val="bottom"/>
            <w:tcBorders>
              <w:bottom w:val="single" w:sz="8" w:color="auto"/>
            </w:tcBorders>
          </w:tcPr>
          <w:p>
            <w:pPr>
              <w:spacing w:after="0"/>
              <w:rPr>
                <w:sz w:val="15"/>
                <w:szCs w:val="15"/>
                <w:color w:val="auto"/>
              </w:rPr>
            </w:pPr>
          </w:p>
        </w:tc>
        <w:tc>
          <w:tcPr>
            <w:tcW w:w="5060" w:type="dxa"/>
            <w:vAlign w:val="bottom"/>
            <w:tcBorders>
              <w:bottom w:val="single" w:sz="8" w:color="auto"/>
              <w:right w:val="single" w:sz="8" w:color="auto"/>
            </w:tcBorders>
          </w:tcPr>
          <w:p>
            <w:pPr>
              <w:spacing w:after="0"/>
              <w:rPr>
                <w:sz w:val="15"/>
                <w:szCs w:val="15"/>
                <w:color w:val="auto"/>
              </w:rPr>
            </w:pPr>
          </w:p>
        </w:tc>
        <w:tc>
          <w:tcPr>
            <w:tcW w:w="1280" w:type="dxa"/>
            <w:vAlign w:val="bottom"/>
            <w:tcBorders>
              <w:bottom w:val="single" w:sz="8" w:color="auto"/>
              <w:right w:val="single" w:sz="8" w:color="auto"/>
            </w:tcBorders>
          </w:tcPr>
          <w:p>
            <w:pPr>
              <w:spacing w:after="0"/>
              <w:rPr>
                <w:sz w:val="15"/>
                <w:szCs w:val="15"/>
                <w:color w:val="auto"/>
              </w:rPr>
            </w:pPr>
          </w:p>
        </w:tc>
        <w:tc>
          <w:tcPr>
            <w:tcW w:w="1260" w:type="dxa"/>
            <w:vAlign w:val="bottom"/>
            <w:tcBorders>
              <w:bottom w:val="single" w:sz="8" w:color="auto"/>
              <w:right w:val="single" w:sz="8" w:color="auto"/>
            </w:tcBorders>
          </w:tcPr>
          <w:p>
            <w:pPr>
              <w:spacing w:after="0"/>
              <w:rPr>
                <w:sz w:val="15"/>
                <w:szCs w:val="15"/>
                <w:color w:val="auto"/>
              </w:rPr>
            </w:pPr>
          </w:p>
        </w:tc>
      </w:tr>
      <w:tr>
        <w:trPr>
          <w:trHeight w:val="200"/>
        </w:trPr>
        <w:tc>
          <w:tcPr>
            <w:tcW w:w="1100" w:type="dxa"/>
            <w:vAlign w:val="bottom"/>
            <w:tcBorders>
              <w:left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b w:val="1"/>
                <w:bCs w:val="1"/>
                <w:color w:val="auto"/>
              </w:rPr>
              <w:t>Item 7</w:t>
            </w:r>
          </w:p>
        </w:tc>
        <w:tc>
          <w:tcPr>
            <w:tcW w:w="5060" w:type="dxa"/>
            <w:vAlign w:val="bottom"/>
            <w:tcBorders>
              <w:right w:val="single" w:sz="8" w:color="auto"/>
            </w:tcBorders>
          </w:tcPr>
          <w:p>
            <w:pPr>
              <w:ind w:left="20"/>
              <w:spacing w:after="0" w:line="201" w:lineRule="exact"/>
              <w:rPr>
                <w:sz w:val="20"/>
                <w:szCs w:val="20"/>
                <w:color w:val="auto"/>
              </w:rPr>
            </w:pPr>
            <w:r>
              <w:rPr>
                <w:rFonts w:ascii="Arial" w:cs="Arial" w:eastAsia="Arial" w:hAnsi="Arial"/>
                <w:sz w:val="18"/>
                <w:szCs w:val="18"/>
                <w:color w:val="auto"/>
              </w:rPr>
              <w:t>Proposal seeking support for the descheduling of cannabis</w:t>
            </w:r>
          </w:p>
        </w:tc>
        <w:tc>
          <w:tcPr>
            <w:tcW w:w="128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w w:val="97"/>
              </w:rPr>
              <w:t>Vote</w:t>
            </w:r>
          </w:p>
        </w:tc>
        <w:tc>
          <w:tcPr>
            <w:tcW w:w="1260" w:type="dxa"/>
            <w:vAlign w:val="bottom"/>
            <w:tcBorders>
              <w:right w:val="single" w:sz="8" w:color="auto"/>
            </w:tcBorders>
          </w:tcPr>
          <w:p>
            <w:pPr>
              <w:ind w:left="180"/>
              <w:spacing w:after="0" w:line="201" w:lineRule="exact"/>
              <w:rPr>
                <w:sz w:val="20"/>
                <w:szCs w:val="20"/>
                <w:color w:val="auto"/>
              </w:rPr>
            </w:pPr>
            <w:r>
              <w:rPr>
                <w:rFonts w:ascii="Arial" w:cs="Arial" w:eastAsia="Arial" w:hAnsi="Arial"/>
                <w:sz w:val="18"/>
                <w:szCs w:val="18"/>
                <w:color w:val="auto"/>
              </w:rPr>
              <w:t>Majority of</w:t>
            </w:r>
          </w:p>
        </w:tc>
      </w:tr>
      <w:tr>
        <w:trPr>
          <w:trHeight w:val="246"/>
        </w:trPr>
        <w:tc>
          <w:tcPr>
            <w:tcW w:w="1100" w:type="dxa"/>
            <w:vAlign w:val="bottom"/>
            <w:tcBorders>
              <w:left w:val="single" w:sz="8" w:color="auto"/>
              <w:bottom w:val="single" w:sz="8" w:color="auto"/>
              <w:right w:val="single" w:sz="8" w:color="auto"/>
            </w:tcBorders>
          </w:tcPr>
          <w:p>
            <w:pPr>
              <w:spacing w:after="0"/>
              <w:rPr>
                <w:sz w:val="21"/>
                <w:szCs w:val="21"/>
                <w:color w:val="auto"/>
              </w:rPr>
            </w:pPr>
          </w:p>
        </w:tc>
        <w:tc>
          <w:tcPr>
            <w:tcW w:w="5060" w:type="dxa"/>
            <w:vAlign w:val="bottom"/>
            <w:tcBorders>
              <w:bottom w:val="single" w:sz="8" w:color="auto"/>
              <w:right w:val="single" w:sz="8" w:color="auto"/>
            </w:tcBorders>
          </w:tcPr>
          <w:p>
            <w:pPr>
              <w:spacing w:after="0"/>
              <w:rPr>
                <w:sz w:val="21"/>
                <w:szCs w:val="21"/>
                <w:color w:val="auto"/>
              </w:rPr>
            </w:pP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AGAINST</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votes cast</w:t>
            </w:r>
          </w:p>
        </w:tc>
      </w:tr>
    </w:tbl>
    <w:p>
      <w:pPr>
        <w:spacing w:after="0" w:line="200" w:lineRule="exact"/>
        <w:rPr>
          <w:sz w:val="20"/>
          <w:szCs w:val="20"/>
          <w:color w:val="auto"/>
        </w:rPr>
      </w:pPr>
    </w:p>
    <w:p>
      <w:pPr>
        <w:spacing w:after="0" w:line="376"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Further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34290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80" w:top="721" w:right="239" w:bottom="1440" w:gutter="0" w:footer="0" w:header="0"/>
          <w:type w:val="continuous"/>
        </w:sectPr>
      </w:pPr>
    </w:p>
    <w:p>
      <w:pPr>
        <w:spacing w:after="0" w:line="78" w:lineRule="exact"/>
        <w:rPr>
          <w:sz w:val="20"/>
          <w:szCs w:val="20"/>
          <w:color w:val="auto"/>
        </w:rPr>
      </w:pPr>
    </w:p>
    <w:p>
      <w:pPr>
        <w:ind w:right="1300"/>
        <w:spacing w:after="0" w:line="288" w:lineRule="auto"/>
        <w:rPr>
          <w:sz w:val="20"/>
          <w:szCs w:val="20"/>
          <w:color w:val="auto"/>
        </w:rPr>
      </w:pPr>
      <w:r>
        <w:rPr>
          <w:rFonts w:ascii="Arial" w:cs="Arial" w:eastAsia="Arial" w:hAnsi="Arial"/>
          <w:sz w:val="25"/>
          <w:szCs w:val="25"/>
          <w:b w:val="1"/>
          <w:bCs w:val="1"/>
          <w:u w:val="single" w:color="auto"/>
          <w:color w:val="FF0000"/>
        </w:rPr>
        <w:t>Item 8</w:t>
      </w:r>
      <w:r>
        <w:rPr>
          <w:rFonts w:ascii="Arial" w:cs="Arial" w:eastAsia="Arial" w:hAnsi="Arial"/>
          <w:sz w:val="25"/>
          <w:szCs w:val="25"/>
          <w:b w:val="1"/>
          <w:bCs w:val="1"/>
          <w:color w:val="FF0000"/>
        </w:rPr>
        <w:t>: Shareholder Proposal Requesting Report Regarding Direct and Indirect Political Contributions</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See page 78</w:t>
      </w:r>
    </w:p>
    <w:p>
      <w:pPr>
        <w:spacing w:after="0" w:line="582" w:lineRule="exact"/>
        <w:rPr>
          <w:sz w:val="20"/>
          <w:szCs w:val="20"/>
          <w:color w:val="auto"/>
        </w:rPr>
      </w:pPr>
    </w:p>
    <w:p>
      <w:pPr>
        <w:sectPr>
          <w:pgSz w:w="11900" w:h="16838" w:orient="portrait"/>
          <w:cols w:equalWidth="0" w:num="2">
            <w:col w:w="9740" w:space="720"/>
            <w:col w:w="920"/>
          </w:cols>
          <w:pgMar w:left="280" w:top="721" w:right="239" w:bottom="1440" w:gutter="0" w:footer="0" w:header="0"/>
          <w:type w:val="continuous"/>
        </w:sectPr>
      </w:pPr>
    </w:p>
    <w:tbl>
      <w:tblPr>
        <w:tblLayout w:type="fixed"/>
        <w:tblInd w:w="1350" w:type="dxa"/>
        <w:tblCellMar>
          <w:top w:w="0" w:type="dxa"/>
          <w:left w:w="0" w:type="dxa"/>
          <w:bottom w:w="0" w:type="dxa"/>
          <w:right w:w="0" w:type="dxa"/>
        </w:tblCellMar>
      </w:tblPr>
      <w:tr>
        <w:trPr>
          <w:trHeight w:val="189"/>
        </w:trPr>
        <w:tc>
          <w:tcPr>
            <w:tcW w:w="1100" w:type="dxa"/>
            <w:vAlign w:val="bottom"/>
          </w:tcPr>
          <w:p>
            <w:pPr>
              <w:spacing w:after="0"/>
              <w:rPr>
                <w:sz w:val="16"/>
                <w:szCs w:val="16"/>
                <w:color w:val="auto"/>
              </w:rPr>
            </w:pPr>
          </w:p>
        </w:tc>
        <w:tc>
          <w:tcPr>
            <w:tcW w:w="5060" w:type="dxa"/>
            <w:vAlign w:val="bottom"/>
            <w:tcBorders>
              <w:right w:val="single" w:sz="8" w:color="auto"/>
            </w:tcBorders>
          </w:tcPr>
          <w:p>
            <w:pPr>
              <w:spacing w:after="0"/>
              <w:rPr>
                <w:sz w:val="16"/>
                <w:szCs w:val="16"/>
                <w:color w:val="auto"/>
              </w:rPr>
            </w:pPr>
          </w:p>
        </w:tc>
        <w:tc>
          <w:tcPr>
            <w:tcW w:w="1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FF0000"/>
              </w:rPr>
              <w:t>Management</w:t>
            </w:r>
          </w:p>
        </w:tc>
        <w:tc>
          <w:tcPr>
            <w:tcW w:w="12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FF0000"/>
              </w:rPr>
              <w:t>Vote required</w:t>
            </w:r>
          </w:p>
        </w:tc>
      </w:tr>
      <w:tr>
        <w:trPr>
          <w:trHeight w:val="190"/>
        </w:trPr>
        <w:tc>
          <w:tcPr>
            <w:tcW w:w="1100" w:type="dxa"/>
            <w:vAlign w:val="bottom"/>
          </w:tcPr>
          <w:p>
            <w:pPr>
              <w:spacing w:after="0"/>
              <w:rPr>
                <w:sz w:val="16"/>
                <w:szCs w:val="16"/>
                <w:color w:val="auto"/>
              </w:rPr>
            </w:pPr>
          </w:p>
        </w:tc>
        <w:tc>
          <w:tcPr>
            <w:tcW w:w="5060" w:type="dxa"/>
            <w:vAlign w:val="bottom"/>
            <w:tcBorders>
              <w:right w:val="single" w:sz="8" w:color="auto"/>
            </w:tcBorders>
          </w:tcPr>
          <w:p>
            <w:pPr>
              <w:spacing w:after="0"/>
              <w:rPr>
                <w:sz w:val="16"/>
                <w:szCs w:val="16"/>
                <w:color w:val="auto"/>
              </w:rPr>
            </w:pP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FF0000"/>
              </w:rPr>
              <w:t>recommendation</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FF0000"/>
              </w:rPr>
              <w:t>to pass</w:t>
            </w:r>
          </w:p>
        </w:tc>
      </w:tr>
      <w:tr>
        <w:trPr>
          <w:trHeight w:val="174"/>
        </w:trPr>
        <w:tc>
          <w:tcPr>
            <w:tcW w:w="1100" w:type="dxa"/>
            <w:vAlign w:val="bottom"/>
            <w:tcBorders>
              <w:bottom w:val="single" w:sz="8" w:color="auto"/>
            </w:tcBorders>
          </w:tcPr>
          <w:p>
            <w:pPr>
              <w:spacing w:after="0"/>
              <w:rPr>
                <w:sz w:val="15"/>
                <w:szCs w:val="15"/>
                <w:color w:val="auto"/>
              </w:rPr>
            </w:pPr>
          </w:p>
        </w:tc>
        <w:tc>
          <w:tcPr>
            <w:tcW w:w="5060" w:type="dxa"/>
            <w:vAlign w:val="bottom"/>
            <w:tcBorders>
              <w:bottom w:val="single" w:sz="8" w:color="auto"/>
              <w:right w:val="single" w:sz="8" w:color="auto"/>
            </w:tcBorders>
          </w:tcPr>
          <w:p>
            <w:pPr>
              <w:spacing w:after="0"/>
              <w:rPr>
                <w:sz w:val="15"/>
                <w:szCs w:val="15"/>
                <w:color w:val="auto"/>
              </w:rPr>
            </w:pPr>
          </w:p>
        </w:tc>
        <w:tc>
          <w:tcPr>
            <w:tcW w:w="1280" w:type="dxa"/>
            <w:vAlign w:val="bottom"/>
            <w:tcBorders>
              <w:bottom w:val="single" w:sz="8" w:color="auto"/>
              <w:right w:val="single" w:sz="8" w:color="auto"/>
            </w:tcBorders>
          </w:tcPr>
          <w:p>
            <w:pPr>
              <w:spacing w:after="0"/>
              <w:rPr>
                <w:sz w:val="15"/>
                <w:szCs w:val="15"/>
                <w:color w:val="auto"/>
              </w:rPr>
            </w:pPr>
          </w:p>
        </w:tc>
        <w:tc>
          <w:tcPr>
            <w:tcW w:w="1260" w:type="dxa"/>
            <w:vAlign w:val="bottom"/>
            <w:tcBorders>
              <w:bottom w:val="single" w:sz="8" w:color="auto"/>
              <w:right w:val="single" w:sz="8" w:color="auto"/>
            </w:tcBorders>
          </w:tcPr>
          <w:p>
            <w:pPr>
              <w:spacing w:after="0"/>
              <w:rPr>
                <w:sz w:val="15"/>
                <w:szCs w:val="15"/>
                <w:color w:val="auto"/>
              </w:rPr>
            </w:pPr>
          </w:p>
        </w:tc>
      </w:tr>
      <w:tr>
        <w:trPr>
          <w:trHeight w:val="200"/>
        </w:trPr>
        <w:tc>
          <w:tcPr>
            <w:tcW w:w="1100" w:type="dxa"/>
            <w:vAlign w:val="bottom"/>
            <w:tcBorders>
              <w:left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b w:val="1"/>
                <w:bCs w:val="1"/>
                <w:color w:val="auto"/>
              </w:rPr>
              <w:t>Item 8</w:t>
            </w:r>
          </w:p>
        </w:tc>
        <w:tc>
          <w:tcPr>
            <w:tcW w:w="5060" w:type="dxa"/>
            <w:vAlign w:val="bottom"/>
            <w:tcBorders>
              <w:right w:val="single" w:sz="8" w:color="auto"/>
            </w:tcBorders>
          </w:tcPr>
          <w:p>
            <w:pPr>
              <w:ind w:left="20"/>
              <w:spacing w:after="0" w:line="201" w:lineRule="exact"/>
              <w:rPr>
                <w:sz w:val="20"/>
                <w:szCs w:val="20"/>
                <w:color w:val="auto"/>
              </w:rPr>
            </w:pPr>
            <w:r>
              <w:rPr>
                <w:rFonts w:ascii="Arial" w:cs="Arial" w:eastAsia="Arial" w:hAnsi="Arial"/>
                <w:sz w:val="18"/>
                <w:szCs w:val="18"/>
                <w:color w:val="auto"/>
              </w:rPr>
              <w:t>Proposal requesting report regarding direct and indirect</w:t>
            </w:r>
          </w:p>
        </w:tc>
        <w:tc>
          <w:tcPr>
            <w:tcW w:w="128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w w:val="97"/>
              </w:rPr>
              <w:t>Vote</w:t>
            </w:r>
          </w:p>
        </w:tc>
        <w:tc>
          <w:tcPr>
            <w:tcW w:w="1260" w:type="dxa"/>
            <w:vAlign w:val="bottom"/>
            <w:tcBorders>
              <w:right w:val="single" w:sz="8" w:color="auto"/>
            </w:tcBorders>
          </w:tcPr>
          <w:p>
            <w:pPr>
              <w:ind w:left="180"/>
              <w:spacing w:after="0" w:line="201" w:lineRule="exact"/>
              <w:rPr>
                <w:sz w:val="20"/>
                <w:szCs w:val="20"/>
                <w:color w:val="auto"/>
              </w:rPr>
            </w:pPr>
            <w:r>
              <w:rPr>
                <w:rFonts w:ascii="Arial" w:cs="Arial" w:eastAsia="Arial" w:hAnsi="Arial"/>
                <w:sz w:val="18"/>
                <w:szCs w:val="18"/>
                <w:color w:val="auto"/>
              </w:rPr>
              <w:t>Majority of</w:t>
            </w:r>
          </w:p>
        </w:tc>
      </w:tr>
      <w:tr>
        <w:trPr>
          <w:trHeight w:val="246"/>
        </w:trPr>
        <w:tc>
          <w:tcPr>
            <w:tcW w:w="1100" w:type="dxa"/>
            <w:vAlign w:val="bottom"/>
            <w:tcBorders>
              <w:left w:val="single" w:sz="8" w:color="auto"/>
              <w:bottom w:val="single" w:sz="8" w:color="auto"/>
              <w:right w:val="single" w:sz="8" w:color="auto"/>
            </w:tcBorders>
          </w:tcPr>
          <w:p>
            <w:pPr>
              <w:spacing w:after="0"/>
              <w:rPr>
                <w:sz w:val="21"/>
                <w:szCs w:val="21"/>
                <w:color w:val="auto"/>
              </w:rPr>
            </w:pPr>
          </w:p>
        </w:tc>
        <w:tc>
          <w:tcPr>
            <w:tcW w:w="5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political contributions</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AGAINST</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votes cast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Further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34290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80" w:top="721" w:right="239" w:bottom="1440" w:gutter="0" w:footer="0" w:header="0"/>
          <w:type w:val="continuous"/>
        </w:sectPr>
      </w:pPr>
    </w:p>
    <w:p>
      <w:pPr>
        <w:spacing w:after="0" w:line="78" w:lineRule="exact"/>
        <w:rPr>
          <w:sz w:val="20"/>
          <w:szCs w:val="20"/>
          <w:color w:val="auto"/>
        </w:rPr>
      </w:pPr>
    </w:p>
    <w:p>
      <w:pPr>
        <w:ind w:right="820"/>
        <w:spacing w:after="0" w:line="288" w:lineRule="auto"/>
        <w:rPr>
          <w:sz w:val="20"/>
          <w:szCs w:val="20"/>
          <w:color w:val="auto"/>
        </w:rPr>
      </w:pPr>
      <w:r>
        <w:rPr>
          <w:rFonts w:ascii="Arial" w:cs="Arial" w:eastAsia="Arial" w:hAnsi="Arial"/>
          <w:sz w:val="25"/>
          <w:szCs w:val="25"/>
          <w:b w:val="1"/>
          <w:bCs w:val="1"/>
          <w:u w:val="single" w:color="auto"/>
          <w:color w:val="FF0000"/>
        </w:rPr>
        <w:t>Item 9</w:t>
      </w:r>
      <w:r>
        <w:rPr>
          <w:rFonts w:ascii="Arial" w:cs="Arial" w:eastAsia="Arial" w:hAnsi="Arial"/>
          <w:sz w:val="25"/>
          <w:szCs w:val="25"/>
          <w:b w:val="1"/>
          <w:bCs w:val="1"/>
          <w:color w:val="FF0000"/>
        </w:rPr>
        <w:t>: Shareholder Proposal Requesting Report on Policies and Practices Regarding Contract Animal Laboratories</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See page 80</w:t>
      </w:r>
    </w:p>
    <w:p>
      <w:pPr>
        <w:spacing w:after="0" w:line="705" w:lineRule="exact"/>
        <w:rPr>
          <w:sz w:val="20"/>
          <w:szCs w:val="20"/>
          <w:color w:val="auto"/>
        </w:rPr>
      </w:pPr>
    </w:p>
    <w:p>
      <w:pPr>
        <w:sectPr>
          <w:pgSz w:w="11900" w:h="16838" w:orient="portrait"/>
          <w:cols w:equalWidth="0" w:num="2">
            <w:col w:w="9740" w:space="720"/>
            <w:col w:w="920"/>
          </w:cols>
          <w:pgMar w:left="280" w:top="721" w:right="239" w:bottom="1440" w:gutter="0" w:footer="0" w:header="0"/>
          <w:type w:val="continuous"/>
        </w:sectPr>
      </w:pPr>
    </w:p>
    <w:p>
      <w:pPr>
        <w:spacing w:after="0" w:line="174" w:lineRule="exact"/>
        <w:rPr>
          <w:sz w:val="20"/>
          <w:szCs w:val="20"/>
          <w:color w:val="auto"/>
        </w:rPr>
      </w:pPr>
    </w:p>
    <w:tbl>
      <w:tblPr>
        <w:tblLayout w:type="fixed"/>
        <w:tblInd w:w="1350" w:type="dxa"/>
        <w:tblCellMar>
          <w:top w:w="0" w:type="dxa"/>
          <w:left w:w="0" w:type="dxa"/>
          <w:bottom w:w="0" w:type="dxa"/>
          <w:right w:w="0" w:type="dxa"/>
        </w:tblCellMar>
      </w:tblPr>
      <w:tr>
        <w:trPr>
          <w:trHeight w:val="189"/>
        </w:trPr>
        <w:tc>
          <w:tcPr>
            <w:tcW w:w="1100" w:type="dxa"/>
            <w:vAlign w:val="bottom"/>
          </w:tcPr>
          <w:p>
            <w:pPr>
              <w:spacing w:after="0"/>
              <w:rPr>
                <w:sz w:val="16"/>
                <w:szCs w:val="16"/>
                <w:color w:val="auto"/>
              </w:rPr>
            </w:pPr>
          </w:p>
        </w:tc>
        <w:tc>
          <w:tcPr>
            <w:tcW w:w="5060" w:type="dxa"/>
            <w:vAlign w:val="bottom"/>
            <w:tcBorders>
              <w:right w:val="single" w:sz="8" w:color="auto"/>
            </w:tcBorders>
          </w:tcPr>
          <w:p>
            <w:pPr>
              <w:spacing w:after="0"/>
              <w:rPr>
                <w:sz w:val="16"/>
                <w:szCs w:val="16"/>
                <w:color w:val="auto"/>
              </w:rPr>
            </w:pPr>
          </w:p>
        </w:tc>
        <w:tc>
          <w:tcPr>
            <w:tcW w:w="1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FF0000"/>
              </w:rPr>
              <w:t>Management</w:t>
            </w:r>
          </w:p>
        </w:tc>
        <w:tc>
          <w:tcPr>
            <w:tcW w:w="12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FF0000"/>
              </w:rPr>
              <w:t>Vote required</w:t>
            </w:r>
          </w:p>
        </w:tc>
      </w:tr>
      <w:tr>
        <w:trPr>
          <w:trHeight w:val="190"/>
        </w:trPr>
        <w:tc>
          <w:tcPr>
            <w:tcW w:w="1100" w:type="dxa"/>
            <w:vAlign w:val="bottom"/>
          </w:tcPr>
          <w:p>
            <w:pPr>
              <w:spacing w:after="0"/>
              <w:rPr>
                <w:sz w:val="16"/>
                <w:szCs w:val="16"/>
                <w:color w:val="auto"/>
              </w:rPr>
            </w:pPr>
          </w:p>
        </w:tc>
        <w:tc>
          <w:tcPr>
            <w:tcW w:w="5060" w:type="dxa"/>
            <w:vAlign w:val="bottom"/>
            <w:tcBorders>
              <w:right w:val="single" w:sz="8" w:color="auto"/>
            </w:tcBorders>
          </w:tcPr>
          <w:p>
            <w:pPr>
              <w:spacing w:after="0"/>
              <w:rPr>
                <w:sz w:val="16"/>
                <w:szCs w:val="16"/>
                <w:color w:val="auto"/>
              </w:rPr>
            </w:pP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FF0000"/>
              </w:rPr>
              <w:t>recommendation</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FF0000"/>
              </w:rPr>
              <w:t>to pass</w:t>
            </w:r>
          </w:p>
        </w:tc>
      </w:tr>
      <w:tr>
        <w:trPr>
          <w:trHeight w:val="174"/>
        </w:trPr>
        <w:tc>
          <w:tcPr>
            <w:tcW w:w="1100" w:type="dxa"/>
            <w:vAlign w:val="bottom"/>
            <w:tcBorders>
              <w:bottom w:val="single" w:sz="8" w:color="auto"/>
            </w:tcBorders>
          </w:tcPr>
          <w:p>
            <w:pPr>
              <w:spacing w:after="0"/>
              <w:rPr>
                <w:sz w:val="15"/>
                <w:szCs w:val="15"/>
                <w:color w:val="auto"/>
              </w:rPr>
            </w:pPr>
          </w:p>
        </w:tc>
        <w:tc>
          <w:tcPr>
            <w:tcW w:w="5060" w:type="dxa"/>
            <w:vAlign w:val="bottom"/>
            <w:tcBorders>
              <w:bottom w:val="single" w:sz="8" w:color="auto"/>
              <w:right w:val="single" w:sz="8" w:color="auto"/>
            </w:tcBorders>
          </w:tcPr>
          <w:p>
            <w:pPr>
              <w:spacing w:after="0"/>
              <w:rPr>
                <w:sz w:val="15"/>
                <w:szCs w:val="15"/>
                <w:color w:val="auto"/>
              </w:rPr>
            </w:pPr>
          </w:p>
        </w:tc>
        <w:tc>
          <w:tcPr>
            <w:tcW w:w="1280" w:type="dxa"/>
            <w:vAlign w:val="bottom"/>
            <w:tcBorders>
              <w:bottom w:val="single" w:sz="8" w:color="auto"/>
              <w:right w:val="single" w:sz="8" w:color="auto"/>
            </w:tcBorders>
          </w:tcPr>
          <w:p>
            <w:pPr>
              <w:spacing w:after="0"/>
              <w:rPr>
                <w:sz w:val="15"/>
                <w:szCs w:val="15"/>
                <w:color w:val="auto"/>
              </w:rPr>
            </w:pPr>
          </w:p>
        </w:tc>
        <w:tc>
          <w:tcPr>
            <w:tcW w:w="1260" w:type="dxa"/>
            <w:vAlign w:val="bottom"/>
            <w:tcBorders>
              <w:bottom w:val="single" w:sz="8" w:color="auto"/>
              <w:right w:val="single" w:sz="8" w:color="auto"/>
            </w:tcBorders>
          </w:tcPr>
          <w:p>
            <w:pPr>
              <w:spacing w:after="0"/>
              <w:rPr>
                <w:sz w:val="15"/>
                <w:szCs w:val="15"/>
                <w:color w:val="auto"/>
              </w:rPr>
            </w:pPr>
          </w:p>
        </w:tc>
      </w:tr>
      <w:tr>
        <w:trPr>
          <w:trHeight w:val="200"/>
        </w:trPr>
        <w:tc>
          <w:tcPr>
            <w:tcW w:w="1100" w:type="dxa"/>
            <w:vAlign w:val="bottom"/>
            <w:tcBorders>
              <w:left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b w:val="1"/>
                <w:bCs w:val="1"/>
                <w:color w:val="auto"/>
              </w:rPr>
              <w:t>Item 9</w:t>
            </w:r>
          </w:p>
        </w:tc>
        <w:tc>
          <w:tcPr>
            <w:tcW w:w="5060" w:type="dxa"/>
            <w:vAlign w:val="bottom"/>
            <w:tcBorders>
              <w:right w:val="single" w:sz="8" w:color="auto"/>
            </w:tcBorders>
          </w:tcPr>
          <w:p>
            <w:pPr>
              <w:ind w:left="20"/>
              <w:spacing w:after="0" w:line="201" w:lineRule="exact"/>
              <w:rPr>
                <w:sz w:val="20"/>
                <w:szCs w:val="20"/>
                <w:color w:val="auto"/>
              </w:rPr>
            </w:pPr>
            <w:r>
              <w:rPr>
                <w:rFonts w:ascii="Arial" w:cs="Arial" w:eastAsia="Arial" w:hAnsi="Arial"/>
                <w:sz w:val="18"/>
                <w:szCs w:val="18"/>
                <w:color w:val="auto"/>
              </w:rPr>
              <w:t>Proposal requesting report on policies and practices regarding</w:t>
            </w:r>
          </w:p>
        </w:tc>
        <w:tc>
          <w:tcPr>
            <w:tcW w:w="128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w w:val="97"/>
              </w:rPr>
              <w:t>Vote</w:t>
            </w:r>
          </w:p>
        </w:tc>
        <w:tc>
          <w:tcPr>
            <w:tcW w:w="1260" w:type="dxa"/>
            <w:vAlign w:val="bottom"/>
            <w:tcBorders>
              <w:right w:val="single" w:sz="8" w:color="auto"/>
            </w:tcBorders>
          </w:tcPr>
          <w:p>
            <w:pPr>
              <w:ind w:left="180"/>
              <w:spacing w:after="0" w:line="201" w:lineRule="exact"/>
              <w:rPr>
                <w:sz w:val="20"/>
                <w:szCs w:val="20"/>
                <w:color w:val="auto"/>
              </w:rPr>
            </w:pPr>
            <w:r>
              <w:rPr>
                <w:rFonts w:ascii="Arial" w:cs="Arial" w:eastAsia="Arial" w:hAnsi="Arial"/>
                <w:sz w:val="18"/>
                <w:szCs w:val="18"/>
                <w:color w:val="auto"/>
              </w:rPr>
              <w:t>Majority of</w:t>
            </w:r>
          </w:p>
        </w:tc>
      </w:tr>
      <w:tr>
        <w:trPr>
          <w:trHeight w:val="246"/>
        </w:trPr>
        <w:tc>
          <w:tcPr>
            <w:tcW w:w="1100" w:type="dxa"/>
            <w:vAlign w:val="bottom"/>
            <w:tcBorders>
              <w:left w:val="single" w:sz="8" w:color="auto"/>
              <w:bottom w:val="single" w:sz="8" w:color="auto"/>
              <w:right w:val="single" w:sz="8" w:color="auto"/>
            </w:tcBorders>
          </w:tcPr>
          <w:p>
            <w:pPr>
              <w:spacing w:after="0"/>
              <w:rPr>
                <w:sz w:val="21"/>
                <w:szCs w:val="21"/>
                <w:color w:val="auto"/>
              </w:rPr>
            </w:pPr>
          </w:p>
        </w:tc>
        <w:tc>
          <w:tcPr>
            <w:tcW w:w="5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contract animal laboratories</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AGAINST</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votes cast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Further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34290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80" w:top="721" w:right="239" w:bottom="1440" w:gutter="0" w:footer="0" w:header="0"/>
          <w:type w:val="continuous"/>
        </w:sectPr>
      </w:pPr>
    </w:p>
    <w:p>
      <w:pPr>
        <w:spacing w:after="0" w:line="78" w:lineRule="exact"/>
        <w:rPr>
          <w:sz w:val="20"/>
          <w:szCs w:val="20"/>
          <w:color w:val="auto"/>
        </w:rPr>
      </w:pPr>
    </w:p>
    <w:p>
      <w:pPr>
        <w:ind w:right="980"/>
        <w:spacing w:after="0" w:line="268" w:lineRule="auto"/>
        <w:rPr>
          <w:sz w:val="20"/>
          <w:szCs w:val="20"/>
          <w:color w:val="auto"/>
        </w:rPr>
      </w:pPr>
      <w:r>
        <w:rPr>
          <w:rFonts w:ascii="Arial" w:cs="Arial" w:eastAsia="Arial" w:hAnsi="Arial"/>
          <w:sz w:val="25"/>
          <w:szCs w:val="25"/>
          <w:b w:val="1"/>
          <w:bCs w:val="1"/>
          <w:u w:val="single" w:color="auto"/>
          <w:color w:val="FF0000"/>
        </w:rPr>
        <w:t>Item 10</w:t>
      </w:r>
      <w:r>
        <w:rPr>
          <w:rFonts w:ascii="Arial" w:cs="Arial" w:eastAsia="Arial" w:hAnsi="Arial"/>
          <w:sz w:val="25"/>
          <w:szCs w:val="25"/>
          <w:b w:val="1"/>
          <w:bCs w:val="1"/>
          <w:color w:val="FF0000"/>
        </w:rPr>
        <w:t>: Shareholder Proposal Requesting Report on the Extent to Which Risks Related to Public Concern Over Drug Pricing Strategies are Integrated into Incentive Compensation Arrangements</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See page 82</w:t>
      </w:r>
    </w:p>
    <w:p>
      <w:pPr>
        <w:spacing w:after="0" w:line="978" w:lineRule="exact"/>
        <w:rPr>
          <w:sz w:val="20"/>
          <w:szCs w:val="20"/>
          <w:color w:val="auto"/>
        </w:rPr>
      </w:pPr>
    </w:p>
    <w:p>
      <w:pPr>
        <w:sectPr>
          <w:pgSz w:w="11900" w:h="16838" w:orient="portrait"/>
          <w:cols w:equalWidth="0" w:num="2">
            <w:col w:w="9740" w:space="720"/>
            <w:col w:w="920"/>
          </w:cols>
          <w:pgMar w:left="280" w:top="721" w:right="239" w:bottom="1440" w:gutter="0" w:footer="0" w:header="0"/>
          <w:type w:val="continuous"/>
        </w:sectPr>
      </w:pPr>
    </w:p>
    <w:p>
      <w:pPr>
        <w:spacing w:after="0" w:line="198" w:lineRule="exact"/>
        <w:rPr>
          <w:sz w:val="20"/>
          <w:szCs w:val="20"/>
          <w:color w:val="auto"/>
        </w:rPr>
      </w:pPr>
    </w:p>
    <w:tbl>
      <w:tblPr>
        <w:tblLayout w:type="fixed"/>
        <w:tblInd w:w="1350" w:type="dxa"/>
        <w:tblCellMar>
          <w:top w:w="0" w:type="dxa"/>
          <w:left w:w="0" w:type="dxa"/>
          <w:bottom w:w="0" w:type="dxa"/>
          <w:right w:w="0" w:type="dxa"/>
        </w:tblCellMar>
      </w:tblPr>
      <w:tr>
        <w:trPr>
          <w:trHeight w:val="189"/>
        </w:trPr>
        <w:tc>
          <w:tcPr>
            <w:tcW w:w="1100" w:type="dxa"/>
            <w:vAlign w:val="bottom"/>
          </w:tcPr>
          <w:p>
            <w:pPr>
              <w:spacing w:after="0"/>
              <w:rPr>
                <w:sz w:val="16"/>
                <w:szCs w:val="16"/>
                <w:color w:val="auto"/>
              </w:rPr>
            </w:pPr>
          </w:p>
        </w:tc>
        <w:tc>
          <w:tcPr>
            <w:tcW w:w="5060" w:type="dxa"/>
            <w:vAlign w:val="bottom"/>
            <w:tcBorders>
              <w:right w:val="single" w:sz="8" w:color="auto"/>
            </w:tcBorders>
          </w:tcPr>
          <w:p>
            <w:pPr>
              <w:spacing w:after="0"/>
              <w:rPr>
                <w:sz w:val="16"/>
                <w:szCs w:val="16"/>
                <w:color w:val="auto"/>
              </w:rPr>
            </w:pPr>
          </w:p>
        </w:tc>
        <w:tc>
          <w:tcPr>
            <w:tcW w:w="1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FF0000"/>
              </w:rPr>
              <w:t>Management</w:t>
            </w:r>
          </w:p>
        </w:tc>
        <w:tc>
          <w:tcPr>
            <w:tcW w:w="12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FF0000"/>
              </w:rPr>
              <w:t>Vote required</w:t>
            </w:r>
          </w:p>
        </w:tc>
      </w:tr>
      <w:tr>
        <w:trPr>
          <w:trHeight w:val="190"/>
        </w:trPr>
        <w:tc>
          <w:tcPr>
            <w:tcW w:w="1100" w:type="dxa"/>
            <w:vAlign w:val="bottom"/>
          </w:tcPr>
          <w:p>
            <w:pPr>
              <w:spacing w:after="0"/>
              <w:rPr>
                <w:sz w:val="16"/>
                <w:szCs w:val="16"/>
                <w:color w:val="auto"/>
              </w:rPr>
            </w:pPr>
          </w:p>
        </w:tc>
        <w:tc>
          <w:tcPr>
            <w:tcW w:w="5060" w:type="dxa"/>
            <w:vAlign w:val="bottom"/>
            <w:tcBorders>
              <w:right w:val="single" w:sz="8" w:color="auto"/>
            </w:tcBorders>
          </w:tcPr>
          <w:p>
            <w:pPr>
              <w:spacing w:after="0"/>
              <w:rPr>
                <w:sz w:val="16"/>
                <w:szCs w:val="16"/>
                <w:color w:val="auto"/>
              </w:rPr>
            </w:pP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FF0000"/>
              </w:rPr>
              <w:t>recommendation</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FF0000"/>
              </w:rPr>
              <w:t>to pass</w:t>
            </w:r>
          </w:p>
        </w:tc>
      </w:tr>
      <w:tr>
        <w:trPr>
          <w:trHeight w:val="174"/>
        </w:trPr>
        <w:tc>
          <w:tcPr>
            <w:tcW w:w="1100" w:type="dxa"/>
            <w:vAlign w:val="bottom"/>
            <w:tcBorders>
              <w:bottom w:val="single" w:sz="8" w:color="auto"/>
            </w:tcBorders>
          </w:tcPr>
          <w:p>
            <w:pPr>
              <w:spacing w:after="0"/>
              <w:rPr>
                <w:sz w:val="15"/>
                <w:szCs w:val="15"/>
                <w:color w:val="auto"/>
              </w:rPr>
            </w:pPr>
          </w:p>
        </w:tc>
        <w:tc>
          <w:tcPr>
            <w:tcW w:w="5060" w:type="dxa"/>
            <w:vAlign w:val="bottom"/>
            <w:tcBorders>
              <w:bottom w:val="single" w:sz="8" w:color="auto"/>
              <w:right w:val="single" w:sz="8" w:color="auto"/>
            </w:tcBorders>
          </w:tcPr>
          <w:p>
            <w:pPr>
              <w:spacing w:after="0"/>
              <w:rPr>
                <w:sz w:val="15"/>
                <w:szCs w:val="15"/>
                <w:color w:val="auto"/>
              </w:rPr>
            </w:pPr>
          </w:p>
        </w:tc>
        <w:tc>
          <w:tcPr>
            <w:tcW w:w="1280" w:type="dxa"/>
            <w:vAlign w:val="bottom"/>
            <w:tcBorders>
              <w:bottom w:val="single" w:sz="8" w:color="auto"/>
              <w:right w:val="single" w:sz="8" w:color="auto"/>
            </w:tcBorders>
          </w:tcPr>
          <w:p>
            <w:pPr>
              <w:spacing w:after="0"/>
              <w:rPr>
                <w:sz w:val="15"/>
                <w:szCs w:val="15"/>
                <w:color w:val="auto"/>
              </w:rPr>
            </w:pPr>
          </w:p>
        </w:tc>
        <w:tc>
          <w:tcPr>
            <w:tcW w:w="1260" w:type="dxa"/>
            <w:vAlign w:val="bottom"/>
            <w:tcBorders>
              <w:bottom w:val="single" w:sz="8" w:color="auto"/>
              <w:right w:val="single" w:sz="8" w:color="auto"/>
            </w:tcBorders>
          </w:tcPr>
          <w:p>
            <w:pPr>
              <w:spacing w:after="0"/>
              <w:rPr>
                <w:sz w:val="15"/>
                <w:szCs w:val="15"/>
                <w:color w:val="auto"/>
              </w:rPr>
            </w:pPr>
          </w:p>
        </w:tc>
      </w:tr>
      <w:tr>
        <w:trPr>
          <w:trHeight w:val="200"/>
        </w:trPr>
        <w:tc>
          <w:tcPr>
            <w:tcW w:w="1100" w:type="dxa"/>
            <w:vAlign w:val="bottom"/>
            <w:tcBorders>
              <w:left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b w:val="1"/>
                <w:bCs w:val="1"/>
                <w:color w:val="auto"/>
              </w:rPr>
              <w:t>Item 10</w:t>
            </w:r>
          </w:p>
        </w:tc>
        <w:tc>
          <w:tcPr>
            <w:tcW w:w="5060" w:type="dxa"/>
            <w:vAlign w:val="bottom"/>
            <w:tcBorders>
              <w:right w:val="single" w:sz="8" w:color="auto"/>
            </w:tcBorders>
          </w:tcPr>
          <w:p>
            <w:pPr>
              <w:ind w:left="20"/>
              <w:spacing w:after="0" w:line="201" w:lineRule="exact"/>
              <w:rPr>
                <w:sz w:val="20"/>
                <w:szCs w:val="20"/>
                <w:color w:val="auto"/>
              </w:rPr>
            </w:pPr>
            <w:r>
              <w:rPr>
                <w:rFonts w:ascii="Arial" w:cs="Arial" w:eastAsia="Arial" w:hAnsi="Arial"/>
                <w:sz w:val="18"/>
                <w:szCs w:val="18"/>
                <w:color w:val="auto"/>
              </w:rPr>
              <w:t>Proposal requesting report on the extent to which risks related</w:t>
            </w:r>
          </w:p>
        </w:tc>
        <w:tc>
          <w:tcPr>
            <w:tcW w:w="128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w w:val="97"/>
              </w:rPr>
              <w:t>Vote</w:t>
            </w:r>
          </w:p>
        </w:tc>
        <w:tc>
          <w:tcPr>
            <w:tcW w:w="1260" w:type="dxa"/>
            <w:vAlign w:val="bottom"/>
            <w:tcBorders>
              <w:right w:val="single" w:sz="8" w:color="auto"/>
            </w:tcBorders>
          </w:tcPr>
          <w:p>
            <w:pPr>
              <w:ind w:left="180"/>
              <w:spacing w:after="0" w:line="201" w:lineRule="exact"/>
              <w:rPr>
                <w:sz w:val="20"/>
                <w:szCs w:val="20"/>
                <w:color w:val="auto"/>
              </w:rPr>
            </w:pPr>
            <w:r>
              <w:rPr>
                <w:rFonts w:ascii="Arial" w:cs="Arial" w:eastAsia="Arial" w:hAnsi="Arial"/>
                <w:sz w:val="18"/>
                <w:szCs w:val="18"/>
                <w:color w:val="auto"/>
              </w:rPr>
              <w:t>Majority of</w:t>
            </w:r>
          </w:p>
        </w:tc>
      </w:tr>
      <w:tr>
        <w:trPr>
          <w:trHeight w:val="225"/>
        </w:trPr>
        <w:tc>
          <w:tcPr>
            <w:tcW w:w="1100" w:type="dxa"/>
            <w:vAlign w:val="bottom"/>
            <w:tcBorders>
              <w:left w:val="single" w:sz="8" w:color="auto"/>
              <w:right w:val="single" w:sz="8" w:color="auto"/>
            </w:tcBorders>
          </w:tcPr>
          <w:p>
            <w:pPr>
              <w:spacing w:after="0"/>
              <w:rPr>
                <w:sz w:val="19"/>
                <w:szCs w:val="19"/>
                <w:color w:val="auto"/>
              </w:rPr>
            </w:pPr>
          </w:p>
        </w:tc>
        <w:tc>
          <w:tcPr>
            <w:tcW w:w="5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to public concern over drug pricing strategies are integrated</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AGAINST</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votes cast</w:t>
            </w:r>
          </w:p>
        </w:tc>
      </w:tr>
      <w:tr>
        <w:trPr>
          <w:trHeight w:val="224"/>
        </w:trPr>
        <w:tc>
          <w:tcPr>
            <w:tcW w:w="1100" w:type="dxa"/>
            <w:vAlign w:val="bottom"/>
            <w:tcBorders>
              <w:left w:val="single" w:sz="8" w:color="auto"/>
              <w:bottom w:val="single" w:sz="8" w:color="auto"/>
              <w:right w:val="single" w:sz="8" w:color="auto"/>
            </w:tcBorders>
          </w:tcPr>
          <w:p>
            <w:pPr>
              <w:spacing w:after="0"/>
              <w:rPr>
                <w:sz w:val="19"/>
                <w:szCs w:val="19"/>
                <w:color w:val="auto"/>
              </w:rPr>
            </w:pPr>
          </w:p>
        </w:tc>
        <w:tc>
          <w:tcPr>
            <w:tcW w:w="5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into incentive compensation arrangements</w:t>
            </w:r>
          </w:p>
        </w:tc>
        <w:tc>
          <w:tcPr>
            <w:tcW w:w="128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1380"/>
          </w:cols>
          <w:pgMar w:left="280" w:top="721" w:right="239" w:bottom="1440" w:gutter="0" w:footer="0" w:header="0"/>
          <w:type w:val="continuous"/>
        </w:sectPr>
      </w:pPr>
    </w:p>
    <w:p>
      <w:pPr>
        <w:spacing w:after="0" w:line="200" w:lineRule="exact"/>
        <w:rPr>
          <w:sz w:val="20"/>
          <w:szCs w:val="20"/>
          <w:color w:val="auto"/>
        </w:rPr>
      </w:pPr>
    </w:p>
    <w:p>
      <w:pPr>
        <w:spacing w:after="0" w:line="274" w:lineRule="exact"/>
        <w:rPr>
          <w:sz w:val="20"/>
          <w:szCs w:val="20"/>
          <w:color w:val="auto"/>
        </w:rPr>
      </w:pPr>
    </w:p>
    <w:p>
      <w:pPr>
        <w:ind w:left="11060"/>
        <w:spacing w:after="0"/>
        <w:rPr>
          <w:sz w:val="20"/>
          <w:szCs w:val="20"/>
          <w:color w:val="auto"/>
        </w:rPr>
      </w:pPr>
      <w:r>
        <w:rPr>
          <w:rFonts w:ascii="Arial" w:cs="Arial" w:eastAsia="Arial" w:hAnsi="Arial"/>
          <w:sz w:val="17"/>
          <w:szCs w:val="17"/>
          <w:color w:val="auto"/>
        </w:rPr>
        <w:t>P10</w:t>
      </w:r>
    </w:p>
    <w:p>
      <w:pPr>
        <w:sectPr>
          <w:pgSz w:w="11900" w:h="16838" w:orient="portrait"/>
          <w:cols w:equalWidth="0" w:num="1">
            <w:col w:w="11380"/>
          </w:cols>
          <w:pgMar w:left="280" w:top="721" w:right="239" w:bottom="1440" w:gutter="0" w:footer="0" w:header="0"/>
          <w:type w:val="continuous"/>
        </w:sectPr>
      </w:pPr>
    </w:p>
    <w:bookmarkStart w:id="14" w:name="page15"/>
    <w:bookmarkEnd w:id="14"/>
    <w:p>
      <w:pPr>
        <w:spacing w:after="0" w:line="2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637540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40"/>
        <w:spacing w:after="0"/>
        <w:rPr>
          <w:sz w:val="20"/>
          <w:szCs w:val="20"/>
          <w:color w:val="auto"/>
        </w:rPr>
      </w:pPr>
      <w:r>
        <w:rPr>
          <w:rFonts w:ascii="Arial" w:cs="Arial" w:eastAsia="Arial" w:hAnsi="Arial"/>
          <w:sz w:val="28"/>
          <w:szCs w:val="28"/>
          <w:b w:val="1"/>
          <w:bCs w:val="1"/>
          <w:color w:val="FF0000"/>
        </w:rPr>
        <w:t>Other Information</w:t>
      </w:r>
    </w:p>
    <w:p>
      <w:pPr>
        <w:spacing w:after="0" w:line="20" w:lineRule="exact"/>
        <w:rPr>
          <w:sz w:val="20"/>
          <w:szCs w:val="20"/>
          <w:color w:val="auto"/>
        </w:rPr>
      </w:pPr>
      <w:r>
        <w:rPr>
          <w:sz w:val="20"/>
          <w:szCs w:val="20"/>
          <w:color w:val="auto"/>
        </w:rPr>
        <w:br w:type="column"/>
      </w:r>
    </w:p>
    <w:p>
      <w:pPr>
        <w:jc w:val="right"/>
        <w:ind w:right="20"/>
        <w:spacing w:after="0"/>
        <w:rPr>
          <w:sz w:val="20"/>
          <w:szCs w:val="20"/>
          <w:color w:val="auto"/>
        </w:rPr>
      </w:pPr>
      <w:r>
        <w:rPr>
          <w:rFonts w:ascii="Arial" w:cs="Arial" w:eastAsia="Arial" w:hAnsi="Arial"/>
          <w:sz w:val="17"/>
          <w:szCs w:val="17"/>
          <w:b w:val="1"/>
          <w:bCs w:val="1"/>
          <w:color w:val="auto"/>
        </w:rPr>
        <w:t>Further Information</w:t>
      </w:r>
    </w:p>
    <w:p>
      <w:pPr>
        <w:spacing w:after="0" w:line="102"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See page 83</w:t>
      </w:r>
    </w:p>
    <w:p>
      <w:pPr>
        <w:spacing w:after="0" w:line="293" w:lineRule="exact"/>
        <w:rPr>
          <w:sz w:val="20"/>
          <w:szCs w:val="20"/>
          <w:color w:val="auto"/>
        </w:rPr>
      </w:pPr>
    </w:p>
    <w:p>
      <w:pPr>
        <w:sectPr>
          <w:pgSz w:w="11900" w:h="16838" w:orient="portrait"/>
          <w:cols w:equalWidth="0" w:num="2">
            <w:col w:w="9080" w:space="720"/>
            <w:col w:w="1620"/>
          </w:cols>
          <w:pgMar w:left="240" w:top="742" w:right="239" w:bottom="1440" w:gutter="0" w:footer="0" w:header="0"/>
        </w:sectPr>
      </w:pPr>
    </w:p>
    <w:p>
      <w:pPr>
        <w:spacing w:after="0" w:line="37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FF0000"/>
        </w:rPr>
        <w:t>How to Vote in Advance of the Meeting</w:t>
      </w:r>
    </w:p>
    <w:p>
      <w:pPr>
        <w:spacing w:after="0" w:line="238"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Even if you plan to attend the 2018 Annual Meeting in person, we encourage you to vote prior to the meeting via one of the methods described below.</w:t>
      </w:r>
    </w:p>
    <w:p>
      <w:pPr>
        <w:spacing w:after="0" w:line="174" w:lineRule="exact"/>
        <w:rPr>
          <w:sz w:val="20"/>
          <w:szCs w:val="20"/>
          <w:color w:val="auto"/>
        </w:rPr>
      </w:pPr>
    </w:p>
    <w:p>
      <w:pPr>
        <w:ind w:left="280" w:hanging="272"/>
        <w:spacing w:after="0"/>
        <w:tabs>
          <w:tab w:leader="none" w:pos="2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Visit the website listed on your proxy card or voting instruction form to vote </w:t>
      </w:r>
      <w:r>
        <w:rPr>
          <w:rFonts w:ascii="Arial" w:cs="Arial" w:eastAsia="Arial" w:hAnsi="Arial"/>
          <w:sz w:val="18"/>
          <w:szCs w:val="18"/>
          <w:b w:val="1"/>
          <w:bCs w:val="1"/>
          <w:color w:val="auto"/>
        </w:rPr>
        <w:t>ONLINE</w:t>
      </w:r>
    </w:p>
    <w:p>
      <w:pPr>
        <w:spacing w:after="0" w:line="306" w:lineRule="exact"/>
        <w:rPr>
          <w:sz w:val="20"/>
          <w:szCs w:val="20"/>
          <w:color w:val="auto"/>
        </w:rPr>
      </w:pPr>
    </w:p>
    <w:p>
      <w:pPr>
        <w:ind w:left="240" w:hanging="232"/>
        <w:spacing w:after="0"/>
        <w:tabs>
          <w:tab w:leader="none" w:pos="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Call the telephone number on your proxy card or voting instruction form to vote </w:t>
      </w:r>
      <w:r>
        <w:rPr>
          <w:rFonts w:ascii="Arial" w:cs="Arial" w:eastAsia="Arial" w:hAnsi="Arial"/>
          <w:sz w:val="18"/>
          <w:szCs w:val="18"/>
          <w:b w:val="1"/>
          <w:bCs w:val="1"/>
          <w:color w:val="auto"/>
        </w:rPr>
        <w:t>BY TELEPHONE</w:t>
      </w:r>
    </w:p>
    <w:p>
      <w:pPr>
        <w:spacing w:after="0" w:line="306" w:lineRule="exact"/>
        <w:rPr>
          <w:sz w:val="20"/>
          <w:szCs w:val="20"/>
          <w:color w:val="auto"/>
        </w:rPr>
      </w:pPr>
    </w:p>
    <w:p>
      <w:pPr>
        <w:ind w:left="280" w:hanging="272"/>
        <w:spacing w:after="0"/>
        <w:tabs>
          <w:tab w:leader="none" w:pos="2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Sign, date, and return your proxy card or voting instruction form to vote </w:t>
      </w:r>
      <w:r>
        <w:rPr>
          <w:rFonts w:ascii="Arial" w:cs="Arial" w:eastAsia="Arial" w:hAnsi="Arial"/>
          <w:sz w:val="18"/>
          <w:szCs w:val="18"/>
          <w:b w:val="1"/>
          <w:bCs w:val="1"/>
          <w:color w:val="auto"/>
        </w:rPr>
        <w:t>BY MAIL</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color w:val="auto"/>
        </w:rPr>
        <w:t>Further information on how to vote is provided at the end of the proxy statement under "Meeting and Voting Logistics."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FF0000"/>
        </w:rPr>
        <w:t>Voting at our 2018 Annual Meeting</w:t>
      </w:r>
    </w:p>
    <w:p>
      <w:pPr>
        <w:spacing w:after="0" w:line="76" w:lineRule="exact"/>
        <w:rPr>
          <w:sz w:val="20"/>
          <w:szCs w:val="20"/>
          <w:color w:val="auto"/>
        </w:rPr>
      </w:pPr>
    </w:p>
    <w:p>
      <w:pPr>
        <w:ind w:right="500"/>
        <w:spacing w:after="0" w:line="262" w:lineRule="auto"/>
        <w:rPr>
          <w:sz w:val="20"/>
          <w:szCs w:val="20"/>
          <w:color w:val="auto"/>
        </w:rPr>
      </w:pPr>
      <w:r>
        <w:rPr>
          <w:rFonts w:ascii="Arial" w:cs="Arial" w:eastAsia="Arial" w:hAnsi="Arial"/>
          <w:sz w:val="18"/>
          <w:szCs w:val="18"/>
          <w:color w:val="auto"/>
        </w:rPr>
        <w:t>You may also opt to vote in person at the 2018 Annual Meeting, which will be held on Monday, May 7, 2018, at the Lilly Corporate Center, Indianapolis, IN 46285, at 11:00 a.m., EDT. See the section titled "Meeting and Voting Logistics" for more information.</w:t>
      </w:r>
    </w:p>
    <w:p>
      <w:pPr>
        <w:spacing w:after="0" w:line="167" w:lineRule="exact"/>
        <w:rPr>
          <w:sz w:val="20"/>
          <w:szCs w:val="20"/>
          <w:color w:val="auto"/>
        </w:rPr>
      </w:pPr>
    </w:p>
    <w:p>
      <w:pPr>
        <w:spacing w:after="0"/>
        <w:rPr>
          <w:sz w:val="20"/>
          <w:szCs w:val="20"/>
          <w:color w:val="auto"/>
        </w:rPr>
      </w:pPr>
      <w:r>
        <w:rPr>
          <w:rFonts w:ascii="Arial" w:cs="Arial" w:eastAsia="Arial" w:hAnsi="Arial"/>
          <w:sz w:val="40"/>
          <w:szCs w:val="40"/>
          <w:b w:val="1"/>
          <w:bCs w:val="1"/>
          <w:color w:val="EE2724"/>
        </w:rPr>
        <w:t>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2720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9"/>
          <w:szCs w:val="29"/>
          <w:b w:val="1"/>
          <w:bCs w:val="1"/>
          <w:color w:val="FF0000"/>
        </w:rPr>
        <w:t>Item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720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66"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Under the company’s articles of incorporation, the board is divided into three classes with approximately one-third of the directors standing for election each year. The term for directors to be elected this year will expire at the annual meeting of shareholders held in 2021. Each of the director nominees listed below has agreed to serve that term. The following sections provide information about our directors, including their qualifications, the director nomination process, and director compensation.</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color w:val="FF0000"/>
        </w:rPr>
        <w:t>Board Recommendation on Item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that you vote FOR each of the following nominees:</w:t>
      </w:r>
    </w:p>
    <w:p>
      <w:pPr>
        <w:spacing w:after="0" w:line="31" w:lineRule="exact"/>
        <w:rPr>
          <w:sz w:val="20"/>
          <w:szCs w:val="20"/>
          <w:color w:val="auto"/>
        </w:rPr>
      </w:pPr>
    </w:p>
    <w:p>
      <w:pPr>
        <w:ind w:left="340" w:hanging="170"/>
        <w:spacing w:after="0"/>
        <w:tabs>
          <w:tab w:leader="none" w:pos="34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Katherine Baicker, Ph.D.</w:t>
      </w:r>
    </w:p>
    <w:p>
      <w:pPr>
        <w:spacing w:after="0" w:line="9" w:lineRule="exact"/>
        <w:rPr>
          <w:rFonts w:ascii="Arial" w:cs="Arial" w:eastAsia="Arial" w:hAnsi="Arial"/>
          <w:sz w:val="18"/>
          <w:szCs w:val="18"/>
          <w:b w:val="1"/>
          <w:bCs w:val="1"/>
          <w:color w:val="auto"/>
        </w:rPr>
      </w:pPr>
    </w:p>
    <w:p>
      <w:pPr>
        <w:ind w:left="340" w:hanging="170"/>
        <w:spacing w:after="0"/>
        <w:tabs>
          <w:tab w:leader="none" w:pos="34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J. Erik Fyrwald</w:t>
      </w:r>
    </w:p>
    <w:p>
      <w:pPr>
        <w:spacing w:after="0" w:line="9" w:lineRule="exact"/>
        <w:rPr>
          <w:rFonts w:ascii="Arial" w:cs="Arial" w:eastAsia="Arial" w:hAnsi="Arial"/>
          <w:sz w:val="18"/>
          <w:szCs w:val="18"/>
          <w:b w:val="1"/>
          <w:bCs w:val="1"/>
          <w:color w:val="auto"/>
        </w:rPr>
      </w:pPr>
    </w:p>
    <w:p>
      <w:pPr>
        <w:ind w:left="340" w:hanging="170"/>
        <w:spacing w:after="0"/>
        <w:tabs>
          <w:tab w:leader="none" w:pos="34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Jamere Jackson</w:t>
      </w:r>
    </w:p>
    <w:p>
      <w:pPr>
        <w:spacing w:after="0" w:line="9" w:lineRule="exact"/>
        <w:rPr>
          <w:rFonts w:ascii="Arial" w:cs="Arial" w:eastAsia="Arial" w:hAnsi="Arial"/>
          <w:sz w:val="18"/>
          <w:szCs w:val="18"/>
          <w:b w:val="1"/>
          <w:bCs w:val="1"/>
          <w:color w:val="auto"/>
        </w:rPr>
      </w:pPr>
    </w:p>
    <w:p>
      <w:pPr>
        <w:ind w:left="340" w:hanging="170"/>
        <w:spacing w:after="0"/>
        <w:tabs>
          <w:tab w:leader="none" w:pos="34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Ellen R. Marram</w:t>
      </w:r>
    </w:p>
    <w:p>
      <w:pPr>
        <w:spacing w:after="0" w:line="9" w:lineRule="exact"/>
        <w:rPr>
          <w:rFonts w:ascii="Arial" w:cs="Arial" w:eastAsia="Arial" w:hAnsi="Arial"/>
          <w:sz w:val="18"/>
          <w:szCs w:val="18"/>
          <w:b w:val="1"/>
          <w:bCs w:val="1"/>
          <w:color w:val="auto"/>
        </w:rPr>
      </w:pPr>
    </w:p>
    <w:p>
      <w:pPr>
        <w:ind w:left="340" w:hanging="170"/>
        <w:spacing w:after="0"/>
        <w:tabs>
          <w:tab w:leader="none" w:pos="34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Jackson P. Tai</w:t>
      </w:r>
    </w:p>
    <w:p>
      <w:pPr>
        <w:spacing w:after="0" w:line="186" w:lineRule="exact"/>
        <w:rPr>
          <w:sz w:val="20"/>
          <w:szCs w:val="20"/>
          <w:color w:val="auto"/>
        </w:rPr>
      </w:pPr>
    </w:p>
    <w:p>
      <w:pPr>
        <w:spacing w:after="0"/>
        <w:rPr>
          <w:sz w:val="20"/>
          <w:szCs w:val="20"/>
          <w:color w:val="auto"/>
        </w:rPr>
      </w:pPr>
      <w:r>
        <w:rPr>
          <w:rFonts w:ascii="Arial" w:cs="Arial" w:eastAsia="Arial" w:hAnsi="Arial"/>
          <w:sz w:val="29"/>
          <w:szCs w:val="29"/>
          <w:b w:val="1"/>
          <w:bCs w:val="1"/>
          <w:color w:val="FF0000"/>
        </w:rPr>
        <w:t>Board Operations and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720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37" w:lineRule="exact"/>
        <w:rPr>
          <w:sz w:val="20"/>
          <w:szCs w:val="20"/>
          <w:color w:val="auto"/>
        </w:rPr>
      </w:pPr>
    </w:p>
    <w:p>
      <w:pPr>
        <w:spacing w:after="0"/>
        <w:rPr>
          <w:sz w:val="20"/>
          <w:szCs w:val="20"/>
          <w:color w:val="auto"/>
        </w:rPr>
      </w:pPr>
      <w:r>
        <w:rPr>
          <w:rFonts w:ascii="Arial" w:cs="Arial" w:eastAsia="Arial" w:hAnsi="Arial"/>
          <w:sz w:val="25"/>
          <w:szCs w:val="25"/>
          <w:b w:val="1"/>
          <w:bCs w:val="1"/>
          <w:color w:val="FF0000"/>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81280</wp:posOffset>
            </wp:positionV>
            <wp:extent cx="72720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Each of our directors is elected to serve until his or her successor is duly elected and qualified. If a nominee is unavailable for election, proxy holders may vote for another nominee proposed by the Board of Directors or, as an alternative, the Board of Directors may reduce the number of directors to be elected at the annual meeting.</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P11</w:t>
      </w:r>
    </w:p>
    <w:p>
      <w:pPr>
        <w:sectPr>
          <w:pgSz w:w="11900" w:h="16838" w:orient="portrait"/>
          <w:cols w:equalWidth="0" w:num="1">
            <w:col w:w="11420"/>
          </w:cols>
          <w:pgMar w:left="240" w:top="742" w:right="2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25"/>
          <w:szCs w:val="25"/>
          <w:b w:val="1"/>
          <w:bCs w:val="1"/>
          <w:color w:val="FF0000"/>
        </w:rPr>
        <w:t>Director Biographies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81280</wp:posOffset>
            </wp:positionV>
            <wp:extent cx="72720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6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Set forth below is information as of March 8, 2018, regarding the nominees for election, which has been confirmed by each of them for inclusion in this proxy statement. We have provided the most significant experiences, qualifications, attributes, or skills that led to the conclusion that each director or director nominee should serve as one of our directors in light of our business and structure. Full biographies for each of our directors are available on our website at http://www.lilly.com/about/board-of-directors/Pages/board-of-directors.aspx.</w:t>
      </w:r>
    </w:p>
    <w:p>
      <w:pPr>
        <w:spacing w:after="0" w:line="204"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No family relationship exists among any of our directors, director nominees, or executive officers. To the best of our knowledge, there are no pending material legal proceedings in which any of our directors or nominees for director, or any of their associates, is a party adverse to us or any of our affiliates, or has a material interest adverse to us or any of our affiliates. Additionally, to the best of our knowledge, there have been no events under any bankruptcy act, no criminal proceedings and no judgments, sanctions, or injunctions during the past 10 years that are material to the evaluation of the ability or integrity of any of our directors or nominees for director. There is no arrangement between any director or director nominee and any other person pursuant to which he or she was or is to be selected as a director or director nominee.</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b w:val="1"/>
          <w:bCs w:val="1"/>
          <w:color w:val="FF0000"/>
        </w:rPr>
        <w:t>Class of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45"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The following five directors will seek election at this year's annual meeting. Four of these directors are standing for reelection; Jamere Jackson is seeking election for the first time. See “Item 1. Election of Directors” above for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210820</wp:posOffset>
            </wp:positionV>
            <wp:extent cx="5240020" cy="41763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240020" cy="4176395"/>
                    </a:xfrm>
                    <a:prstGeom prst="rect">
                      <a:avLst/>
                    </a:prstGeom>
                    <a:noFill/>
                  </pic:spPr>
                </pic:pic>
              </a:graphicData>
            </a:graphic>
          </wp:anchor>
        </w:drawing>
      </w:r>
    </w:p>
    <w:p>
      <w:pPr>
        <w:spacing w:after="0" w:line="330"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Katherine Baicker, Ph.D.</w:t>
      </w:r>
    </w:p>
    <w:p>
      <w:pPr>
        <w:spacing w:after="0" w:line="20" w:lineRule="exact"/>
        <w:rPr>
          <w:sz w:val="20"/>
          <w:szCs w:val="20"/>
          <w:color w:val="auto"/>
        </w:rPr>
      </w:pPr>
    </w:p>
    <w:p>
      <w:pPr>
        <w:ind w:left="3800"/>
        <w:spacing w:after="0"/>
        <w:rPr>
          <w:sz w:val="20"/>
          <w:szCs w:val="20"/>
          <w:color w:val="auto"/>
        </w:rPr>
      </w:pPr>
      <w:r>
        <w:rPr>
          <w:rFonts w:ascii="Arial" w:cs="Arial" w:eastAsia="Arial" w:hAnsi="Arial"/>
          <w:sz w:val="16"/>
          <w:szCs w:val="16"/>
          <w:color w:val="auto"/>
        </w:rPr>
        <w:t>Age: 46, Director since 2011</w:t>
      </w:r>
    </w:p>
    <w:p>
      <w:pPr>
        <w:spacing w:after="0" w:line="5" w:lineRule="exact"/>
        <w:rPr>
          <w:sz w:val="20"/>
          <w:szCs w:val="20"/>
          <w:color w:val="auto"/>
        </w:rPr>
      </w:pPr>
    </w:p>
    <w:p>
      <w:pPr>
        <w:ind w:left="3800"/>
        <w:spacing w:after="0"/>
        <w:rPr>
          <w:sz w:val="20"/>
          <w:szCs w:val="20"/>
          <w:color w:val="auto"/>
        </w:rPr>
      </w:pPr>
      <w:r>
        <w:rPr>
          <w:rFonts w:ascii="Arial" w:cs="Arial" w:eastAsia="Arial" w:hAnsi="Arial"/>
          <w:sz w:val="16"/>
          <w:szCs w:val="16"/>
          <w:b w:val="1"/>
          <w:bCs w:val="1"/>
          <w:color w:val="auto"/>
        </w:rPr>
        <w:t xml:space="preserve">Board Committees: </w:t>
      </w:r>
      <w:r>
        <w:rPr>
          <w:rFonts w:ascii="Arial" w:cs="Arial" w:eastAsia="Arial" w:hAnsi="Arial"/>
          <w:sz w:val="16"/>
          <w:szCs w:val="16"/>
          <w:color w:val="auto"/>
        </w:rPr>
        <w:t>Audit; Public Policy and Compliance</w:t>
      </w:r>
    </w:p>
    <w:p>
      <w:pPr>
        <w:spacing w:after="0" w:line="200" w:lineRule="exact"/>
        <w:rPr>
          <w:sz w:val="20"/>
          <w:szCs w:val="20"/>
          <w:color w:val="auto"/>
        </w:rPr>
      </w:pPr>
    </w:p>
    <w:p>
      <w:pPr>
        <w:spacing w:after="0" w:line="231" w:lineRule="exact"/>
        <w:rPr>
          <w:sz w:val="20"/>
          <w:szCs w:val="20"/>
          <w:color w:val="auto"/>
        </w:rPr>
      </w:pPr>
    </w:p>
    <w:p>
      <w:pPr>
        <w:ind w:left="3800" w:right="1660"/>
        <w:spacing w:after="0" w:line="259" w:lineRule="auto"/>
        <w:rPr>
          <w:sz w:val="20"/>
          <w:szCs w:val="20"/>
          <w:color w:val="auto"/>
        </w:rPr>
      </w:pPr>
      <w:r>
        <w:rPr>
          <w:rFonts w:ascii="Arial" w:cs="Arial" w:eastAsia="Arial" w:hAnsi="Arial"/>
          <w:sz w:val="16"/>
          <w:szCs w:val="16"/>
          <w:b w:val="1"/>
          <w:bCs w:val="1"/>
          <w:i w:val="1"/>
          <w:iCs w:val="1"/>
          <w:color w:val="auto"/>
        </w:rPr>
        <w:t>Industry Memberships</w:t>
      </w:r>
      <w:r>
        <w:rPr>
          <w:rFonts w:ascii="Arial" w:cs="Arial" w:eastAsia="Arial" w:hAnsi="Arial"/>
          <w:sz w:val="16"/>
          <w:szCs w:val="16"/>
          <w:color w:val="auto"/>
        </w:rPr>
        <w:t>: Panel of Health Advisers to the Congressional Budget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Office; Editorial boards of Health Affairs and the Journal of Health Economics; Research Associate of the National Bureau of Economic Research; and Member of the National Academy of Medicine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640"/>
        <w:spacing w:after="0"/>
        <w:tabs>
          <w:tab w:leader="none" w:pos="3780" w:val="left"/>
        </w:tabs>
        <w:rPr>
          <w:sz w:val="20"/>
          <w:szCs w:val="20"/>
          <w:color w:val="auto"/>
        </w:rPr>
      </w:pPr>
      <w:r>
        <w:rPr>
          <w:rFonts w:ascii="Arial" w:cs="Arial" w:eastAsia="Arial" w:hAnsi="Arial"/>
          <w:sz w:val="16"/>
          <w:szCs w:val="16"/>
          <w:b w:val="1"/>
          <w:bCs w:val="1"/>
          <w:i w:val="1"/>
          <w:iCs w:val="1"/>
          <w:color w:val="auto"/>
        </w:rPr>
        <w:t>Career Highlights</w:t>
      </w:r>
      <w:r>
        <w:rPr>
          <w:sz w:val="20"/>
          <w:szCs w:val="20"/>
          <w:color w:val="auto"/>
        </w:rPr>
        <w:tab/>
      </w:r>
      <w:r>
        <w:rPr>
          <w:rFonts w:ascii="Arial" w:cs="Arial" w:eastAsia="Arial" w:hAnsi="Arial"/>
          <w:sz w:val="16"/>
          <w:szCs w:val="16"/>
          <w:b w:val="1"/>
          <w:bCs w:val="1"/>
          <w:color w:val="auto"/>
        </w:rPr>
        <w:t>Harris School of Public Policy, University of Chicago</w:t>
      </w:r>
    </w:p>
    <w:p>
      <w:pPr>
        <w:spacing w:after="0" w:line="133" w:lineRule="exact"/>
        <w:rPr>
          <w:sz w:val="20"/>
          <w:szCs w:val="20"/>
          <w:color w:val="auto"/>
        </w:rPr>
      </w:pPr>
    </w:p>
    <w:p>
      <w:pPr>
        <w:ind w:left="3980"/>
        <w:spacing w:after="0"/>
        <w:rPr>
          <w:sz w:val="20"/>
          <w:szCs w:val="20"/>
          <w:color w:val="auto"/>
        </w:rPr>
      </w:pPr>
      <w:r>
        <w:rPr>
          <w:rFonts w:ascii="Arial" w:cs="Arial" w:eastAsia="Arial" w:hAnsi="Arial"/>
          <w:sz w:val="16"/>
          <w:szCs w:val="16"/>
          <w:color w:val="auto"/>
        </w:rPr>
        <w:t>• Dean and the Emmett Dedmon Professor (2017 - present)</w:t>
      </w:r>
    </w:p>
    <w:p>
      <w:pPr>
        <w:spacing w:after="0" w:line="39" w:lineRule="exact"/>
        <w:rPr>
          <w:sz w:val="20"/>
          <w:szCs w:val="20"/>
          <w:color w:val="auto"/>
        </w:rPr>
      </w:pPr>
    </w:p>
    <w:p>
      <w:pPr>
        <w:ind w:left="3800"/>
        <w:spacing w:after="0"/>
        <w:rPr>
          <w:sz w:val="20"/>
          <w:szCs w:val="20"/>
          <w:color w:val="auto"/>
        </w:rPr>
      </w:pPr>
      <w:r>
        <w:rPr>
          <w:rFonts w:ascii="Arial" w:cs="Arial" w:eastAsia="Arial" w:hAnsi="Arial"/>
          <w:sz w:val="16"/>
          <w:szCs w:val="16"/>
          <w:b w:val="1"/>
          <w:bCs w:val="1"/>
          <w:color w:val="auto"/>
        </w:rPr>
        <w:t>Harvard T.H. Chan School of Public Health, Department of Health Policy and</w:t>
      </w:r>
    </w:p>
    <w:p>
      <w:pPr>
        <w:spacing w:after="0" w:line="25" w:lineRule="exact"/>
        <w:rPr>
          <w:sz w:val="20"/>
          <w:szCs w:val="20"/>
          <w:color w:val="auto"/>
        </w:rPr>
      </w:pPr>
    </w:p>
    <w:p>
      <w:pPr>
        <w:ind w:left="3800"/>
        <w:spacing w:after="0"/>
        <w:rPr>
          <w:sz w:val="20"/>
          <w:szCs w:val="20"/>
          <w:color w:val="auto"/>
        </w:rPr>
      </w:pPr>
      <w:r>
        <w:rPr>
          <w:rFonts w:ascii="Arial" w:cs="Arial" w:eastAsia="Arial" w:hAnsi="Arial"/>
          <w:sz w:val="16"/>
          <w:szCs w:val="16"/>
          <w:b w:val="1"/>
          <w:bCs w:val="1"/>
          <w:color w:val="auto"/>
        </w:rPr>
        <w:t>Management</w:t>
      </w:r>
    </w:p>
    <w:p>
      <w:pPr>
        <w:spacing w:after="0" w:line="248" w:lineRule="exact"/>
        <w:rPr>
          <w:sz w:val="20"/>
          <w:szCs w:val="20"/>
          <w:color w:val="auto"/>
        </w:rPr>
      </w:pPr>
    </w:p>
    <w:p>
      <w:pPr>
        <w:ind w:left="4080" w:hanging="108"/>
        <w:spacing w:after="0"/>
        <w:tabs>
          <w:tab w:leader="none" w:pos="4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Professor of health economics (2007 - 2017)</w:t>
      </w:r>
    </w:p>
    <w:p>
      <w:pPr>
        <w:spacing w:after="0" w:line="86" w:lineRule="exact"/>
        <w:rPr>
          <w:rFonts w:ascii="Arial" w:cs="Arial" w:eastAsia="Arial" w:hAnsi="Arial"/>
          <w:sz w:val="16"/>
          <w:szCs w:val="16"/>
          <w:color w:val="auto"/>
        </w:rPr>
      </w:pPr>
    </w:p>
    <w:p>
      <w:pPr>
        <w:ind w:left="4140" w:right="2080" w:hanging="168"/>
        <w:spacing w:after="0" w:line="260" w:lineRule="auto"/>
        <w:tabs>
          <w:tab w:leader="none" w:pos="4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 Boyden Gray Professor (2014 - 2017) and Acting Chair, Department of Health Policy and Management (2014 - 2016)</w:t>
      </w:r>
    </w:p>
    <w:p>
      <w:pPr>
        <w:spacing w:after="0" w:line="14" w:lineRule="exact"/>
        <w:rPr>
          <w:sz w:val="20"/>
          <w:szCs w:val="20"/>
          <w:color w:val="auto"/>
        </w:rPr>
      </w:pPr>
    </w:p>
    <w:p>
      <w:pPr>
        <w:ind w:left="3800"/>
        <w:spacing w:after="0"/>
        <w:rPr>
          <w:sz w:val="20"/>
          <w:szCs w:val="20"/>
          <w:color w:val="auto"/>
        </w:rPr>
      </w:pPr>
      <w:r>
        <w:rPr>
          <w:rFonts w:ascii="Arial" w:cs="Arial" w:eastAsia="Arial" w:hAnsi="Arial"/>
          <w:sz w:val="16"/>
          <w:szCs w:val="16"/>
          <w:b w:val="1"/>
          <w:bCs w:val="1"/>
          <w:color w:val="auto"/>
        </w:rPr>
        <w:t>Council of Economic Advisers, Executive Office of the President</w:t>
      </w:r>
    </w:p>
    <w:p>
      <w:pPr>
        <w:spacing w:after="0" w:line="268" w:lineRule="exact"/>
        <w:rPr>
          <w:sz w:val="20"/>
          <w:szCs w:val="20"/>
          <w:color w:val="auto"/>
        </w:rPr>
      </w:pPr>
    </w:p>
    <w:p>
      <w:pPr>
        <w:ind w:left="4080" w:hanging="108"/>
        <w:spacing w:after="0"/>
        <w:tabs>
          <w:tab w:leader="none" w:pos="4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Member (2005 - 2007)</w:t>
      </w:r>
    </w:p>
    <w:p>
      <w:pPr>
        <w:spacing w:after="0" w:line="86" w:lineRule="exact"/>
        <w:rPr>
          <w:rFonts w:ascii="Arial" w:cs="Arial" w:eastAsia="Arial" w:hAnsi="Arial"/>
          <w:sz w:val="16"/>
          <w:szCs w:val="16"/>
          <w:color w:val="auto"/>
        </w:rPr>
      </w:pPr>
    </w:p>
    <w:p>
      <w:pPr>
        <w:ind w:left="4080" w:hanging="108"/>
        <w:spacing w:after="0"/>
        <w:tabs>
          <w:tab w:leader="none" w:pos="4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Senior Economist (2001 - 2002)</w:t>
      </w:r>
    </w:p>
    <w:p>
      <w:pPr>
        <w:spacing w:after="0" w:line="296" w:lineRule="exact"/>
        <w:rPr>
          <w:sz w:val="20"/>
          <w:szCs w:val="20"/>
          <w:color w:val="auto"/>
        </w:rPr>
      </w:pPr>
    </w:p>
    <w:p>
      <w:pPr>
        <w:ind w:left="1640" w:right="1700"/>
        <w:spacing w:after="0" w:line="266" w:lineRule="auto"/>
        <w:rPr>
          <w:sz w:val="20"/>
          <w:szCs w:val="20"/>
          <w:color w:val="auto"/>
        </w:rPr>
      </w:pPr>
      <w:r>
        <w:rPr>
          <w:rFonts w:ascii="Arial" w:cs="Arial" w:eastAsia="Arial" w:hAnsi="Arial"/>
          <w:sz w:val="16"/>
          <w:szCs w:val="16"/>
          <w:b w:val="1"/>
          <w:bCs w:val="1"/>
          <w:u w:val="single" w:color="auto"/>
          <w:color w:val="auto"/>
        </w:rPr>
        <w:t>Qualifications</w:t>
      </w:r>
      <w:r>
        <w:rPr>
          <w:rFonts w:ascii="Arial" w:cs="Arial" w:eastAsia="Arial" w:hAnsi="Arial"/>
          <w:sz w:val="16"/>
          <w:szCs w:val="16"/>
          <w:color w:val="auto"/>
        </w:rPr>
        <w:t>: Dr. Baicker is a leading researcher in the fields of health economics, public economics, and labor</w:t>
      </w:r>
      <w:r>
        <w:rPr>
          <w:rFonts w:ascii="Arial" w:cs="Arial" w:eastAsia="Arial" w:hAnsi="Arial"/>
          <w:sz w:val="16"/>
          <w:szCs w:val="16"/>
          <w:b w:val="1"/>
          <w:bCs w:val="1"/>
          <w:color w:val="auto"/>
        </w:rPr>
        <w:t xml:space="preserve"> </w:t>
      </w:r>
      <w:r>
        <w:rPr>
          <w:rFonts w:ascii="Arial" w:cs="Arial" w:eastAsia="Arial" w:hAnsi="Arial"/>
          <w:sz w:val="16"/>
          <w:szCs w:val="16"/>
          <w:color w:val="auto"/>
        </w:rPr>
        <w:t>economics. As a valued adviser to numerous health care-related commissions and committees, her expertise in health policy and health care delivery is recognized in both academia and government.</w:t>
      </w:r>
    </w:p>
    <w:p>
      <w:pPr>
        <w:spacing w:after="0" w:line="200" w:lineRule="exact"/>
        <w:rPr>
          <w:sz w:val="20"/>
          <w:szCs w:val="20"/>
          <w:color w:val="auto"/>
        </w:rPr>
      </w:pPr>
    </w:p>
    <w:p>
      <w:pPr>
        <w:spacing w:after="0" w:line="27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P12</w:t>
      </w:r>
    </w:p>
    <w:p>
      <w:pPr>
        <w:sectPr>
          <w:pgSz w:w="11900" w:h="16838" w:orient="portrait"/>
          <w:cols w:equalWidth="0" w:num="1">
            <w:col w:w="11420"/>
          </w:cols>
          <w:pgMar w:left="240" w:top="784" w:right="239" w:bottom="1440" w:gutter="0" w:footer="0" w:header="0"/>
        </w:sectPr>
      </w:pPr>
    </w:p>
    <w:bookmarkStart w:id="16" w:name="page17"/>
    <w:bookmarkEnd w:id="16"/>
    <w:p>
      <w:pPr>
        <w:ind w:left="26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1169670</wp:posOffset>
            </wp:positionH>
            <wp:positionV relativeFrom="page">
              <wp:posOffset>466090</wp:posOffset>
            </wp:positionV>
            <wp:extent cx="5240020" cy="4450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240020" cy="4450715"/>
                    </a:xfrm>
                    <a:prstGeom prst="rect">
                      <a:avLst/>
                    </a:prstGeom>
                    <a:noFill/>
                  </pic:spPr>
                </pic:pic>
              </a:graphicData>
            </a:graphic>
          </wp:anchor>
        </w:drawing>
        <w:t>J. Erik Fyrwald</w:t>
      </w:r>
    </w:p>
    <w:p>
      <w:pPr>
        <w:spacing w:after="0" w:line="20" w:lineRule="exact"/>
        <w:rPr>
          <w:sz w:val="20"/>
          <w:szCs w:val="20"/>
          <w:color w:val="auto"/>
        </w:rPr>
      </w:pPr>
    </w:p>
    <w:p>
      <w:pPr>
        <w:ind w:left="2600"/>
        <w:spacing w:after="0"/>
        <w:rPr>
          <w:sz w:val="20"/>
          <w:szCs w:val="20"/>
          <w:color w:val="auto"/>
        </w:rPr>
      </w:pPr>
      <w:r>
        <w:rPr>
          <w:rFonts w:ascii="Arial" w:cs="Arial" w:eastAsia="Arial" w:hAnsi="Arial"/>
          <w:sz w:val="16"/>
          <w:szCs w:val="16"/>
          <w:color w:val="auto"/>
        </w:rPr>
        <w:t>Age: 58, Director since 2005</w:t>
      </w:r>
    </w:p>
    <w:p>
      <w:pPr>
        <w:spacing w:after="0" w:line="5" w:lineRule="exact"/>
        <w:rPr>
          <w:sz w:val="20"/>
          <w:szCs w:val="20"/>
          <w:color w:val="auto"/>
        </w:rPr>
      </w:pPr>
    </w:p>
    <w:p>
      <w:pPr>
        <w:ind w:left="2600"/>
        <w:spacing w:after="0"/>
        <w:rPr>
          <w:sz w:val="20"/>
          <w:szCs w:val="20"/>
          <w:color w:val="auto"/>
        </w:rPr>
      </w:pPr>
      <w:r>
        <w:rPr>
          <w:rFonts w:ascii="Arial" w:cs="Arial" w:eastAsia="Arial" w:hAnsi="Arial"/>
          <w:sz w:val="16"/>
          <w:szCs w:val="16"/>
          <w:b w:val="1"/>
          <w:bCs w:val="1"/>
          <w:color w:val="auto"/>
        </w:rPr>
        <w:t xml:space="preserve">Board Committees: </w:t>
      </w:r>
      <w:r>
        <w:rPr>
          <w:rFonts w:ascii="Arial" w:cs="Arial" w:eastAsia="Arial" w:hAnsi="Arial"/>
          <w:sz w:val="16"/>
          <w:szCs w:val="16"/>
          <w:color w:val="auto"/>
        </w:rPr>
        <w:t>Public Policy and Compliance (chair)</w:t>
      </w:r>
      <w:r>
        <w:rPr>
          <w:rFonts w:ascii="Arial" w:cs="Arial" w:eastAsia="Arial" w:hAnsi="Arial"/>
          <w:sz w:val="16"/>
          <w:szCs w:val="16"/>
          <w:b w:val="1"/>
          <w:bCs w:val="1"/>
          <w:color w:val="auto"/>
        </w:rPr>
        <w:t xml:space="preserve">; </w:t>
      </w:r>
      <w:r>
        <w:rPr>
          <w:rFonts w:ascii="Arial" w:cs="Arial" w:eastAsia="Arial" w:hAnsi="Arial"/>
          <w:sz w:val="16"/>
          <w:szCs w:val="16"/>
          <w:color w:val="auto"/>
        </w:rPr>
        <w:t>Science and</w:t>
      </w:r>
    </w:p>
    <w:p>
      <w:pPr>
        <w:spacing w:after="0" w:line="5" w:lineRule="exact"/>
        <w:rPr>
          <w:sz w:val="20"/>
          <w:szCs w:val="20"/>
          <w:color w:val="auto"/>
        </w:rPr>
      </w:pPr>
    </w:p>
    <w:p>
      <w:pPr>
        <w:ind w:left="2600"/>
        <w:spacing w:after="0"/>
        <w:rPr>
          <w:sz w:val="20"/>
          <w:szCs w:val="20"/>
          <w:color w:val="auto"/>
        </w:rPr>
      </w:pPr>
      <w:r>
        <w:rPr>
          <w:rFonts w:ascii="Arial" w:cs="Arial" w:eastAsia="Arial" w:hAnsi="Arial"/>
          <w:sz w:val="16"/>
          <w:szCs w:val="16"/>
          <w:color w:val="auto"/>
        </w:rPr>
        <w:t>Technology</w:t>
      </w:r>
    </w:p>
    <w:p>
      <w:pPr>
        <w:spacing w:after="0" w:line="200" w:lineRule="exact"/>
        <w:rPr>
          <w:sz w:val="20"/>
          <w:szCs w:val="20"/>
          <w:color w:val="auto"/>
        </w:rPr>
      </w:pPr>
    </w:p>
    <w:p>
      <w:pPr>
        <w:spacing w:after="0" w:line="298" w:lineRule="exact"/>
        <w:rPr>
          <w:sz w:val="20"/>
          <w:szCs w:val="20"/>
          <w:color w:val="auto"/>
        </w:rPr>
      </w:pPr>
    </w:p>
    <w:p>
      <w:pPr>
        <w:ind w:left="2600" w:right="1820"/>
        <w:spacing w:after="0" w:line="286" w:lineRule="auto"/>
        <w:rPr>
          <w:sz w:val="20"/>
          <w:szCs w:val="20"/>
          <w:color w:val="auto"/>
        </w:rPr>
      </w:pPr>
      <w:r>
        <w:rPr>
          <w:rFonts w:ascii="Arial" w:cs="Arial" w:eastAsia="Arial" w:hAnsi="Arial"/>
          <w:sz w:val="16"/>
          <w:szCs w:val="16"/>
          <w:b w:val="1"/>
          <w:bCs w:val="1"/>
          <w:i w:val="1"/>
          <w:iCs w:val="1"/>
          <w:color w:val="auto"/>
        </w:rPr>
        <w:t>Non-profit Boards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 World Food Program Farm to Market Initiative; Crop Life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International; and Swiss American Chamber of Commerce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440"/>
        <w:spacing w:after="0"/>
        <w:tabs>
          <w:tab w:leader="none" w:pos="2580" w:val="left"/>
        </w:tabs>
        <w:rPr>
          <w:sz w:val="20"/>
          <w:szCs w:val="20"/>
          <w:color w:val="auto"/>
        </w:rPr>
      </w:pPr>
      <w:r>
        <w:rPr>
          <w:rFonts w:ascii="Arial" w:cs="Arial" w:eastAsia="Arial" w:hAnsi="Arial"/>
          <w:sz w:val="16"/>
          <w:szCs w:val="16"/>
          <w:b w:val="1"/>
          <w:bCs w:val="1"/>
          <w:i w:val="1"/>
          <w:iCs w:val="1"/>
          <w:color w:val="auto"/>
        </w:rPr>
        <w:t>Career Highlights</w:t>
      </w:r>
      <w:r>
        <w:rPr>
          <w:sz w:val="20"/>
          <w:szCs w:val="20"/>
          <w:color w:val="auto"/>
        </w:rPr>
        <w:tab/>
      </w:r>
      <w:r>
        <w:rPr>
          <w:rFonts w:ascii="Arial" w:cs="Arial" w:eastAsia="Arial" w:hAnsi="Arial"/>
          <w:sz w:val="16"/>
          <w:szCs w:val="16"/>
          <w:b w:val="1"/>
          <w:bCs w:val="1"/>
          <w:color w:val="auto"/>
        </w:rPr>
        <w:t xml:space="preserve">Syngenta International AG, </w:t>
      </w:r>
      <w:r>
        <w:rPr>
          <w:rFonts w:ascii="Arial" w:cs="Arial" w:eastAsia="Arial" w:hAnsi="Arial"/>
          <w:sz w:val="16"/>
          <w:szCs w:val="16"/>
          <w:color w:val="auto"/>
        </w:rPr>
        <w:t>a global Swiss-based agriculture technology company</w:t>
      </w:r>
    </w:p>
    <w:p>
      <w:pPr>
        <w:spacing w:after="0" w:line="25" w:lineRule="exact"/>
        <w:rPr>
          <w:sz w:val="20"/>
          <w:szCs w:val="20"/>
          <w:color w:val="auto"/>
        </w:rPr>
      </w:pPr>
    </w:p>
    <w:p>
      <w:pPr>
        <w:ind w:left="2600"/>
        <w:spacing w:after="0"/>
        <w:rPr>
          <w:sz w:val="20"/>
          <w:szCs w:val="20"/>
          <w:color w:val="auto"/>
        </w:rPr>
      </w:pPr>
      <w:r>
        <w:rPr>
          <w:rFonts w:ascii="Arial" w:cs="Arial" w:eastAsia="Arial" w:hAnsi="Arial"/>
          <w:sz w:val="16"/>
          <w:szCs w:val="16"/>
          <w:color w:val="auto"/>
        </w:rPr>
        <w:t>that produces agrochemicals and seeds</w:t>
      </w:r>
    </w:p>
    <w:p>
      <w:pPr>
        <w:spacing w:after="0" w:line="59" w:lineRule="exact"/>
        <w:rPr>
          <w:sz w:val="20"/>
          <w:szCs w:val="20"/>
          <w:color w:val="auto"/>
        </w:rPr>
      </w:pPr>
    </w:p>
    <w:p>
      <w:pPr>
        <w:ind w:left="2780"/>
        <w:spacing w:after="0"/>
        <w:rPr>
          <w:sz w:val="20"/>
          <w:szCs w:val="20"/>
          <w:color w:val="auto"/>
        </w:rPr>
      </w:pPr>
      <w:r>
        <w:rPr>
          <w:rFonts w:ascii="Arial" w:cs="Arial" w:eastAsia="Arial" w:hAnsi="Arial"/>
          <w:sz w:val="16"/>
          <w:szCs w:val="16"/>
          <w:color w:val="auto"/>
        </w:rPr>
        <w:t>• President and Chief Executive Officer (2016 - present)</w:t>
      </w:r>
    </w:p>
    <w:p>
      <w:pPr>
        <w:spacing w:after="0" w:line="93" w:lineRule="exact"/>
        <w:rPr>
          <w:sz w:val="20"/>
          <w:szCs w:val="20"/>
          <w:color w:val="auto"/>
        </w:rPr>
      </w:pPr>
    </w:p>
    <w:p>
      <w:pPr>
        <w:ind w:left="2600"/>
        <w:spacing w:after="0"/>
        <w:rPr>
          <w:sz w:val="20"/>
          <w:szCs w:val="20"/>
          <w:color w:val="auto"/>
        </w:rPr>
      </w:pPr>
      <w:r>
        <w:rPr>
          <w:rFonts w:ascii="Arial" w:cs="Arial" w:eastAsia="Arial" w:hAnsi="Arial"/>
          <w:sz w:val="16"/>
          <w:szCs w:val="16"/>
          <w:b w:val="1"/>
          <w:bCs w:val="1"/>
          <w:color w:val="auto"/>
        </w:rPr>
        <w:t xml:space="preserve">Univar, Inc., </w:t>
      </w:r>
      <w:r>
        <w:rPr>
          <w:rFonts w:ascii="Arial" w:cs="Arial" w:eastAsia="Arial" w:hAnsi="Arial"/>
          <w:sz w:val="16"/>
          <w:szCs w:val="16"/>
          <w:color w:val="auto"/>
        </w:rPr>
        <w:t>a leading distributor of chemicals and provider of related services</w:t>
      </w:r>
    </w:p>
    <w:p>
      <w:pPr>
        <w:spacing w:after="0" w:line="79" w:lineRule="exact"/>
        <w:rPr>
          <w:sz w:val="20"/>
          <w:szCs w:val="20"/>
          <w:color w:val="auto"/>
        </w:rPr>
      </w:pPr>
    </w:p>
    <w:p>
      <w:pPr>
        <w:ind w:left="2780"/>
        <w:spacing w:after="0"/>
        <w:rPr>
          <w:sz w:val="20"/>
          <w:szCs w:val="20"/>
          <w:color w:val="auto"/>
        </w:rPr>
      </w:pPr>
      <w:r>
        <w:rPr>
          <w:rFonts w:ascii="Arial" w:cs="Arial" w:eastAsia="Arial" w:hAnsi="Arial"/>
          <w:sz w:val="16"/>
          <w:szCs w:val="16"/>
          <w:color w:val="auto"/>
        </w:rPr>
        <w:t>• President and Chief Executive Officer (2011 - 2016)</w:t>
      </w:r>
    </w:p>
    <w:p>
      <w:pPr>
        <w:spacing w:after="0" w:line="93" w:lineRule="exact"/>
        <w:rPr>
          <w:sz w:val="20"/>
          <w:szCs w:val="20"/>
          <w:color w:val="auto"/>
        </w:rPr>
      </w:pPr>
    </w:p>
    <w:p>
      <w:pPr>
        <w:ind w:left="2600"/>
        <w:spacing w:after="0"/>
        <w:rPr>
          <w:sz w:val="20"/>
          <w:szCs w:val="20"/>
          <w:color w:val="auto"/>
        </w:rPr>
      </w:pPr>
      <w:r>
        <w:rPr>
          <w:rFonts w:ascii="Arial" w:cs="Arial" w:eastAsia="Arial" w:hAnsi="Arial"/>
          <w:sz w:val="16"/>
          <w:szCs w:val="16"/>
          <w:b w:val="1"/>
          <w:bCs w:val="1"/>
          <w:color w:val="auto"/>
        </w:rPr>
        <w:t>Nalco Company</w:t>
      </w:r>
      <w:r>
        <w:rPr>
          <w:rFonts w:ascii="Arial" w:cs="Arial" w:eastAsia="Arial" w:hAnsi="Arial"/>
          <w:sz w:val="16"/>
          <w:szCs w:val="16"/>
          <w:color w:val="auto"/>
        </w:rPr>
        <w:t>, a leading provider of water treatment products and services</w:t>
      </w:r>
    </w:p>
    <w:p>
      <w:pPr>
        <w:spacing w:after="0" w:line="79" w:lineRule="exact"/>
        <w:rPr>
          <w:sz w:val="20"/>
          <w:szCs w:val="20"/>
          <w:color w:val="auto"/>
        </w:rPr>
      </w:pPr>
    </w:p>
    <w:p>
      <w:pPr>
        <w:ind w:left="2780"/>
        <w:spacing w:after="0"/>
        <w:rPr>
          <w:sz w:val="20"/>
          <w:szCs w:val="20"/>
          <w:color w:val="auto"/>
        </w:rPr>
      </w:pPr>
      <w:r>
        <w:rPr>
          <w:rFonts w:ascii="Arial" w:cs="Arial" w:eastAsia="Arial" w:hAnsi="Arial"/>
          <w:sz w:val="16"/>
          <w:szCs w:val="16"/>
          <w:color w:val="auto"/>
        </w:rPr>
        <w:t>• Chairman and Chief Executive Officer (2008 - 2011)</w:t>
      </w:r>
    </w:p>
    <w:p>
      <w:pPr>
        <w:spacing w:after="0" w:line="66" w:lineRule="exact"/>
        <w:rPr>
          <w:sz w:val="20"/>
          <w:szCs w:val="20"/>
          <w:color w:val="auto"/>
        </w:rPr>
      </w:pPr>
    </w:p>
    <w:p>
      <w:pPr>
        <w:ind w:left="2600" w:right="1780"/>
        <w:spacing w:after="0" w:line="286" w:lineRule="auto"/>
        <w:rPr>
          <w:sz w:val="20"/>
          <w:szCs w:val="20"/>
          <w:color w:val="auto"/>
        </w:rPr>
      </w:pPr>
      <w:r>
        <w:rPr>
          <w:rFonts w:ascii="Arial" w:cs="Arial" w:eastAsia="Arial" w:hAnsi="Arial"/>
          <w:sz w:val="16"/>
          <w:szCs w:val="16"/>
          <w:b w:val="1"/>
          <w:bCs w:val="1"/>
          <w:color w:val="auto"/>
        </w:rPr>
        <w:t>Ecolab</w:t>
      </w:r>
      <w:r>
        <w:rPr>
          <w:rFonts w:ascii="Arial" w:cs="Arial" w:eastAsia="Arial" w:hAnsi="Arial"/>
          <w:sz w:val="16"/>
          <w:szCs w:val="16"/>
          <w:color w:val="auto"/>
        </w:rPr>
        <w:t>, a leading provider of cleaning, sanitization, and water treatment products</w:t>
      </w:r>
      <w:r>
        <w:rPr>
          <w:rFonts w:ascii="Arial" w:cs="Arial" w:eastAsia="Arial" w:hAnsi="Arial"/>
          <w:sz w:val="16"/>
          <w:szCs w:val="16"/>
          <w:b w:val="1"/>
          <w:bCs w:val="1"/>
          <w:color w:val="auto"/>
        </w:rPr>
        <w:t xml:space="preserve"> </w:t>
      </w:r>
      <w:r>
        <w:rPr>
          <w:rFonts w:ascii="Arial" w:cs="Arial" w:eastAsia="Arial" w:hAnsi="Arial"/>
          <w:sz w:val="16"/>
          <w:szCs w:val="16"/>
          <w:color w:val="auto"/>
        </w:rPr>
        <w:t>and services</w:t>
      </w:r>
    </w:p>
    <w:p>
      <w:pPr>
        <w:spacing w:after="0" w:line="14" w:lineRule="exact"/>
        <w:rPr>
          <w:sz w:val="20"/>
          <w:szCs w:val="20"/>
          <w:color w:val="auto"/>
        </w:rPr>
      </w:pPr>
    </w:p>
    <w:p>
      <w:pPr>
        <w:ind w:left="2780"/>
        <w:spacing w:after="0"/>
        <w:rPr>
          <w:sz w:val="20"/>
          <w:szCs w:val="20"/>
          <w:color w:val="auto"/>
        </w:rPr>
      </w:pPr>
      <w:r>
        <w:rPr>
          <w:rFonts w:ascii="Arial" w:cs="Arial" w:eastAsia="Arial" w:hAnsi="Arial"/>
          <w:sz w:val="16"/>
          <w:szCs w:val="16"/>
          <w:color w:val="auto"/>
        </w:rPr>
        <w:t>• President (2012)</w:t>
      </w:r>
    </w:p>
    <w:p>
      <w:pPr>
        <w:spacing w:after="0" w:line="66" w:lineRule="exact"/>
        <w:rPr>
          <w:sz w:val="20"/>
          <w:szCs w:val="20"/>
          <w:color w:val="auto"/>
        </w:rPr>
      </w:pPr>
    </w:p>
    <w:p>
      <w:pPr>
        <w:ind w:left="2600"/>
        <w:spacing w:after="0"/>
        <w:rPr>
          <w:sz w:val="20"/>
          <w:szCs w:val="20"/>
          <w:color w:val="auto"/>
        </w:rPr>
      </w:pPr>
      <w:r>
        <w:rPr>
          <w:rFonts w:ascii="Arial" w:cs="Arial" w:eastAsia="Arial" w:hAnsi="Arial"/>
          <w:sz w:val="16"/>
          <w:szCs w:val="16"/>
          <w:b w:val="1"/>
          <w:bCs w:val="1"/>
          <w:color w:val="auto"/>
        </w:rPr>
        <w:t>E.I. duPont de Nemours and Company</w:t>
      </w:r>
      <w:r>
        <w:rPr>
          <w:rFonts w:ascii="Arial" w:cs="Arial" w:eastAsia="Arial" w:hAnsi="Arial"/>
          <w:sz w:val="16"/>
          <w:szCs w:val="16"/>
          <w:color w:val="auto"/>
        </w:rPr>
        <w:t>, a global chemical company</w:t>
      </w:r>
    </w:p>
    <w:p>
      <w:pPr>
        <w:spacing w:after="0" w:line="268" w:lineRule="exact"/>
        <w:rPr>
          <w:sz w:val="20"/>
          <w:szCs w:val="20"/>
          <w:color w:val="auto"/>
        </w:rPr>
      </w:pPr>
    </w:p>
    <w:p>
      <w:pPr>
        <w:jc w:val="center"/>
        <w:ind w:right="240"/>
        <w:spacing w:after="0"/>
        <w:rPr>
          <w:sz w:val="20"/>
          <w:szCs w:val="20"/>
          <w:color w:val="auto"/>
        </w:rPr>
      </w:pPr>
      <w:r>
        <w:rPr>
          <w:rFonts w:ascii="Arial" w:cs="Arial" w:eastAsia="Arial" w:hAnsi="Arial"/>
          <w:sz w:val="16"/>
          <w:szCs w:val="16"/>
          <w:color w:val="auto"/>
        </w:rPr>
        <w:t>• Group Vice President, agriculture and nutrition (2003 - 2008)</w:t>
      </w:r>
    </w:p>
    <w:p>
      <w:pPr>
        <w:spacing w:after="0" w:line="336" w:lineRule="exact"/>
        <w:rPr>
          <w:sz w:val="20"/>
          <w:szCs w:val="20"/>
          <w:color w:val="auto"/>
        </w:rPr>
      </w:pPr>
    </w:p>
    <w:p>
      <w:pPr>
        <w:jc w:val="both"/>
        <w:ind w:left="440" w:right="1960"/>
        <w:spacing w:after="0" w:line="266" w:lineRule="auto"/>
        <w:rPr>
          <w:sz w:val="20"/>
          <w:szCs w:val="20"/>
          <w:color w:val="auto"/>
        </w:rPr>
      </w:pPr>
      <w:r>
        <w:rPr>
          <w:rFonts w:ascii="Arial" w:cs="Arial" w:eastAsia="Arial" w:hAnsi="Arial"/>
          <w:sz w:val="16"/>
          <w:szCs w:val="16"/>
          <w:b w:val="1"/>
          <w:bCs w:val="1"/>
          <w:u w:val="single" w:color="auto"/>
          <w:color w:val="auto"/>
        </w:rPr>
        <w:t>Qualifications</w:t>
      </w:r>
      <w:r>
        <w:rPr>
          <w:rFonts w:ascii="Arial" w:cs="Arial" w:eastAsia="Arial" w:hAnsi="Arial"/>
          <w:sz w:val="16"/>
          <w:szCs w:val="16"/>
          <w:color w:val="auto"/>
        </w:rPr>
        <w:t>: Mr. Fyrwald has a strong record of operational and strategic leadership in complex worldwide</w:t>
      </w:r>
      <w:r>
        <w:rPr>
          <w:rFonts w:ascii="Arial" w:cs="Arial" w:eastAsia="Arial" w:hAnsi="Arial"/>
          <w:sz w:val="16"/>
          <w:szCs w:val="16"/>
          <w:b w:val="1"/>
          <w:bCs w:val="1"/>
          <w:color w:val="auto"/>
        </w:rPr>
        <w:t xml:space="preserve"> </w:t>
      </w:r>
      <w:r>
        <w:rPr>
          <w:rFonts w:ascii="Arial" w:cs="Arial" w:eastAsia="Arial" w:hAnsi="Arial"/>
          <w:sz w:val="16"/>
          <w:szCs w:val="16"/>
          <w:color w:val="auto"/>
        </w:rPr>
        <w:t>businesses with a focus on technology and innovation. He is an engineer by training and has significant CEO experience with Syngenta, Univar, and Nalco.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255270</wp:posOffset>
            </wp:positionH>
            <wp:positionV relativeFrom="paragraph">
              <wp:posOffset>231775</wp:posOffset>
            </wp:positionV>
            <wp:extent cx="5240020" cy="34817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240020" cy="3481705"/>
                    </a:xfrm>
                    <a:prstGeom prst="rect">
                      <a:avLst/>
                    </a:prstGeom>
                    <a:noFill/>
                  </pic:spPr>
                </pic:pic>
              </a:graphicData>
            </a:graphic>
          </wp:anchor>
        </w:drawing>
      </w:r>
    </w:p>
    <w:p>
      <w:pPr>
        <w:spacing w:after="0" w:line="363"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Jamere Jackson</w:t>
      </w:r>
    </w:p>
    <w:p>
      <w:pPr>
        <w:spacing w:after="0" w:line="20" w:lineRule="exact"/>
        <w:rPr>
          <w:sz w:val="20"/>
          <w:szCs w:val="20"/>
          <w:color w:val="auto"/>
        </w:rPr>
      </w:pPr>
    </w:p>
    <w:p>
      <w:pPr>
        <w:ind w:left="2600"/>
        <w:spacing w:after="0"/>
        <w:rPr>
          <w:sz w:val="20"/>
          <w:szCs w:val="20"/>
          <w:color w:val="auto"/>
        </w:rPr>
      </w:pPr>
      <w:r>
        <w:rPr>
          <w:rFonts w:ascii="Arial" w:cs="Arial" w:eastAsia="Arial" w:hAnsi="Arial"/>
          <w:sz w:val="16"/>
          <w:szCs w:val="16"/>
          <w:color w:val="auto"/>
        </w:rPr>
        <w:t>Age: 49, Director since 2016</w:t>
      </w:r>
    </w:p>
    <w:p>
      <w:pPr>
        <w:spacing w:after="0" w:line="5" w:lineRule="exact"/>
        <w:rPr>
          <w:sz w:val="20"/>
          <w:szCs w:val="20"/>
          <w:color w:val="auto"/>
        </w:rPr>
      </w:pPr>
    </w:p>
    <w:p>
      <w:pPr>
        <w:ind w:left="2600"/>
        <w:spacing w:after="0"/>
        <w:rPr>
          <w:sz w:val="20"/>
          <w:szCs w:val="20"/>
          <w:color w:val="auto"/>
        </w:rPr>
      </w:pPr>
      <w:r>
        <w:rPr>
          <w:rFonts w:ascii="Arial" w:cs="Arial" w:eastAsia="Arial" w:hAnsi="Arial"/>
          <w:sz w:val="16"/>
          <w:szCs w:val="16"/>
          <w:b w:val="1"/>
          <w:bCs w:val="1"/>
          <w:color w:val="auto"/>
        </w:rPr>
        <w:t>Board Committees</w:t>
      </w:r>
      <w:r>
        <w:rPr>
          <w:rFonts w:ascii="Arial" w:cs="Arial" w:eastAsia="Arial" w:hAnsi="Arial"/>
          <w:sz w:val="16"/>
          <w:szCs w:val="16"/>
          <w:color w:val="auto"/>
        </w:rPr>
        <w:t>: Audit; Finance</w:t>
      </w:r>
    </w:p>
    <w:p>
      <w:pPr>
        <w:spacing w:after="0" w:line="363" w:lineRule="exact"/>
        <w:rPr>
          <w:sz w:val="20"/>
          <w:szCs w:val="20"/>
          <w:color w:val="auto"/>
        </w:rPr>
      </w:pPr>
    </w:p>
    <w:p>
      <w:pPr>
        <w:ind w:left="2600"/>
        <w:spacing w:after="0"/>
        <w:rPr>
          <w:sz w:val="20"/>
          <w:szCs w:val="20"/>
          <w:color w:val="auto"/>
        </w:rPr>
      </w:pPr>
      <w:r>
        <w:rPr>
          <w:rFonts w:ascii="Arial" w:cs="Arial" w:eastAsia="Arial" w:hAnsi="Arial"/>
          <w:sz w:val="16"/>
          <w:szCs w:val="16"/>
          <w:b w:val="1"/>
          <w:bCs w:val="1"/>
          <w:i w:val="1"/>
          <w:iCs w:val="1"/>
          <w:color w:val="auto"/>
        </w:rPr>
        <w:t>Non-profit Board</w:t>
      </w:r>
      <w:r>
        <w:rPr>
          <w:rFonts w:ascii="Arial" w:cs="Arial" w:eastAsia="Arial" w:hAnsi="Arial"/>
          <w:sz w:val="16"/>
          <w:szCs w:val="16"/>
          <w:color w:val="auto"/>
        </w:rPr>
        <w:t>: Future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40"/>
        <w:spacing w:after="0"/>
        <w:tabs>
          <w:tab w:leader="none" w:pos="2580" w:val="left"/>
        </w:tabs>
        <w:rPr>
          <w:sz w:val="20"/>
          <w:szCs w:val="20"/>
          <w:color w:val="auto"/>
        </w:rPr>
      </w:pPr>
      <w:r>
        <w:rPr>
          <w:rFonts w:ascii="Arial" w:cs="Arial" w:eastAsia="Arial" w:hAnsi="Arial"/>
          <w:sz w:val="16"/>
          <w:szCs w:val="16"/>
          <w:b w:val="1"/>
          <w:bCs w:val="1"/>
          <w:i w:val="1"/>
          <w:iCs w:val="1"/>
          <w:color w:val="auto"/>
        </w:rPr>
        <w:t>Career Highlights</w:t>
      </w:r>
      <w:r>
        <w:rPr>
          <w:sz w:val="20"/>
          <w:szCs w:val="20"/>
          <w:color w:val="auto"/>
        </w:rPr>
        <w:tab/>
      </w:r>
      <w:r>
        <w:rPr>
          <w:rFonts w:ascii="Arial" w:cs="Arial" w:eastAsia="Arial" w:hAnsi="Arial"/>
          <w:sz w:val="16"/>
          <w:szCs w:val="16"/>
          <w:b w:val="1"/>
          <w:bCs w:val="1"/>
          <w:color w:val="auto"/>
        </w:rPr>
        <w:t xml:space="preserve">Nielsen Holdings plc, </w:t>
      </w:r>
      <w:r>
        <w:rPr>
          <w:rFonts w:ascii="Arial" w:cs="Arial" w:eastAsia="Arial" w:hAnsi="Arial"/>
          <w:sz w:val="16"/>
          <w:szCs w:val="16"/>
          <w:color w:val="auto"/>
        </w:rPr>
        <w:t>a global information, data, and measurement company</w:t>
      </w:r>
    </w:p>
    <w:p>
      <w:pPr>
        <w:spacing w:after="0" w:line="106" w:lineRule="exact"/>
        <w:rPr>
          <w:sz w:val="20"/>
          <w:szCs w:val="20"/>
          <w:color w:val="auto"/>
        </w:rPr>
      </w:pPr>
    </w:p>
    <w:p>
      <w:pPr>
        <w:ind w:left="2880" w:hanging="108"/>
        <w:spacing w:after="0"/>
        <w:tabs>
          <w:tab w:leader="none" w:pos="28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Chief Financial Officer (2014 - present)</w:t>
      </w:r>
    </w:p>
    <w:p>
      <w:pPr>
        <w:spacing w:after="0" w:line="66" w:lineRule="exact"/>
        <w:rPr>
          <w:rFonts w:ascii="Arial" w:cs="Arial" w:eastAsia="Arial" w:hAnsi="Arial"/>
          <w:sz w:val="16"/>
          <w:szCs w:val="16"/>
          <w:color w:val="auto"/>
        </w:rPr>
      </w:pPr>
    </w:p>
    <w:p>
      <w:pPr>
        <w:ind w:left="2600"/>
        <w:spacing w:after="0"/>
        <w:rPr>
          <w:rFonts w:ascii="Arial" w:cs="Arial" w:eastAsia="Arial" w:hAnsi="Arial"/>
          <w:sz w:val="16"/>
          <w:szCs w:val="16"/>
          <w:color w:val="auto"/>
        </w:rPr>
      </w:pPr>
      <w:r>
        <w:rPr>
          <w:rFonts w:ascii="Arial" w:cs="Arial" w:eastAsia="Arial" w:hAnsi="Arial"/>
          <w:sz w:val="16"/>
          <w:szCs w:val="16"/>
          <w:b w:val="1"/>
          <w:bCs w:val="1"/>
          <w:color w:val="auto"/>
        </w:rPr>
        <w:t>GE</w:t>
      </w:r>
    </w:p>
    <w:p>
      <w:pPr>
        <w:spacing w:after="0" w:line="106" w:lineRule="exact"/>
        <w:rPr>
          <w:rFonts w:ascii="Arial" w:cs="Arial" w:eastAsia="Arial" w:hAnsi="Arial"/>
          <w:sz w:val="16"/>
          <w:szCs w:val="16"/>
          <w:color w:val="auto"/>
        </w:rPr>
      </w:pPr>
    </w:p>
    <w:p>
      <w:pPr>
        <w:ind w:left="2940" w:right="2340" w:hanging="6"/>
        <w:spacing w:after="0" w:line="192" w:lineRule="exact"/>
        <w:tabs>
          <w:tab w:leader="none" w:pos="3042" w:val="left"/>
        </w:tabs>
        <w:numPr>
          <w:ilvl w:val="1"/>
          <w:numId w:val="22"/>
        </w:numPr>
        <w:rPr>
          <w:rFonts w:ascii="Arial" w:cs="Arial" w:eastAsia="Arial" w:hAnsi="Arial"/>
          <w:sz w:val="16"/>
          <w:szCs w:val="16"/>
          <w:color w:val="auto"/>
        </w:rPr>
      </w:pPr>
      <w:r>
        <w:rPr>
          <w:rFonts w:ascii="Arial" w:cs="Arial" w:eastAsia="Arial" w:hAnsi="Arial"/>
          <w:sz w:val="16"/>
          <w:szCs w:val="16"/>
          <w:color w:val="auto"/>
        </w:rPr>
        <w:t xml:space="preserve">Vice President and CFO, GE Oil &amp; Gas, drilling and surface division (2013 </w:t>
      </w:r>
      <w:r>
        <w:rPr>
          <w:rFonts w:ascii="MS PGothic" w:cs="MS PGothic" w:eastAsia="MS PGothic" w:hAnsi="MS PGothic"/>
          <w:sz w:val="16"/>
          <w:szCs w:val="16"/>
          <w:color w:val="auto"/>
        </w:rPr>
        <w:t>‑</w:t>
      </w:r>
      <w:r>
        <w:rPr>
          <w:rFonts w:ascii="Arial" w:cs="Arial" w:eastAsia="Arial" w:hAnsi="Arial"/>
          <w:sz w:val="16"/>
          <w:szCs w:val="16"/>
          <w:color w:val="auto"/>
        </w:rPr>
        <w:t xml:space="preserve"> 2014)</w:t>
      </w:r>
    </w:p>
    <w:p>
      <w:pPr>
        <w:spacing w:after="0" w:line="48" w:lineRule="exact"/>
        <w:rPr>
          <w:rFonts w:ascii="Arial" w:cs="Arial" w:eastAsia="Arial" w:hAnsi="Arial"/>
          <w:sz w:val="16"/>
          <w:szCs w:val="16"/>
          <w:color w:val="auto"/>
        </w:rPr>
      </w:pPr>
    </w:p>
    <w:p>
      <w:pPr>
        <w:ind w:left="2880" w:hanging="108"/>
        <w:spacing w:after="0"/>
        <w:tabs>
          <w:tab w:leader="none" w:pos="28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Senior Executive, Finance, GE Aviation (2007 - 2013)</w:t>
      </w:r>
    </w:p>
    <w:p>
      <w:pPr>
        <w:spacing w:after="0" w:line="86" w:lineRule="exact"/>
        <w:rPr>
          <w:rFonts w:ascii="Arial" w:cs="Arial" w:eastAsia="Arial" w:hAnsi="Arial"/>
          <w:sz w:val="16"/>
          <w:szCs w:val="16"/>
          <w:color w:val="auto"/>
        </w:rPr>
      </w:pPr>
    </w:p>
    <w:p>
      <w:pPr>
        <w:ind w:left="2880" w:hanging="108"/>
        <w:spacing w:after="0"/>
        <w:tabs>
          <w:tab w:leader="none" w:pos="28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Finance Executive, GE Corporate (2004 - 2007)</w:t>
      </w:r>
    </w:p>
    <w:p>
      <w:pPr>
        <w:spacing w:after="0" w:line="336" w:lineRule="exact"/>
        <w:rPr>
          <w:sz w:val="20"/>
          <w:szCs w:val="20"/>
          <w:color w:val="auto"/>
        </w:rPr>
      </w:pPr>
    </w:p>
    <w:p>
      <w:pPr>
        <w:ind w:left="440" w:right="1660"/>
        <w:spacing w:after="0" w:line="259" w:lineRule="auto"/>
        <w:rPr>
          <w:sz w:val="20"/>
          <w:szCs w:val="20"/>
          <w:color w:val="auto"/>
        </w:rPr>
      </w:pPr>
      <w:r>
        <w:rPr>
          <w:rFonts w:ascii="Arial" w:cs="Arial" w:eastAsia="Arial" w:hAnsi="Arial"/>
          <w:sz w:val="16"/>
          <w:szCs w:val="16"/>
          <w:b w:val="1"/>
          <w:bCs w:val="1"/>
          <w:u w:val="single" w:color="auto"/>
          <w:color w:val="auto"/>
        </w:rPr>
        <w:t>Qualifications</w:t>
      </w:r>
      <w:r>
        <w:rPr>
          <w:rFonts w:ascii="Arial" w:cs="Arial" w:eastAsia="Arial" w:hAnsi="Arial"/>
          <w:sz w:val="16"/>
          <w:szCs w:val="16"/>
          <w:color w:val="auto"/>
        </w:rPr>
        <w:t>: Through his senior financial roles at Nielsen and GE, Mr. Jackson brings to the board significant</w:t>
      </w:r>
      <w:r>
        <w:rPr>
          <w:rFonts w:ascii="Arial" w:cs="Arial" w:eastAsia="Arial" w:hAnsi="Arial"/>
          <w:sz w:val="16"/>
          <w:szCs w:val="16"/>
          <w:b w:val="1"/>
          <w:bCs w:val="1"/>
          <w:color w:val="auto"/>
        </w:rPr>
        <w:t xml:space="preserve"> </w:t>
      </w:r>
      <w:r>
        <w:rPr>
          <w:rFonts w:ascii="Arial" w:cs="Arial" w:eastAsia="Arial" w:hAnsi="Arial"/>
          <w:sz w:val="16"/>
          <w:szCs w:val="16"/>
          <w:color w:val="auto"/>
        </w:rPr>
        <w:t>global financial expertise and a strong background in strategic planning. He has spent his professional career in a broad range of financial and strategic planning roles. He is an audit committee financial expert, based on his CFO experience and his training as a certified public accountant.</w:t>
      </w:r>
    </w:p>
    <w:p>
      <w:pPr>
        <w:sectPr>
          <w:pgSz w:w="11900" w:h="16838" w:orient="portrait"/>
          <w:cols w:equalWidth="0" w:num="1">
            <w:col w:w="10220"/>
          </w:cols>
          <w:pgMar w:left="1440" w:top="751" w:right="239" w:bottom="1440" w:gutter="0" w:footer="0" w:header="0"/>
        </w:sectPr>
      </w:pPr>
    </w:p>
    <w:p>
      <w:pPr>
        <w:spacing w:after="0" w:line="200" w:lineRule="exact"/>
        <w:rPr>
          <w:sz w:val="20"/>
          <w:szCs w:val="20"/>
          <w:color w:val="auto"/>
        </w:rPr>
      </w:pPr>
    </w:p>
    <w:p>
      <w:pPr>
        <w:spacing w:after="0" w:line="279" w:lineRule="exact"/>
        <w:rPr>
          <w:sz w:val="20"/>
          <w:szCs w:val="20"/>
          <w:color w:val="auto"/>
        </w:rPr>
      </w:pPr>
    </w:p>
    <w:p>
      <w:pPr>
        <w:ind w:left="9900"/>
        <w:spacing w:after="0"/>
        <w:rPr>
          <w:sz w:val="20"/>
          <w:szCs w:val="20"/>
          <w:color w:val="auto"/>
        </w:rPr>
      </w:pPr>
      <w:r>
        <w:rPr>
          <w:rFonts w:ascii="Arial" w:cs="Arial" w:eastAsia="Arial" w:hAnsi="Arial"/>
          <w:sz w:val="17"/>
          <w:szCs w:val="17"/>
          <w:color w:val="auto"/>
        </w:rPr>
        <w:t>P13</w:t>
      </w:r>
    </w:p>
    <w:p>
      <w:pPr>
        <w:sectPr>
          <w:pgSz w:w="11900" w:h="16838" w:orient="portrait"/>
          <w:cols w:equalWidth="0" w:num="1">
            <w:col w:w="10220"/>
          </w:cols>
          <w:pgMar w:left="1440" w:top="751" w:right="239" w:bottom="1440" w:gutter="0" w:footer="0" w:header="0"/>
          <w:type w:val="continuous"/>
        </w:sectPr>
      </w:pPr>
    </w:p>
    <w:bookmarkStart w:id="17" w:name="page18"/>
    <w:bookmarkEnd w:id="17"/>
    <w:p>
      <w:pPr>
        <w:ind w:left="26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1169670</wp:posOffset>
            </wp:positionH>
            <wp:positionV relativeFrom="page">
              <wp:posOffset>466090</wp:posOffset>
            </wp:positionV>
            <wp:extent cx="5240020" cy="40817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240020" cy="4081780"/>
                    </a:xfrm>
                    <a:prstGeom prst="rect">
                      <a:avLst/>
                    </a:prstGeom>
                    <a:noFill/>
                  </pic:spPr>
                </pic:pic>
              </a:graphicData>
            </a:graphic>
          </wp:anchor>
        </w:drawing>
        <w:t>Ellen R. Marram</w:t>
      </w:r>
    </w:p>
    <w:p>
      <w:pPr>
        <w:spacing w:after="0" w:line="20" w:lineRule="exact"/>
        <w:rPr>
          <w:sz w:val="20"/>
          <w:szCs w:val="20"/>
          <w:color w:val="auto"/>
        </w:rPr>
      </w:pPr>
    </w:p>
    <w:p>
      <w:pPr>
        <w:ind w:left="2600"/>
        <w:spacing w:after="0"/>
        <w:rPr>
          <w:sz w:val="20"/>
          <w:szCs w:val="20"/>
          <w:color w:val="auto"/>
        </w:rPr>
      </w:pPr>
      <w:r>
        <w:rPr>
          <w:rFonts w:ascii="Arial" w:cs="Arial" w:eastAsia="Arial" w:hAnsi="Arial"/>
          <w:sz w:val="16"/>
          <w:szCs w:val="16"/>
          <w:color w:val="auto"/>
        </w:rPr>
        <w:t>Age: 71, Director since 2002, Lead Independent Director since 2012</w:t>
      </w:r>
    </w:p>
    <w:p>
      <w:pPr>
        <w:spacing w:after="0" w:line="5" w:lineRule="exact"/>
        <w:rPr>
          <w:sz w:val="20"/>
          <w:szCs w:val="20"/>
          <w:color w:val="auto"/>
        </w:rPr>
      </w:pPr>
    </w:p>
    <w:p>
      <w:pPr>
        <w:ind w:left="2600"/>
        <w:spacing w:after="0"/>
        <w:rPr>
          <w:sz w:val="20"/>
          <w:szCs w:val="20"/>
          <w:color w:val="auto"/>
        </w:rPr>
      </w:pPr>
      <w:r>
        <w:rPr>
          <w:rFonts w:ascii="Arial" w:cs="Arial" w:eastAsia="Arial" w:hAnsi="Arial"/>
          <w:sz w:val="16"/>
          <w:szCs w:val="16"/>
          <w:b w:val="1"/>
          <w:bCs w:val="1"/>
          <w:color w:val="auto"/>
        </w:rPr>
        <w:t>Board Committees</w:t>
      </w:r>
      <w:r>
        <w:rPr>
          <w:rFonts w:ascii="Arial" w:cs="Arial" w:eastAsia="Arial" w:hAnsi="Arial"/>
          <w:sz w:val="16"/>
          <w:szCs w:val="16"/>
          <w:color w:val="auto"/>
        </w:rPr>
        <w:t>: Compensation; Directors and Corporate Governance (chair)</w:t>
      </w:r>
    </w:p>
    <w:p>
      <w:pPr>
        <w:spacing w:after="0" w:line="269" w:lineRule="exact"/>
        <w:rPr>
          <w:sz w:val="20"/>
          <w:szCs w:val="20"/>
          <w:color w:val="auto"/>
        </w:rPr>
      </w:pPr>
    </w:p>
    <w:p>
      <w:pPr>
        <w:ind w:left="2600"/>
        <w:spacing w:after="0"/>
        <w:rPr>
          <w:sz w:val="20"/>
          <w:szCs w:val="20"/>
          <w:color w:val="auto"/>
        </w:rPr>
      </w:pPr>
      <w:r>
        <w:rPr>
          <w:rFonts w:ascii="Arial" w:cs="Arial" w:eastAsia="Arial" w:hAnsi="Arial"/>
          <w:sz w:val="16"/>
          <w:szCs w:val="16"/>
          <w:b w:val="1"/>
          <w:bCs w:val="1"/>
          <w:i w:val="1"/>
          <w:iCs w:val="1"/>
          <w:color w:val="auto"/>
        </w:rPr>
        <w:t>Public Board</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Ford Motor Company</w:t>
      </w:r>
    </w:p>
    <w:p>
      <w:pPr>
        <w:spacing w:after="0" w:line="25" w:lineRule="exact"/>
        <w:rPr>
          <w:sz w:val="20"/>
          <w:szCs w:val="20"/>
          <w:color w:val="auto"/>
        </w:rPr>
      </w:pPr>
    </w:p>
    <w:p>
      <w:pPr>
        <w:ind w:left="2600"/>
        <w:spacing w:after="0"/>
        <w:rPr>
          <w:sz w:val="20"/>
          <w:szCs w:val="20"/>
          <w:color w:val="auto"/>
        </w:rPr>
      </w:pPr>
      <w:r>
        <w:rPr>
          <w:rFonts w:ascii="Arial" w:cs="Arial" w:eastAsia="Arial" w:hAnsi="Arial"/>
          <w:sz w:val="16"/>
          <w:szCs w:val="16"/>
          <w:b w:val="1"/>
          <w:bCs w:val="1"/>
          <w:i w:val="1"/>
          <w:iCs w:val="1"/>
          <w:color w:val="auto"/>
        </w:rPr>
        <w:t>Prior Public Boards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Cadbury plc; The New York Times Company</w:t>
      </w:r>
    </w:p>
    <w:p>
      <w:pPr>
        <w:spacing w:after="0" w:line="5" w:lineRule="exact"/>
        <w:rPr>
          <w:sz w:val="20"/>
          <w:szCs w:val="20"/>
          <w:color w:val="auto"/>
        </w:rPr>
      </w:pPr>
    </w:p>
    <w:p>
      <w:pPr>
        <w:ind w:left="2600"/>
        <w:spacing w:after="0"/>
        <w:rPr>
          <w:sz w:val="20"/>
          <w:szCs w:val="20"/>
          <w:color w:val="auto"/>
        </w:rPr>
      </w:pPr>
      <w:r>
        <w:rPr>
          <w:rFonts w:ascii="Arial" w:cs="Arial" w:eastAsia="Arial" w:hAnsi="Arial"/>
          <w:sz w:val="16"/>
          <w:szCs w:val="16"/>
          <w:b w:val="1"/>
          <w:bCs w:val="1"/>
          <w:i w:val="1"/>
          <w:iCs w:val="1"/>
          <w:color w:val="auto"/>
        </w:rPr>
        <w:t>Private Board</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Newman's Own, Inc.</w:t>
      </w:r>
    </w:p>
    <w:p>
      <w:pPr>
        <w:spacing w:after="0" w:line="5" w:lineRule="exact"/>
        <w:rPr>
          <w:sz w:val="20"/>
          <w:szCs w:val="20"/>
          <w:color w:val="auto"/>
        </w:rPr>
      </w:pPr>
    </w:p>
    <w:p>
      <w:pPr>
        <w:ind w:left="2600"/>
        <w:spacing w:after="0"/>
        <w:rPr>
          <w:sz w:val="20"/>
          <w:szCs w:val="20"/>
          <w:color w:val="auto"/>
        </w:rPr>
      </w:pPr>
      <w:r>
        <w:rPr>
          <w:rFonts w:ascii="Arial" w:cs="Arial" w:eastAsia="Arial" w:hAnsi="Arial"/>
          <w:sz w:val="16"/>
          <w:szCs w:val="16"/>
          <w:b w:val="1"/>
          <w:bCs w:val="1"/>
          <w:i w:val="1"/>
          <w:iCs w:val="1"/>
          <w:color w:val="auto"/>
        </w:rPr>
        <w:t>Non-profit Boards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Wellesley College; New York-Presbyterian Hospital; Lincoln</w:t>
      </w:r>
    </w:p>
    <w:p>
      <w:pPr>
        <w:spacing w:after="0" w:line="5" w:lineRule="exact"/>
        <w:rPr>
          <w:sz w:val="20"/>
          <w:szCs w:val="20"/>
          <w:color w:val="auto"/>
        </w:rPr>
      </w:pPr>
    </w:p>
    <w:p>
      <w:pPr>
        <w:ind w:left="2600"/>
        <w:spacing w:after="0"/>
        <w:rPr>
          <w:sz w:val="20"/>
          <w:szCs w:val="20"/>
          <w:color w:val="auto"/>
        </w:rPr>
      </w:pPr>
      <w:r>
        <w:rPr>
          <w:rFonts w:ascii="Arial" w:cs="Arial" w:eastAsia="Arial" w:hAnsi="Arial"/>
          <w:sz w:val="16"/>
          <w:szCs w:val="16"/>
          <w:color w:val="auto"/>
        </w:rPr>
        <w:t>Center Theater; and Newman's Own Foundation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40"/>
        <w:spacing w:after="0"/>
        <w:tabs>
          <w:tab w:leader="none" w:pos="2580" w:val="left"/>
        </w:tabs>
        <w:rPr>
          <w:sz w:val="20"/>
          <w:szCs w:val="20"/>
          <w:color w:val="auto"/>
        </w:rPr>
      </w:pPr>
      <w:r>
        <w:rPr>
          <w:rFonts w:ascii="Arial" w:cs="Arial" w:eastAsia="Arial" w:hAnsi="Arial"/>
          <w:sz w:val="16"/>
          <w:szCs w:val="16"/>
          <w:b w:val="1"/>
          <w:bCs w:val="1"/>
          <w:i w:val="1"/>
          <w:iCs w:val="1"/>
          <w:color w:val="auto"/>
        </w:rPr>
        <w:t>Career Highlights</w:t>
      </w:r>
      <w:r>
        <w:rPr>
          <w:sz w:val="20"/>
          <w:szCs w:val="20"/>
          <w:color w:val="auto"/>
        </w:rPr>
        <w:tab/>
      </w:r>
      <w:r>
        <w:rPr>
          <w:rFonts w:ascii="Arial" w:cs="Arial" w:eastAsia="Arial" w:hAnsi="Arial"/>
          <w:sz w:val="16"/>
          <w:szCs w:val="16"/>
          <w:b w:val="1"/>
          <w:bCs w:val="1"/>
          <w:color w:val="auto"/>
        </w:rPr>
        <w:t>The Barnegat Group LLC</w:t>
      </w:r>
      <w:r>
        <w:rPr>
          <w:rFonts w:ascii="Arial" w:cs="Arial" w:eastAsia="Arial" w:hAnsi="Arial"/>
          <w:sz w:val="16"/>
          <w:szCs w:val="16"/>
          <w:color w:val="auto"/>
        </w:rPr>
        <w:t>, provider of business advisory services</w:t>
      </w:r>
    </w:p>
    <w:p>
      <w:pPr>
        <w:spacing w:after="0" w:line="106" w:lineRule="exact"/>
        <w:rPr>
          <w:sz w:val="20"/>
          <w:szCs w:val="20"/>
          <w:color w:val="auto"/>
        </w:rPr>
      </w:pPr>
    </w:p>
    <w:p>
      <w:pPr>
        <w:ind w:left="2780"/>
        <w:spacing w:after="0"/>
        <w:rPr>
          <w:sz w:val="20"/>
          <w:szCs w:val="20"/>
          <w:color w:val="auto"/>
        </w:rPr>
      </w:pPr>
      <w:r>
        <w:rPr>
          <w:rFonts w:ascii="Arial" w:cs="Arial" w:eastAsia="Arial" w:hAnsi="Arial"/>
          <w:sz w:val="16"/>
          <w:szCs w:val="16"/>
          <w:color w:val="auto"/>
        </w:rPr>
        <w:t>• President (2006 - present)</w:t>
      </w:r>
    </w:p>
    <w:p>
      <w:pPr>
        <w:spacing w:after="0" w:line="66" w:lineRule="exact"/>
        <w:rPr>
          <w:sz w:val="20"/>
          <w:szCs w:val="20"/>
          <w:color w:val="auto"/>
        </w:rPr>
      </w:pPr>
    </w:p>
    <w:p>
      <w:pPr>
        <w:ind w:left="2600"/>
        <w:spacing w:after="0"/>
        <w:rPr>
          <w:sz w:val="20"/>
          <w:szCs w:val="20"/>
          <w:color w:val="auto"/>
        </w:rPr>
      </w:pPr>
      <w:r>
        <w:rPr>
          <w:rFonts w:ascii="Arial" w:cs="Arial" w:eastAsia="Arial" w:hAnsi="Arial"/>
          <w:sz w:val="16"/>
          <w:szCs w:val="16"/>
          <w:b w:val="1"/>
          <w:bCs w:val="1"/>
          <w:color w:val="auto"/>
        </w:rPr>
        <w:t xml:space="preserve">North Castle Partners, LLC, </w:t>
      </w:r>
      <w:r>
        <w:rPr>
          <w:rFonts w:ascii="Arial" w:cs="Arial" w:eastAsia="Arial" w:hAnsi="Arial"/>
          <w:sz w:val="16"/>
          <w:szCs w:val="16"/>
          <w:color w:val="auto"/>
        </w:rPr>
        <w:t>private equity firm</w:t>
      </w:r>
    </w:p>
    <w:p>
      <w:pPr>
        <w:spacing w:after="0" w:line="106" w:lineRule="exact"/>
        <w:rPr>
          <w:sz w:val="20"/>
          <w:szCs w:val="20"/>
          <w:color w:val="auto"/>
        </w:rPr>
      </w:pPr>
    </w:p>
    <w:p>
      <w:pPr>
        <w:ind w:left="2880" w:hanging="108"/>
        <w:spacing w:after="0"/>
        <w:tabs>
          <w:tab w:leader="none" w:pos="28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Managing Director (2000 - 2006)</w:t>
      </w:r>
    </w:p>
    <w:p>
      <w:pPr>
        <w:spacing w:after="0" w:line="66" w:lineRule="exact"/>
        <w:rPr>
          <w:rFonts w:ascii="Arial" w:cs="Arial" w:eastAsia="Arial" w:hAnsi="Arial"/>
          <w:sz w:val="16"/>
          <w:szCs w:val="16"/>
          <w:color w:val="auto"/>
        </w:rPr>
      </w:pPr>
    </w:p>
    <w:p>
      <w:pPr>
        <w:ind w:left="2600"/>
        <w:spacing w:after="0"/>
        <w:rPr>
          <w:rFonts w:ascii="Arial" w:cs="Arial" w:eastAsia="Arial" w:hAnsi="Arial"/>
          <w:sz w:val="16"/>
          <w:szCs w:val="16"/>
          <w:color w:val="auto"/>
        </w:rPr>
      </w:pPr>
      <w:r>
        <w:rPr>
          <w:rFonts w:ascii="Arial" w:cs="Arial" w:eastAsia="Arial" w:hAnsi="Arial"/>
          <w:sz w:val="16"/>
          <w:szCs w:val="16"/>
          <w:b w:val="1"/>
          <w:bCs w:val="1"/>
          <w:color w:val="auto"/>
        </w:rPr>
        <w:t>Tropicana Beverage Group</w:t>
      </w:r>
    </w:p>
    <w:p>
      <w:pPr>
        <w:spacing w:after="0" w:line="106" w:lineRule="exact"/>
        <w:rPr>
          <w:rFonts w:ascii="Arial" w:cs="Arial" w:eastAsia="Arial" w:hAnsi="Arial"/>
          <w:sz w:val="16"/>
          <w:szCs w:val="16"/>
          <w:color w:val="auto"/>
        </w:rPr>
      </w:pPr>
    </w:p>
    <w:p>
      <w:pPr>
        <w:ind w:left="2600" w:right="3640" w:firstLine="172"/>
        <w:spacing w:after="0" w:line="352" w:lineRule="auto"/>
        <w:tabs>
          <w:tab w:leader="none" w:pos="2864" w:val="left"/>
        </w:tabs>
        <w:numPr>
          <w:ilvl w:val="0"/>
          <w:numId w:val="23"/>
        </w:numPr>
        <w:rPr>
          <w:rFonts w:ascii="Arial" w:cs="Arial" w:eastAsia="Arial" w:hAnsi="Arial"/>
          <w:sz w:val="16"/>
          <w:szCs w:val="16"/>
          <w:color w:val="auto"/>
        </w:rPr>
      </w:pPr>
      <w:r>
        <w:rPr>
          <w:rFonts w:ascii="Arial" w:cs="Arial" w:eastAsia="Arial" w:hAnsi="Arial"/>
          <w:sz w:val="16"/>
          <w:szCs w:val="16"/>
          <w:color w:val="auto"/>
        </w:rPr>
        <w:t xml:space="preserve">President and Chief Executive Officer (1993 - 1998) </w:t>
      </w:r>
      <w:r>
        <w:rPr>
          <w:rFonts w:ascii="Arial" w:cs="Arial" w:eastAsia="Arial" w:hAnsi="Arial"/>
          <w:sz w:val="16"/>
          <w:szCs w:val="16"/>
          <w:b w:val="1"/>
          <w:bCs w:val="1"/>
          <w:color w:val="auto"/>
        </w:rPr>
        <w:t>Nabisco Biscuit Company</w:t>
      </w:r>
      <w:r>
        <w:rPr>
          <w:rFonts w:ascii="Arial" w:cs="Arial" w:eastAsia="Arial" w:hAnsi="Arial"/>
          <w:sz w:val="16"/>
          <w:szCs w:val="16"/>
          <w:color w:val="auto"/>
        </w:rPr>
        <w:t>, a unit of Nabisco, Inc.</w:t>
      </w:r>
    </w:p>
    <w:p>
      <w:pPr>
        <w:ind w:left="2880" w:hanging="108"/>
        <w:spacing w:after="0"/>
        <w:tabs>
          <w:tab w:leader="none" w:pos="28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President and Chief Executive Officer (1988 - 1993)</w:t>
      </w:r>
    </w:p>
    <w:p>
      <w:pPr>
        <w:spacing w:after="0" w:line="336" w:lineRule="exact"/>
        <w:rPr>
          <w:sz w:val="20"/>
          <w:szCs w:val="20"/>
          <w:color w:val="auto"/>
        </w:rPr>
      </w:pPr>
    </w:p>
    <w:p>
      <w:pPr>
        <w:ind w:left="440" w:right="1700"/>
        <w:spacing w:after="0" w:line="259" w:lineRule="auto"/>
        <w:rPr>
          <w:sz w:val="20"/>
          <w:szCs w:val="20"/>
          <w:color w:val="auto"/>
        </w:rPr>
      </w:pPr>
      <w:r>
        <w:rPr>
          <w:rFonts w:ascii="Arial" w:cs="Arial" w:eastAsia="Arial" w:hAnsi="Arial"/>
          <w:sz w:val="16"/>
          <w:szCs w:val="16"/>
          <w:b w:val="1"/>
          <w:bCs w:val="1"/>
          <w:u w:val="single" w:color="auto"/>
          <w:color w:val="auto"/>
        </w:rPr>
        <w:t>Qualifications</w:t>
      </w:r>
      <w:r>
        <w:rPr>
          <w:rFonts w:ascii="Arial" w:cs="Arial" w:eastAsia="Arial" w:hAnsi="Arial"/>
          <w:sz w:val="16"/>
          <w:szCs w:val="16"/>
          <w:color w:val="auto"/>
        </w:rPr>
        <w:t>: Ms. Marram is a former CEO with a strong marketing and consumer-brand background. Through</w:t>
      </w:r>
      <w:r>
        <w:rPr>
          <w:rFonts w:ascii="Arial" w:cs="Arial" w:eastAsia="Arial" w:hAnsi="Arial"/>
          <w:sz w:val="16"/>
          <w:szCs w:val="16"/>
          <w:b w:val="1"/>
          <w:bCs w:val="1"/>
          <w:color w:val="auto"/>
        </w:rPr>
        <w:t xml:space="preserve"> </w:t>
      </w:r>
      <w:r>
        <w:rPr>
          <w:rFonts w:ascii="Arial" w:cs="Arial" w:eastAsia="Arial" w:hAnsi="Arial"/>
          <w:sz w:val="16"/>
          <w:szCs w:val="16"/>
          <w:color w:val="auto"/>
        </w:rPr>
        <w:t>her non-profit and private company activities, she has a special focus and expertise in wellness and consumer health. Ms. Marram has extensive corporate governance experience through service on other public company boards in a variety of industries.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255270</wp:posOffset>
            </wp:positionH>
            <wp:positionV relativeFrom="paragraph">
              <wp:posOffset>356235</wp:posOffset>
            </wp:positionV>
            <wp:extent cx="5240020" cy="42106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240020" cy="4210685"/>
                    </a:xfrm>
                    <a:prstGeom prst="rect">
                      <a:avLst/>
                    </a:prstGeom>
                    <a:noFill/>
                  </pic:spPr>
                </pic:pic>
              </a:graphicData>
            </a:graphic>
          </wp:anchor>
        </w:drawing>
      </w:r>
    </w:p>
    <w:p>
      <w:pPr>
        <w:spacing w:after="0" w:line="200" w:lineRule="exact"/>
        <w:rPr>
          <w:sz w:val="20"/>
          <w:szCs w:val="20"/>
          <w:color w:val="auto"/>
        </w:rPr>
      </w:pPr>
    </w:p>
    <w:p>
      <w:pPr>
        <w:spacing w:after="0" w:line="359"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Jackson P. Tai</w:t>
      </w:r>
    </w:p>
    <w:p>
      <w:pPr>
        <w:spacing w:after="0" w:line="20" w:lineRule="exact"/>
        <w:rPr>
          <w:sz w:val="20"/>
          <w:szCs w:val="20"/>
          <w:color w:val="auto"/>
        </w:rPr>
      </w:pPr>
    </w:p>
    <w:p>
      <w:pPr>
        <w:ind w:left="2620"/>
        <w:spacing w:after="0"/>
        <w:rPr>
          <w:sz w:val="20"/>
          <w:szCs w:val="20"/>
          <w:color w:val="auto"/>
        </w:rPr>
      </w:pPr>
      <w:r>
        <w:rPr>
          <w:rFonts w:ascii="Arial" w:cs="Arial" w:eastAsia="Arial" w:hAnsi="Arial"/>
          <w:sz w:val="16"/>
          <w:szCs w:val="16"/>
          <w:color w:val="auto"/>
        </w:rPr>
        <w:t>Age: 67, Director since 2013</w:t>
      </w:r>
    </w:p>
    <w:p>
      <w:pPr>
        <w:spacing w:after="0" w:line="5" w:lineRule="exact"/>
        <w:rPr>
          <w:sz w:val="20"/>
          <w:szCs w:val="20"/>
          <w:color w:val="auto"/>
        </w:rPr>
      </w:pPr>
    </w:p>
    <w:p>
      <w:pPr>
        <w:ind w:left="2620"/>
        <w:spacing w:after="0"/>
        <w:rPr>
          <w:sz w:val="20"/>
          <w:szCs w:val="20"/>
          <w:color w:val="auto"/>
        </w:rPr>
      </w:pPr>
      <w:r>
        <w:rPr>
          <w:rFonts w:ascii="Arial" w:cs="Arial" w:eastAsia="Arial" w:hAnsi="Arial"/>
          <w:sz w:val="16"/>
          <w:szCs w:val="16"/>
          <w:b w:val="1"/>
          <w:bCs w:val="1"/>
          <w:color w:val="auto"/>
        </w:rPr>
        <w:t>Board Committees</w:t>
      </w:r>
      <w:r>
        <w:rPr>
          <w:rFonts w:ascii="Arial" w:cs="Arial" w:eastAsia="Arial" w:hAnsi="Arial"/>
          <w:sz w:val="16"/>
          <w:szCs w:val="16"/>
          <w:color w:val="auto"/>
        </w:rPr>
        <w:t>: Audit; Finance</w:t>
      </w:r>
    </w:p>
    <w:p>
      <w:pPr>
        <w:spacing w:after="0" w:line="269" w:lineRule="exact"/>
        <w:rPr>
          <w:sz w:val="20"/>
          <w:szCs w:val="20"/>
          <w:color w:val="auto"/>
        </w:rPr>
      </w:pPr>
    </w:p>
    <w:p>
      <w:pPr>
        <w:ind w:left="2620" w:right="1780"/>
        <w:spacing w:after="0" w:line="259" w:lineRule="auto"/>
        <w:rPr>
          <w:sz w:val="20"/>
          <w:szCs w:val="20"/>
          <w:color w:val="auto"/>
        </w:rPr>
      </w:pPr>
      <w:r>
        <w:rPr>
          <w:rFonts w:ascii="Arial" w:cs="Arial" w:eastAsia="Arial" w:hAnsi="Arial"/>
          <w:sz w:val="16"/>
          <w:szCs w:val="16"/>
          <w:b w:val="1"/>
          <w:bCs w:val="1"/>
          <w:i w:val="1"/>
          <w:iCs w:val="1"/>
          <w:color w:val="auto"/>
        </w:rPr>
        <w:t xml:space="preserve">Public Boards: </w:t>
      </w:r>
      <w:r>
        <w:rPr>
          <w:rFonts w:ascii="Arial" w:cs="Arial" w:eastAsia="Arial" w:hAnsi="Arial"/>
          <w:sz w:val="16"/>
          <w:szCs w:val="16"/>
          <w:color w:val="auto"/>
        </w:rPr>
        <w:t>MasterCard Incorporated; Royal Philips NV; and HSBC Holdings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plc</w:t>
      </w:r>
    </w:p>
    <w:p>
      <w:pPr>
        <w:spacing w:after="0" w:line="1" w:lineRule="exact"/>
        <w:rPr>
          <w:sz w:val="20"/>
          <w:szCs w:val="20"/>
          <w:color w:val="auto"/>
        </w:rPr>
      </w:pPr>
    </w:p>
    <w:p>
      <w:pPr>
        <w:ind w:left="2620" w:right="1720"/>
        <w:spacing w:after="0" w:line="246" w:lineRule="auto"/>
        <w:rPr>
          <w:sz w:val="20"/>
          <w:szCs w:val="20"/>
          <w:color w:val="auto"/>
        </w:rPr>
      </w:pPr>
      <w:r>
        <w:rPr>
          <w:rFonts w:ascii="Arial" w:cs="Arial" w:eastAsia="Arial" w:hAnsi="Arial"/>
          <w:sz w:val="16"/>
          <w:szCs w:val="16"/>
          <w:b w:val="1"/>
          <w:bCs w:val="1"/>
          <w:i w:val="1"/>
          <w:iCs w:val="1"/>
          <w:color w:val="auto"/>
        </w:rPr>
        <w:t xml:space="preserve">Prior Public Boards: </w:t>
      </w:r>
      <w:r>
        <w:rPr>
          <w:rFonts w:ascii="Arial" w:cs="Arial" w:eastAsia="Arial" w:hAnsi="Arial"/>
          <w:sz w:val="16"/>
          <w:szCs w:val="16"/>
          <w:color w:val="auto"/>
        </w:rPr>
        <w:t>The Bank of China Limited; Singapore Airlines; NYSE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Euronext; ING Groep NV; CapitaLand (Singapore); DBS Group Holdings and DBS Bank</w:t>
      </w:r>
    </w:p>
    <w:p>
      <w:pPr>
        <w:spacing w:after="0" w:line="1" w:lineRule="exact"/>
        <w:rPr>
          <w:sz w:val="20"/>
          <w:szCs w:val="20"/>
          <w:color w:val="auto"/>
        </w:rPr>
      </w:pPr>
    </w:p>
    <w:p>
      <w:pPr>
        <w:ind w:left="2620"/>
        <w:spacing w:after="0"/>
        <w:rPr>
          <w:sz w:val="20"/>
          <w:szCs w:val="20"/>
          <w:color w:val="auto"/>
        </w:rPr>
      </w:pPr>
      <w:r>
        <w:rPr>
          <w:rFonts w:ascii="Arial" w:cs="Arial" w:eastAsia="Arial" w:hAnsi="Arial"/>
          <w:sz w:val="16"/>
          <w:szCs w:val="16"/>
          <w:b w:val="1"/>
          <w:bCs w:val="1"/>
          <w:i w:val="1"/>
          <w:iCs w:val="1"/>
          <w:color w:val="auto"/>
        </w:rPr>
        <w:t xml:space="preserve">Private Board: </w:t>
      </w:r>
      <w:r>
        <w:rPr>
          <w:rFonts w:ascii="Arial" w:cs="Arial" w:eastAsia="Arial" w:hAnsi="Arial"/>
          <w:sz w:val="16"/>
          <w:szCs w:val="16"/>
          <w:color w:val="auto"/>
        </w:rPr>
        <w:t>Canada Pension Plan Investment Board</w:t>
      </w:r>
    </w:p>
    <w:p>
      <w:pPr>
        <w:spacing w:after="0" w:line="5" w:lineRule="exact"/>
        <w:rPr>
          <w:sz w:val="20"/>
          <w:szCs w:val="20"/>
          <w:color w:val="auto"/>
        </w:rPr>
      </w:pPr>
    </w:p>
    <w:p>
      <w:pPr>
        <w:ind w:left="2620"/>
        <w:spacing w:after="0"/>
        <w:rPr>
          <w:sz w:val="20"/>
          <w:szCs w:val="20"/>
          <w:color w:val="auto"/>
        </w:rPr>
      </w:pPr>
      <w:r>
        <w:rPr>
          <w:rFonts w:ascii="Arial" w:cs="Arial" w:eastAsia="Arial" w:hAnsi="Arial"/>
          <w:sz w:val="16"/>
          <w:szCs w:val="16"/>
          <w:b w:val="1"/>
          <w:bCs w:val="1"/>
          <w:i w:val="1"/>
          <w:iCs w:val="1"/>
          <w:color w:val="auto"/>
        </w:rPr>
        <w:t>Non-profit Boards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Metropolitan Opera; Rensselaer Polytechnic Institute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40"/>
        <w:spacing w:after="0"/>
        <w:tabs>
          <w:tab w:leader="none" w:pos="2600" w:val="left"/>
        </w:tabs>
        <w:rPr>
          <w:sz w:val="20"/>
          <w:szCs w:val="20"/>
          <w:color w:val="auto"/>
        </w:rPr>
      </w:pPr>
      <w:r>
        <w:rPr>
          <w:rFonts w:ascii="Arial" w:cs="Arial" w:eastAsia="Arial" w:hAnsi="Arial"/>
          <w:sz w:val="16"/>
          <w:szCs w:val="16"/>
          <w:b w:val="1"/>
          <w:bCs w:val="1"/>
          <w:i w:val="1"/>
          <w:iCs w:val="1"/>
          <w:color w:val="auto"/>
        </w:rPr>
        <w:t>Career Highlights</w:t>
      </w:r>
      <w:r>
        <w:rPr>
          <w:sz w:val="20"/>
          <w:szCs w:val="20"/>
          <w:color w:val="auto"/>
        </w:rPr>
        <w:tab/>
      </w:r>
      <w:r>
        <w:rPr>
          <w:rFonts w:ascii="Arial" w:cs="Arial" w:eastAsia="Arial" w:hAnsi="Arial"/>
          <w:sz w:val="16"/>
          <w:szCs w:val="16"/>
          <w:b w:val="1"/>
          <w:bCs w:val="1"/>
          <w:color w:val="auto"/>
        </w:rPr>
        <w:t>DBS Group Holdings and DBS Bank (formerly the Development Bank of</w:t>
      </w:r>
    </w:p>
    <w:p>
      <w:pPr>
        <w:spacing w:after="0" w:line="25" w:lineRule="exact"/>
        <w:rPr>
          <w:sz w:val="20"/>
          <w:szCs w:val="20"/>
          <w:color w:val="auto"/>
        </w:rPr>
      </w:pPr>
    </w:p>
    <w:p>
      <w:pPr>
        <w:ind w:left="2620"/>
        <w:spacing w:after="0"/>
        <w:rPr>
          <w:sz w:val="20"/>
          <w:szCs w:val="20"/>
          <w:color w:val="auto"/>
        </w:rPr>
      </w:pPr>
      <w:r>
        <w:rPr>
          <w:rFonts w:ascii="Arial" w:cs="Arial" w:eastAsia="Arial" w:hAnsi="Arial"/>
          <w:sz w:val="16"/>
          <w:szCs w:val="16"/>
          <w:b w:val="1"/>
          <w:bCs w:val="1"/>
          <w:color w:val="auto"/>
        </w:rPr>
        <w:t>Singapore)</w:t>
      </w:r>
      <w:r>
        <w:rPr>
          <w:rFonts w:ascii="Arial" w:cs="Arial" w:eastAsia="Arial" w:hAnsi="Arial"/>
          <w:sz w:val="16"/>
          <w:szCs w:val="16"/>
          <w:color w:val="auto"/>
        </w:rPr>
        <w:t>, one of the largest financial services groups in Asia</w:t>
      </w:r>
    </w:p>
    <w:p>
      <w:pPr>
        <w:spacing w:after="0" w:line="248" w:lineRule="exact"/>
        <w:rPr>
          <w:sz w:val="20"/>
          <w:szCs w:val="20"/>
          <w:color w:val="auto"/>
        </w:rPr>
      </w:pPr>
    </w:p>
    <w:p>
      <w:pPr>
        <w:ind w:left="2780"/>
        <w:spacing w:after="0"/>
        <w:rPr>
          <w:sz w:val="20"/>
          <w:szCs w:val="20"/>
          <w:color w:val="auto"/>
        </w:rPr>
      </w:pPr>
      <w:r>
        <w:rPr>
          <w:rFonts w:ascii="Arial" w:cs="Arial" w:eastAsia="Arial" w:hAnsi="Arial"/>
          <w:sz w:val="16"/>
          <w:szCs w:val="16"/>
          <w:color w:val="auto"/>
        </w:rPr>
        <w:t>• Vice Chairman and Chief Executive Officer (2002 - 2007)</w:t>
      </w:r>
    </w:p>
    <w:p>
      <w:pPr>
        <w:spacing w:after="0" w:line="86" w:lineRule="exact"/>
        <w:rPr>
          <w:sz w:val="20"/>
          <w:szCs w:val="20"/>
          <w:color w:val="auto"/>
        </w:rPr>
      </w:pPr>
    </w:p>
    <w:p>
      <w:pPr>
        <w:ind w:left="2780"/>
        <w:spacing w:after="0"/>
        <w:rPr>
          <w:sz w:val="20"/>
          <w:szCs w:val="20"/>
          <w:color w:val="auto"/>
        </w:rPr>
      </w:pPr>
      <w:r>
        <w:rPr>
          <w:rFonts w:ascii="Arial" w:cs="Arial" w:eastAsia="Arial" w:hAnsi="Arial"/>
          <w:sz w:val="16"/>
          <w:szCs w:val="16"/>
          <w:color w:val="auto"/>
        </w:rPr>
        <w:t>• President and Chief Operating Officer (2001 - 2002)</w:t>
      </w:r>
    </w:p>
    <w:p>
      <w:pPr>
        <w:spacing w:after="0" w:line="66" w:lineRule="exact"/>
        <w:rPr>
          <w:sz w:val="20"/>
          <w:szCs w:val="20"/>
          <w:color w:val="auto"/>
        </w:rPr>
      </w:pPr>
    </w:p>
    <w:p>
      <w:pPr>
        <w:ind w:left="2620"/>
        <w:spacing w:after="0"/>
        <w:rPr>
          <w:sz w:val="20"/>
          <w:szCs w:val="20"/>
          <w:color w:val="auto"/>
        </w:rPr>
      </w:pPr>
      <w:r>
        <w:rPr>
          <w:rFonts w:ascii="Arial" w:cs="Arial" w:eastAsia="Arial" w:hAnsi="Arial"/>
          <w:sz w:val="16"/>
          <w:szCs w:val="16"/>
          <w:b w:val="1"/>
          <w:bCs w:val="1"/>
          <w:color w:val="auto"/>
        </w:rPr>
        <w:t>J.P. Morgan &amp; Co. Incorporated</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a leading global financial institution</w:t>
      </w:r>
    </w:p>
    <w:p>
      <w:pPr>
        <w:spacing w:after="0" w:line="268" w:lineRule="exact"/>
        <w:rPr>
          <w:sz w:val="20"/>
          <w:szCs w:val="20"/>
          <w:color w:val="auto"/>
        </w:rPr>
      </w:pPr>
    </w:p>
    <w:p>
      <w:pPr>
        <w:ind w:left="2780"/>
        <w:spacing w:after="0"/>
        <w:rPr>
          <w:sz w:val="20"/>
          <w:szCs w:val="20"/>
          <w:color w:val="auto"/>
        </w:rPr>
      </w:pPr>
      <w:r>
        <w:rPr>
          <w:rFonts w:ascii="Arial" w:cs="Arial" w:eastAsia="Arial" w:hAnsi="Arial"/>
          <w:sz w:val="16"/>
          <w:szCs w:val="16"/>
          <w:color w:val="auto"/>
        </w:rPr>
        <w:t>• 25-year career in investment banking, including senior management</w:t>
      </w:r>
    </w:p>
    <w:p>
      <w:pPr>
        <w:spacing w:after="0" w:line="5" w:lineRule="exact"/>
        <w:rPr>
          <w:sz w:val="20"/>
          <w:szCs w:val="20"/>
          <w:color w:val="auto"/>
        </w:rPr>
      </w:pPr>
    </w:p>
    <w:p>
      <w:pPr>
        <w:ind w:left="2940"/>
        <w:spacing w:after="0"/>
        <w:rPr>
          <w:sz w:val="20"/>
          <w:szCs w:val="20"/>
          <w:color w:val="auto"/>
        </w:rPr>
      </w:pPr>
      <w:r>
        <w:rPr>
          <w:rFonts w:ascii="Arial" w:cs="Arial" w:eastAsia="Arial" w:hAnsi="Arial"/>
          <w:sz w:val="16"/>
          <w:szCs w:val="16"/>
          <w:color w:val="auto"/>
        </w:rPr>
        <w:t>responsibilities in New York, Tokyo, and San Francisco</w:t>
      </w:r>
    </w:p>
    <w:p>
      <w:pPr>
        <w:spacing w:after="0" w:line="309" w:lineRule="exact"/>
        <w:rPr>
          <w:sz w:val="20"/>
          <w:szCs w:val="20"/>
          <w:color w:val="auto"/>
        </w:rPr>
      </w:pPr>
    </w:p>
    <w:p>
      <w:pPr>
        <w:ind w:left="440"/>
        <w:spacing w:after="0"/>
        <w:rPr>
          <w:sz w:val="20"/>
          <w:szCs w:val="20"/>
          <w:color w:val="auto"/>
        </w:rPr>
      </w:pPr>
      <w:r>
        <w:rPr>
          <w:rFonts w:ascii="Arial" w:cs="Arial" w:eastAsia="Arial" w:hAnsi="Arial"/>
          <w:sz w:val="16"/>
          <w:szCs w:val="16"/>
          <w:b w:val="1"/>
          <w:bCs w:val="1"/>
          <w:u w:val="single" w:color="auto"/>
          <w:color w:val="auto"/>
        </w:rPr>
        <w:t>Qualifications</w:t>
      </w:r>
      <w:r>
        <w:rPr>
          <w:rFonts w:ascii="Arial" w:cs="Arial" w:eastAsia="Arial" w:hAnsi="Arial"/>
          <w:sz w:val="16"/>
          <w:szCs w:val="16"/>
          <w:color w:val="auto"/>
        </w:rPr>
        <w:t>: Mr. Tai is a former CEO with extensive experience in international business and finance, and is an</w:t>
      </w:r>
    </w:p>
    <w:p>
      <w:pPr>
        <w:spacing w:after="0" w:line="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audit committee financial expert. He has deep expertise in the Asia-Pacific region, a key growth market for Lilly.</w:t>
      </w:r>
    </w:p>
    <w:p>
      <w:pPr>
        <w:spacing w:after="0" w:line="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He also has broad corporate governance experience from his service on public company boards in the U.S.,</w:t>
      </w:r>
    </w:p>
    <w:p>
      <w:pPr>
        <w:spacing w:after="0" w:line="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Europe, and Asia.</w:t>
      </w:r>
    </w:p>
    <w:p>
      <w:pPr>
        <w:spacing w:after="0" w:line="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p>
    <w:p>
      <w:pPr>
        <w:sectPr>
          <w:pgSz w:w="11900" w:h="16838" w:orient="portrait"/>
          <w:cols w:equalWidth="0" w:num="1">
            <w:col w:w="10220"/>
          </w:cols>
          <w:pgMar w:left="1440" w:top="75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9900"/>
        <w:spacing w:after="0"/>
        <w:rPr>
          <w:sz w:val="20"/>
          <w:szCs w:val="20"/>
          <w:color w:val="auto"/>
        </w:rPr>
      </w:pPr>
      <w:r>
        <w:rPr>
          <w:rFonts w:ascii="Arial" w:cs="Arial" w:eastAsia="Arial" w:hAnsi="Arial"/>
          <w:sz w:val="17"/>
          <w:szCs w:val="17"/>
          <w:color w:val="auto"/>
        </w:rPr>
        <w:t>P14</w:t>
      </w:r>
    </w:p>
    <w:p>
      <w:pPr>
        <w:sectPr>
          <w:pgSz w:w="11900" w:h="16838" w:orient="portrait"/>
          <w:cols w:equalWidth="0" w:num="1">
            <w:col w:w="10220"/>
          </w:cols>
          <w:pgMar w:left="1440" w:top="751" w:right="2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22"/>
          <w:szCs w:val="22"/>
          <w:b w:val="1"/>
          <w:bCs w:val="1"/>
          <w:color w:val="FF0000"/>
        </w:rPr>
        <w:t>Class of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4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following five directors are serving terms that will expire in May 2019. Mr. Hoover will retire from the board on May 7, 2018. At that time, the board expects to reduce its size.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73660</wp:posOffset>
            </wp:positionV>
            <wp:extent cx="5240020" cy="4356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240020" cy="4356735"/>
                    </a:xfrm>
                    <a:prstGeom prst="rect">
                      <a:avLst/>
                    </a:prstGeom>
                    <a:noFill/>
                  </pic:spPr>
                </pic:pic>
              </a:graphicData>
            </a:graphic>
          </wp:anchor>
        </w:drawing>
      </w:r>
    </w:p>
    <w:p>
      <w:pPr>
        <w:spacing w:after="0" w:line="114"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Ralph Alvarez</w:t>
      </w:r>
    </w:p>
    <w:p>
      <w:pPr>
        <w:spacing w:after="0" w:line="20" w:lineRule="exact"/>
        <w:rPr>
          <w:sz w:val="20"/>
          <w:szCs w:val="20"/>
          <w:color w:val="auto"/>
        </w:rPr>
      </w:pPr>
    </w:p>
    <w:p>
      <w:pPr>
        <w:ind w:left="3800"/>
        <w:spacing w:after="0"/>
        <w:rPr>
          <w:sz w:val="20"/>
          <w:szCs w:val="20"/>
          <w:color w:val="auto"/>
        </w:rPr>
      </w:pPr>
      <w:r>
        <w:rPr>
          <w:rFonts w:ascii="Arial" w:cs="Arial" w:eastAsia="Arial" w:hAnsi="Arial"/>
          <w:sz w:val="16"/>
          <w:szCs w:val="16"/>
          <w:color w:val="auto"/>
        </w:rPr>
        <w:t>Age: 62, Director since 2009</w:t>
      </w:r>
    </w:p>
    <w:p>
      <w:pPr>
        <w:spacing w:after="0" w:line="5" w:lineRule="exact"/>
        <w:rPr>
          <w:sz w:val="20"/>
          <w:szCs w:val="20"/>
          <w:color w:val="auto"/>
        </w:rPr>
      </w:pPr>
    </w:p>
    <w:p>
      <w:pPr>
        <w:ind w:left="3800"/>
        <w:spacing w:after="0"/>
        <w:rPr>
          <w:sz w:val="20"/>
          <w:szCs w:val="20"/>
          <w:color w:val="auto"/>
        </w:rPr>
      </w:pPr>
      <w:r>
        <w:rPr>
          <w:rFonts w:ascii="Arial" w:cs="Arial" w:eastAsia="Arial" w:hAnsi="Arial"/>
          <w:sz w:val="16"/>
          <w:szCs w:val="16"/>
          <w:b w:val="1"/>
          <w:bCs w:val="1"/>
          <w:color w:val="auto"/>
        </w:rPr>
        <w:t>Board Committees</w:t>
      </w:r>
      <w:r>
        <w:rPr>
          <w:rFonts w:ascii="Arial" w:cs="Arial" w:eastAsia="Arial" w:hAnsi="Arial"/>
          <w:sz w:val="16"/>
          <w:szCs w:val="16"/>
          <w:color w:val="auto"/>
        </w:rPr>
        <w:t>: Compensation (chair); Science and Technology</w:t>
      </w:r>
    </w:p>
    <w:p>
      <w:pPr>
        <w:spacing w:after="0" w:line="174" w:lineRule="exact"/>
        <w:rPr>
          <w:sz w:val="20"/>
          <w:szCs w:val="20"/>
          <w:color w:val="auto"/>
        </w:rPr>
      </w:pPr>
    </w:p>
    <w:p>
      <w:pPr>
        <w:jc w:val="both"/>
        <w:ind w:left="3800" w:right="1900"/>
        <w:spacing w:after="0" w:line="255" w:lineRule="auto"/>
        <w:rPr>
          <w:sz w:val="20"/>
          <w:szCs w:val="20"/>
          <w:color w:val="auto"/>
        </w:rPr>
      </w:pPr>
      <w:r>
        <w:rPr>
          <w:rFonts w:ascii="Arial" w:cs="Arial" w:eastAsia="Arial" w:hAnsi="Arial"/>
          <w:sz w:val="16"/>
          <w:szCs w:val="16"/>
          <w:b w:val="1"/>
          <w:bCs w:val="1"/>
          <w:i w:val="1"/>
          <w:iCs w:val="1"/>
          <w:color w:val="auto"/>
        </w:rPr>
        <w:t>Public Boards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Skylark Co., Ltd. (Mr. Alvarez is retiring from the Skylark board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effective March 29, 2018); Lowe's Companies, Inc.; Dunkin' Brands Group, Inc.; and Realogy Holdings Corp.</w:t>
      </w:r>
    </w:p>
    <w:p>
      <w:pPr>
        <w:spacing w:after="0" w:line="1" w:lineRule="exact"/>
        <w:rPr>
          <w:sz w:val="20"/>
          <w:szCs w:val="20"/>
          <w:color w:val="auto"/>
        </w:rPr>
      </w:pPr>
    </w:p>
    <w:p>
      <w:pPr>
        <w:ind w:left="3800"/>
        <w:spacing w:after="0"/>
        <w:rPr>
          <w:sz w:val="20"/>
          <w:szCs w:val="20"/>
          <w:color w:val="auto"/>
        </w:rPr>
      </w:pPr>
      <w:r>
        <w:rPr>
          <w:rFonts w:ascii="Arial" w:cs="Arial" w:eastAsia="Arial" w:hAnsi="Arial"/>
          <w:sz w:val="16"/>
          <w:szCs w:val="16"/>
          <w:b w:val="1"/>
          <w:bCs w:val="1"/>
          <w:i w:val="1"/>
          <w:iCs w:val="1"/>
          <w:color w:val="auto"/>
        </w:rPr>
        <w:t>Prior Public Boards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McDonald's Corporation; KeyCorp</w:t>
      </w:r>
    </w:p>
    <w:p>
      <w:pPr>
        <w:spacing w:after="0" w:line="200" w:lineRule="exact"/>
        <w:rPr>
          <w:sz w:val="20"/>
          <w:szCs w:val="20"/>
          <w:color w:val="auto"/>
        </w:rPr>
      </w:pPr>
    </w:p>
    <w:p>
      <w:pPr>
        <w:spacing w:after="0" w:line="393" w:lineRule="exact"/>
        <w:rPr>
          <w:sz w:val="20"/>
          <w:szCs w:val="20"/>
          <w:color w:val="auto"/>
        </w:rPr>
      </w:pPr>
    </w:p>
    <w:p>
      <w:pPr>
        <w:ind w:left="3800" w:right="1640"/>
        <w:spacing w:after="0" w:line="286" w:lineRule="auto"/>
        <w:rPr>
          <w:sz w:val="20"/>
          <w:szCs w:val="20"/>
          <w:color w:val="auto"/>
        </w:rPr>
      </w:pPr>
      <w:r>
        <w:rPr>
          <w:rFonts w:ascii="Arial" w:cs="Arial" w:eastAsia="Arial" w:hAnsi="Arial"/>
          <w:sz w:val="16"/>
          <w:szCs w:val="16"/>
          <w:b w:val="1"/>
          <w:bCs w:val="1"/>
          <w:i w:val="1"/>
          <w:iCs w:val="1"/>
          <w:color w:val="auto"/>
        </w:rPr>
        <w:t xml:space="preserve">Memberships and Other Organizations: </w:t>
      </w:r>
      <w:r>
        <w:rPr>
          <w:rFonts w:ascii="Arial" w:cs="Arial" w:eastAsia="Arial" w:hAnsi="Arial"/>
          <w:sz w:val="16"/>
          <w:szCs w:val="16"/>
          <w:color w:val="auto"/>
        </w:rPr>
        <w:t>University of Miami: President's Council;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School of Business Administration Board of Overseers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640"/>
        <w:spacing w:after="0"/>
        <w:tabs>
          <w:tab w:leader="none" w:pos="3780" w:val="left"/>
        </w:tabs>
        <w:rPr>
          <w:sz w:val="20"/>
          <w:szCs w:val="20"/>
          <w:color w:val="auto"/>
        </w:rPr>
      </w:pPr>
      <w:r>
        <w:rPr>
          <w:rFonts w:ascii="Arial" w:cs="Arial" w:eastAsia="Arial" w:hAnsi="Arial"/>
          <w:sz w:val="16"/>
          <w:szCs w:val="16"/>
          <w:b w:val="1"/>
          <w:bCs w:val="1"/>
          <w:i w:val="1"/>
          <w:iCs w:val="1"/>
          <w:color w:val="auto"/>
        </w:rPr>
        <w:t>Career Highlights</w:t>
      </w:r>
      <w:r>
        <w:rPr>
          <w:sz w:val="20"/>
          <w:szCs w:val="20"/>
          <w:color w:val="auto"/>
        </w:rPr>
        <w:tab/>
      </w:r>
      <w:r>
        <w:rPr>
          <w:rFonts w:ascii="Arial" w:cs="Arial" w:eastAsia="Arial" w:hAnsi="Arial"/>
          <w:sz w:val="16"/>
          <w:szCs w:val="16"/>
          <w:b w:val="1"/>
          <w:bCs w:val="1"/>
          <w:color w:val="auto"/>
        </w:rPr>
        <w:t xml:space="preserve">Advent International Corporation, </w:t>
      </w:r>
      <w:r>
        <w:rPr>
          <w:rFonts w:ascii="Arial" w:cs="Arial" w:eastAsia="Arial" w:hAnsi="Arial"/>
          <w:sz w:val="16"/>
          <w:szCs w:val="16"/>
          <w:color w:val="auto"/>
        </w:rPr>
        <w:t>a leading global private equity firm</w:t>
      </w:r>
    </w:p>
    <w:p>
      <w:pPr>
        <w:spacing w:after="0" w:line="106" w:lineRule="exact"/>
        <w:rPr>
          <w:sz w:val="20"/>
          <w:szCs w:val="20"/>
          <w:color w:val="auto"/>
        </w:rPr>
      </w:pPr>
    </w:p>
    <w:p>
      <w:pPr>
        <w:ind w:left="3980"/>
        <w:spacing w:after="0"/>
        <w:rPr>
          <w:sz w:val="20"/>
          <w:szCs w:val="20"/>
          <w:color w:val="auto"/>
        </w:rPr>
      </w:pPr>
      <w:r>
        <w:rPr>
          <w:rFonts w:ascii="Arial" w:cs="Arial" w:eastAsia="Arial" w:hAnsi="Arial"/>
          <w:sz w:val="16"/>
          <w:szCs w:val="16"/>
          <w:color w:val="auto"/>
        </w:rPr>
        <w:t>• Operating Partner (2017 - present)</w:t>
      </w:r>
    </w:p>
    <w:p>
      <w:pPr>
        <w:spacing w:after="0" w:line="66" w:lineRule="exact"/>
        <w:rPr>
          <w:sz w:val="20"/>
          <w:szCs w:val="20"/>
          <w:color w:val="auto"/>
        </w:rPr>
      </w:pPr>
    </w:p>
    <w:p>
      <w:pPr>
        <w:ind w:left="3800"/>
        <w:spacing w:after="0"/>
        <w:rPr>
          <w:sz w:val="20"/>
          <w:szCs w:val="20"/>
          <w:color w:val="auto"/>
        </w:rPr>
      </w:pPr>
      <w:r>
        <w:rPr>
          <w:rFonts w:ascii="Arial" w:cs="Arial" w:eastAsia="Arial" w:hAnsi="Arial"/>
          <w:sz w:val="16"/>
          <w:szCs w:val="16"/>
          <w:b w:val="1"/>
          <w:bCs w:val="1"/>
          <w:color w:val="auto"/>
        </w:rPr>
        <w:t>Skylark Co., Ltd.</w:t>
      </w:r>
      <w:r>
        <w:rPr>
          <w:rFonts w:ascii="Arial" w:cs="Arial" w:eastAsia="Arial" w:hAnsi="Arial"/>
          <w:sz w:val="16"/>
          <w:szCs w:val="16"/>
          <w:color w:val="auto"/>
        </w:rPr>
        <w:t>, a leading restaurant operator in Japan</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980"/>
        <w:spacing w:after="0"/>
        <w:rPr>
          <w:sz w:val="20"/>
          <w:szCs w:val="20"/>
          <w:color w:val="auto"/>
        </w:rPr>
      </w:pPr>
      <w:r>
        <w:rPr>
          <w:rFonts w:ascii="Arial" w:cs="Arial" w:eastAsia="Arial" w:hAnsi="Arial"/>
          <w:sz w:val="16"/>
          <w:szCs w:val="16"/>
          <w:color w:val="auto"/>
        </w:rPr>
        <w:t>• Chairman of the Board (2013 - present)</w:t>
      </w:r>
    </w:p>
    <w:p>
      <w:pPr>
        <w:spacing w:after="0" w:line="93" w:lineRule="exact"/>
        <w:rPr>
          <w:sz w:val="20"/>
          <w:szCs w:val="20"/>
          <w:color w:val="auto"/>
        </w:rPr>
      </w:pPr>
    </w:p>
    <w:p>
      <w:pPr>
        <w:ind w:left="3800"/>
        <w:spacing w:after="0"/>
        <w:rPr>
          <w:sz w:val="20"/>
          <w:szCs w:val="20"/>
          <w:color w:val="auto"/>
        </w:rPr>
      </w:pPr>
      <w:r>
        <w:rPr>
          <w:rFonts w:ascii="Arial" w:cs="Arial" w:eastAsia="Arial" w:hAnsi="Arial"/>
          <w:sz w:val="16"/>
          <w:szCs w:val="16"/>
          <w:b w:val="1"/>
          <w:bCs w:val="1"/>
          <w:color w:val="auto"/>
        </w:rPr>
        <w:t>McDonald's Corporation</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 President and Chief Operating Officer (2006 - 2009)</w:t>
      </w:r>
    </w:p>
    <w:p>
      <w:pPr>
        <w:spacing w:after="0" w:line="336" w:lineRule="exact"/>
        <w:rPr>
          <w:sz w:val="20"/>
          <w:szCs w:val="20"/>
          <w:color w:val="auto"/>
        </w:rPr>
      </w:pPr>
    </w:p>
    <w:p>
      <w:pPr>
        <w:ind w:left="1640" w:right="2340"/>
        <w:spacing w:after="0" w:line="256" w:lineRule="auto"/>
        <w:rPr>
          <w:sz w:val="20"/>
          <w:szCs w:val="20"/>
          <w:color w:val="auto"/>
        </w:rPr>
      </w:pPr>
      <w:r>
        <w:rPr>
          <w:rFonts w:ascii="Arial" w:cs="Arial" w:eastAsia="Arial" w:hAnsi="Arial"/>
          <w:sz w:val="16"/>
          <w:szCs w:val="16"/>
          <w:b w:val="1"/>
          <w:bCs w:val="1"/>
          <w:u w:val="single" w:color="auto"/>
          <w:color w:val="auto"/>
        </w:rPr>
        <w:t>Qualifications</w:t>
      </w:r>
      <w:r>
        <w:rPr>
          <w:rFonts w:ascii="Arial" w:cs="Arial" w:eastAsia="Arial" w:hAnsi="Arial"/>
          <w:sz w:val="16"/>
          <w:szCs w:val="16"/>
          <w:color w:val="auto"/>
        </w:rPr>
        <w:t>: Through his senior executive and board positions at Skylark Co., Ltd. and McDonald’s</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Corporation, as well as with other global restaurant businesses, Mr. Alvarez has extensive experience in consumer marketing, global operations, international business, and strategic planning. His international experience includes a special focus on Japan and emerging markets. He also has extensive corporate governance experience through his service on other public company boards.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P15</w:t>
      </w:r>
    </w:p>
    <w:p>
      <w:pPr>
        <w:sectPr>
          <w:pgSz w:w="11900" w:h="16838" w:orient="portrait"/>
          <w:cols w:equalWidth="0" w:num="1">
            <w:col w:w="11420"/>
          </w:cols>
          <w:pgMar w:left="240" w:top="580" w:right="239" w:bottom="1440" w:gutter="0" w:footer="0" w:header="0"/>
        </w:sectPr>
      </w:pPr>
    </w:p>
    <w:bookmarkStart w:id="19" w:name="page20"/>
    <w:bookmarkEnd w:id="19"/>
    <w:p>
      <w:pPr>
        <w:ind w:left="2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1169670</wp:posOffset>
            </wp:positionH>
            <wp:positionV relativeFrom="page">
              <wp:posOffset>466090</wp:posOffset>
            </wp:positionV>
            <wp:extent cx="5240020" cy="40817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240020" cy="4081780"/>
                    </a:xfrm>
                    <a:prstGeom prst="rect">
                      <a:avLst/>
                    </a:prstGeom>
                    <a:noFill/>
                  </pic:spPr>
                </pic:pic>
              </a:graphicData>
            </a:graphic>
          </wp:anchor>
        </w:drawing>
        <w:t>Carolyn R. Bertozzi, Ph.D.</w:t>
      </w:r>
    </w:p>
    <w:p>
      <w:pPr>
        <w:spacing w:after="0" w:line="20" w:lineRule="exact"/>
        <w:rPr>
          <w:sz w:val="20"/>
          <w:szCs w:val="20"/>
          <w:color w:val="auto"/>
        </w:rPr>
      </w:pPr>
    </w:p>
    <w:p>
      <w:pPr>
        <w:ind w:left="2620"/>
        <w:spacing w:after="0"/>
        <w:rPr>
          <w:sz w:val="20"/>
          <w:szCs w:val="20"/>
          <w:color w:val="auto"/>
        </w:rPr>
      </w:pPr>
      <w:r>
        <w:rPr>
          <w:rFonts w:ascii="Arial" w:cs="Arial" w:eastAsia="Arial" w:hAnsi="Arial"/>
          <w:sz w:val="16"/>
          <w:szCs w:val="16"/>
          <w:color w:val="auto"/>
        </w:rPr>
        <w:t>Age: 51, Director since 2017</w:t>
      </w:r>
    </w:p>
    <w:p>
      <w:pPr>
        <w:spacing w:after="0" w:line="5" w:lineRule="exact"/>
        <w:rPr>
          <w:sz w:val="20"/>
          <w:szCs w:val="20"/>
          <w:color w:val="auto"/>
        </w:rPr>
      </w:pPr>
    </w:p>
    <w:p>
      <w:pPr>
        <w:ind w:left="2620"/>
        <w:spacing w:after="0"/>
        <w:rPr>
          <w:sz w:val="20"/>
          <w:szCs w:val="20"/>
          <w:color w:val="auto"/>
        </w:rPr>
      </w:pPr>
      <w:r>
        <w:rPr>
          <w:rFonts w:ascii="Arial" w:cs="Arial" w:eastAsia="Arial" w:hAnsi="Arial"/>
          <w:sz w:val="16"/>
          <w:szCs w:val="16"/>
          <w:b w:val="1"/>
          <w:bCs w:val="1"/>
          <w:color w:val="auto"/>
        </w:rPr>
        <w:t>Board Committees</w:t>
      </w:r>
      <w:r>
        <w:rPr>
          <w:rFonts w:ascii="Arial" w:cs="Arial" w:eastAsia="Arial" w:hAnsi="Arial"/>
          <w:sz w:val="16"/>
          <w:szCs w:val="16"/>
          <w:color w:val="auto"/>
        </w:rPr>
        <w:t>: Public Policy and Compliance; Science and Technology</w:t>
      </w:r>
    </w:p>
    <w:p>
      <w:pPr>
        <w:spacing w:after="0" w:line="201" w:lineRule="exact"/>
        <w:rPr>
          <w:sz w:val="20"/>
          <w:szCs w:val="20"/>
          <w:color w:val="auto"/>
        </w:rPr>
      </w:pPr>
    </w:p>
    <w:p>
      <w:pPr>
        <w:ind w:left="2620"/>
        <w:spacing w:after="0"/>
        <w:rPr>
          <w:sz w:val="20"/>
          <w:szCs w:val="20"/>
          <w:color w:val="auto"/>
        </w:rPr>
      </w:pPr>
      <w:r>
        <w:rPr>
          <w:rFonts w:ascii="Arial" w:cs="Arial" w:eastAsia="Arial" w:hAnsi="Arial"/>
          <w:sz w:val="16"/>
          <w:szCs w:val="16"/>
          <w:b w:val="1"/>
          <w:bCs w:val="1"/>
          <w:i w:val="1"/>
          <w:iCs w:val="1"/>
          <w:color w:val="auto"/>
        </w:rPr>
        <w:t>Public Board</w:t>
      </w:r>
      <w:r>
        <w:rPr>
          <w:rFonts w:ascii="Arial" w:cs="Arial" w:eastAsia="Arial" w:hAnsi="Arial"/>
          <w:sz w:val="16"/>
          <w:szCs w:val="16"/>
          <w:b w:val="1"/>
          <w:bCs w:val="1"/>
          <w:color w:val="auto"/>
        </w:rPr>
        <w:t>: Catalent</w:t>
      </w:r>
    </w:p>
    <w:p>
      <w:pPr>
        <w:spacing w:after="0" w:line="25" w:lineRule="exact"/>
        <w:rPr>
          <w:sz w:val="20"/>
          <w:szCs w:val="20"/>
          <w:color w:val="auto"/>
        </w:rPr>
      </w:pPr>
    </w:p>
    <w:p>
      <w:pPr>
        <w:ind w:left="2620"/>
        <w:spacing w:after="0"/>
        <w:rPr>
          <w:sz w:val="20"/>
          <w:szCs w:val="20"/>
          <w:color w:val="auto"/>
        </w:rPr>
      </w:pPr>
      <w:r>
        <w:rPr>
          <w:rFonts w:ascii="Arial" w:cs="Arial" w:eastAsia="Arial" w:hAnsi="Arial"/>
          <w:sz w:val="16"/>
          <w:szCs w:val="16"/>
          <w:b w:val="1"/>
          <w:bCs w:val="1"/>
          <w:i w:val="1"/>
          <w:iCs w:val="1"/>
          <w:color w:val="auto"/>
        </w:rPr>
        <w:t>Non-profit Boards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Broad Institute; Grace Science Foundation</w:t>
      </w:r>
    </w:p>
    <w:p>
      <w:pPr>
        <w:spacing w:after="0" w:line="161" w:lineRule="exact"/>
        <w:rPr>
          <w:sz w:val="20"/>
          <w:szCs w:val="20"/>
          <w:color w:val="auto"/>
        </w:rPr>
      </w:pPr>
    </w:p>
    <w:p>
      <w:pPr>
        <w:ind w:left="2620" w:right="1700"/>
        <w:spacing w:after="0" w:line="259" w:lineRule="auto"/>
        <w:rPr>
          <w:sz w:val="20"/>
          <w:szCs w:val="20"/>
          <w:color w:val="auto"/>
        </w:rPr>
      </w:pPr>
      <w:r>
        <w:rPr>
          <w:rFonts w:ascii="Arial" w:cs="Arial" w:eastAsia="Arial" w:hAnsi="Arial"/>
          <w:sz w:val="16"/>
          <w:szCs w:val="16"/>
          <w:b w:val="1"/>
          <w:bCs w:val="1"/>
          <w:i w:val="1"/>
          <w:iCs w:val="1"/>
          <w:color w:val="auto"/>
        </w:rPr>
        <w:t xml:space="preserve">Industry Memberships and Other Organizations: </w:t>
      </w:r>
      <w:r>
        <w:rPr>
          <w:rFonts w:ascii="Arial" w:cs="Arial" w:eastAsia="Arial" w:hAnsi="Arial"/>
          <w:sz w:val="16"/>
          <w:szCs w:val="16"/>
          <w:color w:val="auto"/>
        </w:rPr>
        <w:t>American Chemical Society;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American Society for Biochemistry and Molecular Biology; American Chemical Society Publications, Editor-in-Chief of ACS Central Science; Institute of Medicine; National Academy of Sciences; and American Academy of Arts and Sciences</w:t>
      </w:r>
    </w:p>
    <w:p>
      <w:pPr>
        <w:spacing w:after="0" w:line="151" w:lineRule="exact"/>
        <w:rPr>
          <w:sz w:val="20"/>
          <w:szCs w:val="20"/>
          <w:color w:val="auto"/>
        </w:rPr>
      </w:pPr>
    </w:p>
    <w:p>
      <w:pPr>
        <w:ind w:left="2620" w:right="1820"/>
        <w:spacing w:after="0" w:line="286" w:lineRule="auto"/>
        <w:rPr>
          <w:sz w:val="20"/>
          <w:szCs w:val="20"/>
          <w:color w:val="auto"/>
        </w:rPr>
      </w:pPr>
      <w:r>
        <w:rPr>
          <w:rFonts w:ascii="Arial" w:cs="Arial" w:eastAsia="Arial" w:hAnsi="Arial"/>
          <w:sz w:val="16"/>
          <w:szCs w:val="16"/>
          <w:b w:val="1"/>
          <w:bCs w:val="1"/>
          <w:i w:val="1"/>
          <w:iCs w:val="1"/>
          <w:color w:val="auto"/>
        </w:rPr>
        <w:t xml:space="preserve">Honors: </w:t>
      </w:r>
      <w:r>
        <w:rPr>
          <w:rFonts w:ascii="Arial" w:cs="Arial" w:eastAsia="Arial" w:hAnsi="Arial"/>
          <w:sz w:val="16"/>
          <w:szCs w:val="16"/>
          <w:color w:val="auto"/>
        </w:rPr>
        <w:t>MacArthur Genius Award; Lemelson MIT Prize; Heinrich Wieland Prize,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National Academy of Sciences Award in the Chemical Sciences</w:t>
      </w:r>
    </w:p>
    <w:p>
      <w:pPr>
        <w:spacing w:after="0" w:line="200" w:lineRule="exact"/>
        <w:rPr>
          <w:sz w:val="20"/>
          <w:szCs w:val="20"/>
          <w:color w:val="auto"/>
        </w:rPr>
      </w:pPr>
    </w:p>
    <w:p>
      <w:pPr>
        <w:spacing w:after="0" w:line="253" w:lineRule="exact"/>
        <w:rPr>
          <w:sz w:val="20"/>
          <w:szCs w:val="20"/>
          <w:color w:val="auto"/>
        </w:rPr>
      </w:pPr>
    </w:p>
    <w:p>
      <w:pPr>
        <w:ind w:left="440"/>
        <w:spacing w:after="0"/>
        <w:tabs>
          <w:tab w:leader="none" w:pos="2600" w:val="left"/>
        </w:tabs>
        <w:rPr>
          <w:sz w:val="20"/>
          <w:szCs w:val="20"/>
          <w:color w:val="auto"/>
        </w:rPr>
      </w:pPr>
      <w:r>
        <w:rPr>
          <w:rFonts w:ascii="Arial" w:cs="Arial" w:eastAsia="Arial" w:hAnsi="Arial"/>
          <w:sz w:val="16"/>
          <w:szCs w:val="16"/>
          <w:b w:val="1"/>
          <w:bCs w:val="1"/>
          <w:i w:val="1"/>
          <w:iCs w:val="1"/>
          <w:color w:val="auto"/>
        </w:rPr>
        <w:t>Career Highlights</w:t>
      </w:r>
      <w:r>
        <w:rPr>
          <w:sz w:val="20"/>
          <w:szCs w:val="20"/>
          <w:color w:val="auto"/>
        </w:rPr>
        <w:tab/>
      </w:r>
      <w:r>
        <w:rPr>
          <w:rFonts w:ascii="Arial" w:cs="Arial" w:eastAsia="Arial" w:hAnsi="Arial"/>
          <w:sz w:val="16"/>
          <w:szCs w:val="16"/>
          <w:b w:val="1"/>
          <w:bCs w:val="1"/>
          <w:color w:val="auto"/>
        </w:rPr>
        <w:t>Stanford University</w:t>
      </w:r>
    </w:p>
    <w:p>
      <w:pPr>
        <w:spacing w:after="0" w:line="106" w:lineRule="exact"/>
        <w:rPr>
          <w:sz w:val="20"/>
          <w:szCs w:val="20"/>
          <w:color w:val="auto"/>
        </w:rPr>
      </w:pPr>
    </w:p>
    <w:p>
      <w:pPr>
        <w:ind w:left="2940" w:right="1620" w:hanging="155"/>
        <w:spacing w:after="0" w:line="260" w:lineRule="auto"/>
        <w:tabs>
          <w:tab w:leader="none" w:pos="28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Anne T. and Robert M. Bass Professor of Chemistry, Professor of Chemical and Systems Biology and Radiology by courtesy (2015 - present)</w:t>
      </w:r>
    </w:p>
    <w:p>
      <w:pPr>
        <w:spacing w:after="0" w:line="41" w:lineRule="exact"/>
        <w:rPr>
          <w:sz w:val="20"/>
          <w:szCs w:val="20"/>
          <w:color w:val="auto"/>
        </w:rPr>
      </w:pPr>
    </w:p>
    <w:p>
      <w:pPr>
        <w:ind w:left="2620"/>
        <w:spacing w:after="0"/>
        <w:rPr>
          <w:sz w:val="20"/>
          <w:szCs w:val="20"/>
          <w:color w:val="auto"/>
        </w:rPr>
      </w:pPr>
      <w:r>
        <w:rPr>
          <w:rFonts w:ascii="Arial" w:cs="Arial" w:eastAsia="Arial" w:hAnsi="Arial"/>
          <w:sz w:val="16"/>
          <w:szCs w:val="16"/>
          <w:b w:val="1"/>
          <w:bCs w:val="1"/>
          <w:color w:val="auto"/>
        </w:rPr>
        <w:t>Howard Hughes Medical Institute</w:t>
      </w:r>
    </w:p>
    <w:p>
      <w:pPr>
        <w:spacing w:after="0" w:line="79" w:lineRule="exact"/>
        <w:rPr>
          <w:sz w:val="20"/>
          <w:szCs w:val="20"/>
          <w:color w:val="auto"/>
        </w:rPr>
      </w:pPr>
    </w:p>
    <w:p>
      <w:pPr>
        <w:ind w:left="2780"/>
        <w:spacing w:after="0"/>
        <w:rPr>
          <w:sz w:val="20"/>
          <w:szCs w:val="20"/>
          <w:color w:val="auto"/>
        </w:rPr>
      </w:pPr>
      <w:r>
        <w:rPr>
          <w:rFonts w:ascii="Arial" w:cs="Arial" w:eastAsia="Arial" w:hAnsi="Arial"/>
          <w:sz w:val="16"/>
          <w:szCs w:val="16"/>
          <w:color w:val="auto"/>
        </w:rPr>
        <w:t>• Investigator (2000 - present)</w:t>
      </w:r>
    </w:p>
    <w:p>
      <w:pPr>
        <w:spacing w:after="0" w:line="93" w:lineRule="exact"/>
        <w:rPr>
          <w:sz w:val="20"/>
          <w:szCs w:val="20"/>
          <w:color w:val="auto"/>
        </w:rPr>
      </w:pPr>
    </w:p>
    <w:p>
      <w:pPr>
        <w:ind w:left="2620"/>
        <w:spacing w:after="0"/>
        <w:rPr>
          <w:sz w:val="20"/>
          <w:szCs w:val="20"/>
          <w:color w:val="auto"/>
        </w:rPr>
      </w:pPr>
      <w:r>
        <w:rPr>
          <w:rFonts w:ascii="Arial" w:cs="Arial" w:eastAsia="Arial" w:hAnsi="Arial"/>
          <w:sz w:val="16"/>
          <w:szCs w:val="16"/>
          <w:b w:val="1"/>
          <w:bCs w:val="1"/>
          <w:color w:val="auto"/>
        </w:rPr>
        <w:t>University of California, Berkeley</w:t>
      </w:r>
    </w:p>
    <w:p>
      <w:pPr>
        <w:spacing w:after="0" w:line="79" w:lineRule="exact"/>
        <w:rPr>
          <w:sz w:val="20"/>
          <w:szCs w:val="20"/>
          <w:color w:val="auto"/>
        </w:rPr>
      </w:pPr>
    </w:p>
    <w:p>
      <w:pPr>
        <w:ind w:left="2940" w:right="1820" w:hanging="155"/>
        <w:spacing w:after="0" w:line="260" w:lineRule="auto"/>
        <w:tabs>
          <w:tab w:leader="none" w:pos="28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T.Z. and Irmgard Chu Professor of Chemistry and Professor of Molecular and Cell Biology (1996 - 2015)</w:t>
      </w:r>
    </w:p>
    <w:p>
      <w:pPr>
        <w:spacing w:after="0" w:line="284" w:lineRule="exact"/>
        <w:rPr>
          <w:sz w:val="20"/>
          <w:szCs w:val="20"/>
          <w:color w:val="auto"/>
        </w:rPr>
      </w:pPr>
    </w:p>
    <w:p>
      <w:pPr>
        <w:ind w:left="440" w:right="1720"/>
        <w:spacing w:after="0" w:line="256" w:lineRule="auto"/>
        <w:rPr>
          <w:sz w:val="20"/>
          <w:szCs w:val="20"/>
          <w:color w:val="auto"/>
        </w:rPr>
      </w:pPr>
      <w:r>
        <w:rPr>
          <w:rFonts w:ascii="Arial" w:cs="Arial" w:eastAsia="Arial" w:hAnsi="Arial"/>
          <w:sz w:val="16"/>
          <w:szCs w:val="16"/>
          <w:b w:val="1"/>
          <w:bCs w:val="1"/>
          <w:u w:val="single" w:color="auto"/>
          <w:color w:val="auto"/>
        </w:rPr>
        <w:t>Qualifications</w:t>
      </w:r>
      <w:r>
        <w:rPr>
          <w:rFonts w:ascii="Arial" w:cs="Arial" w:eastAsia="Arial" w:hAnsi="Arial"/>
          <w:sz w:val="16"/>
          <w:szCs w:val="16"/>
          <w:color w:val="auto"/>
        </w:rPr>
        <w:t>: Dr. Bertozzi is a prominent researcher and academician. She has extensive experience at</w:t>
      </w:r>
      <w:r>
        <w:rPr>
          <w:rFonts w:ascii="Arial" w:cs="Arial" w:eastAsia="Arial" w:hAnsi="Arial"/>
          <w:sz w:val="16"/>
          <w:szCs w:val="16"/>
          <w:b w:val="1"/>
          <w:bCs w:val="1"/>
          <w:color w:val="auto"/>
        </w:rPr>
        <w:t xml:space="preserve"> </w:t>
      </w:r>
      <w:r>
        <w:rPr>
          <w:rFonts w:ascii="Arial" w:cs="Arial" w:eastAsia="Arial" w:hAnsi="Arial"/>
          <w:sz w:val="16"/>
          <w:szCs w:val="16"/>
          <w:color w:val="auto"/>
        </w:rPr>
        <w:t>Stanford University and the University of Berkeley, California, two major research institutions. Her deep expertise spans the disciplines of chemistry and biology, with an emphasis on studies of cell surface glycosylation associated with cancer, inflammation and bacterial infection, and exploiting this knowledge for development of diagnostic and therapeutic approaches.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289560</wp:posOffset>
            </wp:positionH>
            <wp:positionV relativeFrom="paragraph">
              <wp:posOffset>237490</wp:posOffset>
            </wp:positionV>
            <wp:extent cx="5205730" cy="42538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205730" cy="4253865"/>
                    </a:xfrm>
                    <a:prstGeom prst="rect">
                      <a:avLst/>
                    </a:prstGeom>
                    <a:noFill/>
                  </pic:spPr>
                </pic:pic>
              </a:graphicData>
            </a:graphic>
          </wp:anchor>
        </w:drawing>
      </w:r>
    </w:p>
    <w:p>
      <w:pPr>
        <w:spacing w:after="0" w:line="372"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R. David Hoover</w:t>
      </w:r>
    </w:p>
    <w:p>
      <w:pPr>
        <w:spacing w:after="0" w:line="20" w:lineRule="exact"/>
        <w:rPr>
          <w:sz w:val="20"/>
          <w:szCs w:val="20"/>
          <w:color w:val="auto"/>
        </w:rPr>
      </w:pPr>
    </w:p>
    <w:p>
      <w:pPr>
        <w:ind w:left="2660"/>
        <w:spacing w:after="0"/>
        <w:rPr>
          <w:sz w:val="20"/>
          <w:szCs w:val="20"/>
          <w:color w:val="auto"/>
        </w:rPr>
      </w:pPr>
      <w:r>
        <w:rPr>
          <w:rFonts w:ascii="Arial" w:cs="Arial" w:eastAsia="Arial" w:hAnsi="Arial"/>
          <w:sz w:val="16"/>
          <w:szCs w:val="16"/>
          <w:color w:val="auto"/>
        </w:rPr>
        <w:t>Age: 72, Director since 2009</w:t>
      </w:r>
    </w:p>
    <w:p>
      <w:pPr>
        <w:spacing w:after="0" w:line="5" w:lineRule="exact"/>
        <w:rPr>
          <w:sz w:val="20"/>
          <w:szCs w:val="20"/>
          <w:color w:val="auto"/>
        </w:rPr>
      </w:pPr>
    </w:p>
    <w:p>
      <w:pPr>
        <w:ind w:left="2660"/>
        <w:spacing w:after="0"/>
        <w:rPr>
          <w:sz w:val="20"/>
          <w:szCs w:val="20"/>
          <w:color w:val="auto"/>
        </w:rPr>
      </w:pPr>
      <w:r>
        <w:rPr>
          <w:rFonts w:ascii="Arial" w:cs="Arial" w:eastAsia="Arial" w:hAnsi="Arial"/>
          <w:sz w:val="16"/>
          <w:szCs w:val="16"/>
          <w:b w:val="1"/>
          <w:bCs w:val="1"/>
          <w:color w:val="auto"/>
        </w:rPr>
        <w:t>Board Committees</w:t>
      </w:r>
      <w:r>
        <w:rPr>
          <w:rFonts w:ascii="Arial" w:cs="Arial" w:eastAsia="Arial" w:hAnsi="Arial"/>
          <w:sz w:val="16"/>
          <w:szCs w:val="16"/>
          <w:color w:val="auto"/>
        </w:rPr>
        <w:t>: Finance (chair); Directors and Corporate Governance</w:t>
      </w:r>
    </w:p>
    <w:p>
      <w:pPr>
        <w:spacing w:after="0" w:line="255" w:lineRule="exact"/>
        <w:rPr>
          <w:sz w:val="20"/>
          <w:szCs w:val="20"/>
          <w:color w:val="auto"/>
        </w:rPr>
      </w:pPr>
    </w:p>
    <w:p>
      <w:pPr>
        <w:ind w:left="2660"/>
        <w:spacing w:after="0"/>
        <w:rPr>
          <w:sz w:val="20"/>
          <w:szCs w:val="20"/>
          <w:color w:val="auto"/>
        </w:rPr>
      </w:pPr>
      <w:r>
        <w:rPr>
          <w:rFonts w:ascii="Arial" w:cs="Arial" w:eastAsia="Arial" w:hAnsi="Arial"/>
          <w:sz w:val="16"/>
          <w:szCs w:val="16"/>
          <w:b w:val="1"/>
          <w:bCs w:val="1"/>
          <w:i w:val="1"/>
          <w:iCs w:val="1"/>
          <w:color w:val="auto"/>
        </w:rPr>
        <w:t>Public Boards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Ball Corporation; Edgewell Personal Care Co.</w:t>
      </w:r>
    </w:p>
    <w:p>
      <w:pPr>
        <w:spacing w:after="0" w:line="25" w:lineRule="exact"/>
        <w:rPr>
          <w:sz w:val="20"/>
          <w:szCs w:val="20"/>
          <w:color w:val="auto"/>
        </w:rPr>
      </w:pPr>
    </w:p>
    <w:p>
      <w:pPr>
        <w:ind w:left="2660"/>
        <w:spacing w:after="0"/>
        <w:rPr>
          <w:sz w:val="20"/>
          <w:szCs w:val="20"/>
          <w:color w:val="auto"/>
        </w:rPr>
      </w:pPr>
      <w:r>
        <w:rPr>
          <w:rFonts w:ascii="Arial" w:cs="Arial" w:eastAsia="Arial" w:hAnsi="Arial"/>
          <w:sz w:val="16"/>
          <w:szCs w:val="16"/>
          <w:b w:val="1"/>
          <w:bCs w:val="1"/>
          <w:i w:val="1"/>
          <w:iCs w:val="1"/>
          <w:color w:val="auto"/>
        </w:rPr>
        <w:t xml:space="preserve">Prior Public Boards: </w:t>
      </w:r>
      <w:r>
        <w:rPr>
          <w:rFonts w:ascii="Arial" w:cs="Arial" w:eastAsia="Arial" w:hAnsi="Arial"/>
          <w:sz w:val="16"/>
          <w:szCs w:val="16"/>
          <w:color w:val="auto"/>
        </w:rPr>
        <w:t>Qwest International, Inc.; Steelcase, Inc.</w:t>
      </w:r>
    </w:p>
    <w:p>
      <w:pPr>
        <w:spacing w:after="0" w:line="5" w:lineRule="exact"/>
        <w:rPr>
          <w:sz w:val="20"/>
          <w:szCs w:val="20"/>
          <w:color w:val="auto"/>
        </w:rPr>
      </w:pPr>
    </w:p>
    <w:p>
      <w:pPr>
        <w:ind w:left="2660"/>
        <w:spacing w:after="0"/>
        <w:rPr>
          <w:sz w:val="20"/>
          <w:szCs w:val="20"/>
          <w:color w:val="auto"/>
        </w:rPr>
      </w:pPr>
      <w:r>
        <w:rPr>
          <w:rFonts w:ascii="Arial" w:cs="Arial" w:eastAsia="Arial" w:hAnsi="Arial"/>
          <w:sz w:val="16"/>
          <w:szCs w:val="16"/>
          <w:b w:val="1"/>
          <w:bCs w:val="1"/>
          <w:i w:val="1"/>
          <w:iCs w:val="1"/>
          <w:color w:val="auto"/>
        </w:rPr>
        <w:t xml:space="preserve">Non-profit Boards: </w:t>
      </w:r>
      <w:r>
        <w:rPr>
          <w:rFonts w:ascii="Arial" w:cs="Arial" w:eastAsia="Arial" w:hAnsi="Arial"/>
          <w:sz w:val="16"/>
          <w:szCs w:val="16"/>
          <w:color w:val="auto"/>
        </w:rPr>
        <w:t>Children's Hospital Colorado; DePauw University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460" w:type="dxa"/>
        <w:tblCellMar>
          <w:top w:w="0" w:type="dxa"/>
          <w:left w:w="0" w:type="dxa"/>
          <w:bottom w:w="0" w:type="dxa"/>
          <w:right w:w="0" w:type="dxa"/>
        </w:tblCellMar>
      </w:tblPr>
      <w:tr>
        <w:trPr>
          <w:trHeight w:val="209"/>
        </w:trPr>
        <w:tc>
          <w:tcPr>
            <w:tcW w:w="1780" w:type="dxa"/>
            <w:vAlign w:val="bottom"/>
          </w:tcPr>
          <w:p>
            <w:pPr>
              <w:spacing w:after="0"/>
              <w:rPr>
                <w:sz w:val="18"/>
                <w:szCs w:val="18"/>
                <w:color w:val="auto"/>
              </w:rPr>
            </w:pPr>
          </w:p>
        </w:tc>
        <w:tc>
          <w:tcPr>
            <w:tcW w:w="6420" w:type="dxa"/>
            <w:vAlign w:val="bottom"/>
          </w:tcPr>
          <w:p>
            <w:pPr>
              <w:ind w:left="420"/>
              <w:spacing w:after="0"/>
              <w:rPr>
                <w:sz w:val="20"/>
                <w:szCs w:val="20"/>
                <w:color w:val="auto"/>
              </w:rPr>
            </w:pPr>
            <w:r>
              <w:rPr>
                <w:rFonts w:ascii="Arial" w:cs="Arial" w:eastAsia="Arial" w:hAnsi="Arial"/>
                <w:sz w:val="16"/>
                <w:szCs w:val="16"/>
                <w:b w:val="1"/>
                <w:bCs w:val="1"/>
                <w:i w:val="1"/>
                <w:iCs w:val="1"/>
                <w:color w:val="auto"/>
              </w:rPr>
              <w:t>Memberships and Other Organizations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Indiana University Kelley School of</w:t>
            </w:r>
          </w:p>
        </w:tc>
      </w:tr>
      <w:tr>
        <w:trPr>
          <w:trHeight w:val="195"/>
        </w:trPr>
        <w:tc>
          <w:tcPr>
            <w:tcW w:w="1780" w:type="dxa"/>
            <w:vAlign w:val="bottom"/>
          </w:tcPr>
          <w:p>
            <w:pPr>
              <w:spacing w:after="0"/>
              <w:rPr>
                <w:sz w:val="16"/>
                <w:szCs w:val="16"/>
                <w:color w:val="auto"/>
              </w:rPr>
            </w:pPr>
          </w:p>
        </w:tc>
        <w:tc>
          <w:tcPr>
            <w:tcW w:w="6420" w:type="dxa"/>
            <w:vAlign w:val="bottom"/>
          </w:tcPr>
          <w:p>
            <w:pPr>
              <w:ind w:left="420"/>
              <w:spacing w:after="0"/>
              <w:rPr>
                <w:sz w:val="20"/>
                <w:szCs w:val="20"/>
                <w:color w:val="auto"/>
              </w:rPr>
            </w:pPr>
            <w:r>
              <w:rPr>
                <w:rFonts w:ascii="Arial" w:cs="Arial" w:eastAsia="Arial" w:hAnsi="Arial"/>
                <w:sz w:val="16"/>
                <w:szCs w:val="16"/>
                <w:color w:val="auto"/>
              </w:rPr>
              <w:t>Business, Dean's Council</w:t>
            </w:r>
          </w:p>
        </w:tc>
      </w:tr>
      <w:tr>
        <w:trPr>
          <w:trHeight w:val="290"/>
        </w:trPr>
        <w:tc>
          <w:tcPr>
            <w:tcW w:w="1780" w:type="dxa"/>
            <w:vAlign w:val="bottom"/>
            <w:tcBorders>
              <w:bottom w:val="single" w:sz="8" w:color="auto"/>
            </w:tcBorders>
          </w:tcPr>
          <w:p>
            <w:pPr>
              <w:spacing w:after="0"/>
              <w:rPr>
                <w:sz w:val="24"/>
                <w:szCs w:val="24"/>
                <w:color w:val="auto"/>
              </w:rPr>
            </w:pPr>
          </w:p>
        </w:tc>
        <w:tc>
          <w:tcPr>
            <w:tcW w:w="6420" w:type="dxa"/>
            <w:vAlign w:val="bottom"/>
            <w:tcBorders>
              <w:bottom w:val="single" w:sz="8" w:color="auto"/>
            </w:tcBorders>
          </w:tcPr>
          <w:p>
            <w:pPr>
              <w:spacing w:after="0"/>
              <w:rPr>
                <w:sz w:val="24"/>
                <w:szCs w:val="24"/>
                <w:color w:val="auto"/>
              </w:rPr>
            </w:pPr>
          </w:p>
        </w:tc>
      </w:tr>
      <w:tr>
        <w:trPr>
          <w:trHeight w:val="482"/>
        </w:trPr>
        <w:tc>
          <w:tcPr>
            <w:tcW w:w="178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Career Highlights</w:t>
            </w:r>
          </w:p>
        </w:tc>
        <w:tc>
          <w:tcPr>
            <w:tcW w:w="6420" w:type="dxa"/>
            <w:vAlign w:val="bottom"/>
          </w:tcPr>
          <w:p>
            <w:pPr>
              <w:ind w:left="420"/>
              <w:spacing w:after="0"/>
              <w:rPr>
                <w:sz w:val="20"/>
                <w:szCs w:val="20"/>
                <w:color w:val="auto"/>
              </w:rPr>
            </w:pPr>
            <w:r>
              <w:rPr>
                <w:rFonts w:ascii="Arial" w:cs="Arial" w:eastAsia="Arial" w:hAnsi="Arial"/>
                <w:sz w:val="16"/>
                <w:szCs w:val="16"/>
                <w:b w:val="1"/>
                <w:bCs w:val="1"/>
                <w:color w:val="auto"/>
              </w:rPr>
              <w:t>Ball Corporation</w:t>
            </w:r>
            <w:r>
              <w:rPr>
                <w:rFonts w:ascii="Arial" w:cs="Arial" w:eastAsia="Arial" w:hAnsi="Arial"/>
                <w:sz w:val="16"/>
                <w:szCs w:val="16"/>
                <w:color w:val="auto"/>
              </w:rPr>
              <w:t>, a provider of packaging products, aerospace and other</w:t>
            </w:r>
          </w:p>
        </w:tc>
      </w:tr>
      <w:tr>
        <w:trPr>
          <w:trHeight w:val="195"/>
        </w:trPr>
        <w:tc>
          <w:tcPr>
            <w:tcW w:w="1780" w:type="dxa"/>
            <w:vAlign w:val="bottom"/>
          </w:tcPr>
          <w:p>
            <w:pPr>
              <w:spacing w:after="0"/>
              <w:rPr>
                <w:sz w:val="16"/>
                <w:szCs w:val="16"/>
                <w:color w:val="auto"/>
              </w:rPr>
            </w:pPr>
          </w:p>
        </w:tc>
        <w:tc>
          <w:tcPr>
            <w:tcW w:w="6420" w:type="dxa"/>
            <w:vAlign w:val="bottom"/>
          </w:tcPr>
          <w:p>
            <w:pPr>
              <w:ind w:left="420"/>
              <w:spacing w:after="0"/>
              <w:rPr>
                <w:sz w:val="20"/>
                <w:szCs w:val="20"/>
                <w:color w:val="auto"/>
              </w:rPr>
            </w:pPr>
            <w:r>
              <w:rPr>
                <w:rFonts w:ascii="Arial" w:cs="Arial" w:eastAsia="Arial" w:hAnsi="Arial"/>
                <w:sz w:val="16"/>
                <w:szCs w:val="16"/>
                <w:color w:val="auto"/>
              </w:rPr>
              <w:t>technologies and services to commercial and governmental customers</w:t>
            </w:r>
          </w:p>
        </w:tc>
      </w:tr>
    </w:tbl>
    <w:p>
      <w:pPr>
        <w:spacing w:after="0" w:line="48" w:lineRule="exact"/>
        <w:rPr>
          <w:sz w:val="20"/>
          <w:szCs w:val="20"/>
          <w:color w:val="auto"/>
        </w:rPr>
      </w:pPr>
    </w:p>
    <w:p>
      <w:pPr>
        <w:ind w:left="2820"/>
        <w:spacing w:after="0"/>
        <w:rPr>
          <w:sz w:val="20"/>
          <w:szCs w:val="20"/>
          <w:color w:val="auto"/>
        </w:rPr>
      </w:pPr>
      <w:r>
        <w:rPr>
          <w:rFonts w:ascii="Arial" w:cs="Arial" w:eastAsia="Arial" w:hAnsi="Arial"/>
          <w:sz w:val="16"/>
          <w:szCs w:val="16"/>
          <w:color w:val="auto"/>
        </w:rPr>
        <w:t>• Chairman (2002 - 2013)</w:t>
      </w:r>
    </w:p>
    <w:p>
      <w:pPr>
        <w:spacing w:after="0" w:line="86" w:lineRule="exact"/>
        <w:rPr>
          <w:sz w:val="20"/>
          <w:szCs w:val="20"/>
          <w:color w:val="auto"/>
        </w:rPr>
      </w:pPr>
    </w:p>
    <w:p>
      <w:pPr>
        <w:ind w:left="2820"/>
        <w:spacing w:after="0"/>
        <w:rPr>
          <w:sz w:val="20"/>
          <w:szCs w:val="20"/>
          <w:color w:val="auto"/>
        </w:rPr>
      </w:pPr>
      <w:r>
        <w:rPr>
          <w:rFonts w:ascii="Arial" w:cs="Arial" w:eastAsia="Arial" w:hAnsi="Arial"/>
          <w:sz w:val="16"/>
          <w:szCs w:val="16"/>
          <w:color w:val="auto"/>
        </w:rPr>
        <w:t>• Chairman and CEO (2010 - 2011)</w:t>
      </w:r>
    </w:p>
    <w:p>
      <w:pPr>
        <w:spacing w:after="0" w:line="86" w:lineRule="exact"/>
        <w:rPr>
          <w:sz w:val="20"/>
          <w:szCs w:val="20"/>
          <w:color w:val="auto"/>
        </w:rPr>
      </w:pPr>
    </w:p>
    <w:p>
      <w:pPr>
        <w:ind w:left="2820"/>
        <w:spacing w:after="0"/>
        <w:rPr>
          <w:sz w:val="20"/>
          <w:szCs w:val="20"/>
          <w:color w:val="auto"/>
        </w:rPr>
      </w:pPr>
      <w:r>
        <w:rPr>
          <w:rFonts w:ascii="Arial" w:cs="Arial" w:eastAsia="Arial" w:hAnsi="Arial"/>
          <w:sz w:val="16"/>
          <w:szCs w:val="16"/>
          <w:color w:val="auto"/>
        </w:rPr>
        <w:t>• President and Chief Executive Officer (2001 - 2010)</w:t>
      </w:r>
    </w:p>
    <w:p>
      <w:pPr>
        <w:spacing w:after="0" w:line="86" w:lineRule="exact"/>
        <w:rPr>
          <w:sz w:val="20"/>
          <w:szCs w:val="20"/>
          <w:color w:val="auto"/>
        </w:rPr>
      </w:pPr>
    </w:p>
    <w:p>
      <w:pPr>
        <w:ind w:left="2820"/>
        <w:spacing w:after="0"/>
        <w:rPr>
          <w:sz w:val="20"/>
          <w:szCs w:val="20"/>
          <w:color w:val="auto"/>
        </w:rPr>
      </w:pPr>
      <w:r>
        <w:rPr>
          <w:rFonts w:ascii="Arial" w:cs="Arial" w:eastAsia="Arial" w:hAnsi="Arial"/>
          <w:sz w:val="16"/>
          <w:szCs w:val="16"/>
          <w:color w:val="auto"/>
        </w:rPr>
        <w:t>• Chief Operating Officer (2000 - 2001)</w:t>
      </w:r>
    </w:p>
    <w:p>
      <w:pPr>
        <w:spacing w:after="0" w:line="86" w:lineRule="exact"/>
        <w:rPr>
          <w:sz w:val="20"/>
          <w:szCs w:val="20"/>
          <w:color w:val="auto"/>
        </w:rPr>
      </w:pPr>
    </w:p>
    <w:p>
      <w:pPr>
        <w:ind w:left="2820"/>
        <w:spacing w:after="0"/>
        <w:rPr>
          <w:sz w:val="20"/>
          <w:szCs w:val="20"/>
          <w:color w:val="auto"/>
        </w:rPr>
      </w:pPr>
      <w:r>
        <w:rPr>
          <w:rFonts w:ascii="Arial" w:cs="Arial" w:eastAsia="Arial" w:hAnsi="Arial"/>
          <w:sz w:val="16"/>
          <w:szCs w:val="16"/>
          <w:color w:val="auto"/>
        </w:rPr>
        <w:t>• Chief Financial Officer (1998 - 2000)</w:t>
      </w:r>
    </w:p>
    <w:p>
      <w:pPr>
        <w:spacing w:after="0" w:line="336" w:lineRule="exact"/>
        <w:rPr>
          <w:sz w:val="20"/>
          <w:szCs w:val="20"/>
          <w:color w:val="auto"/>
        </w:rPr>
      </w:pPr>
    </w:p>
    <w:p>
      <w:pPr>
        <w:ind w:left="480" w:right="1640"/>
        <w:spacing w:after="0" w:line="262" w:lineRule="auto"/>
        <w:rPr>
          <w:sz w:val="20"/>
          <w:szCs w:val="20"/>
          <w:color w:val="auto"/>
        </w:rPr>
      </w:pPr>
      <w:r>
        <w:rPr>
          <w:rFonts w:ascii="Arial" w:cs="Arial" w:eastAsia="Arial" w:hAnsi="Arial"/>
          <w:sz w:val="16"/>
          <w:szCs w:val="16"/>
          <w:b w:val="1"/>
          <w:bCs w:val="1"/>
          <w:u w:val="single" w:color="auto"/>
          <w:color w:val="auto"/>
        </w:rPr>
        <w:t>Qualifications</w:t>
      </w:r>
      <w:r>
        <w:rPr>
          <w:rFonts w:ascii="Arial" w:cs="Arial" w:eastAsia="Arial" w:hAnsi="Arial"/>
          <w:sz w:val="16"/>
          <w:szCs w:val="16"/>
          <w:color w:val="auto"/>
        </w:rPr>
        <w:t>: Mr. Hoover has extensive CEO experience at Ball Corporation, with a strong record of leadership</w:t>
      </w:r>
      <w:r>
        <w:rPr>
          <w:rFonts w:ascii="Arial" w:cs="Arial" w:eastAsia="Arial" w:hAnsi="Arial"/>
          <w:sz w:val="16"/>
          <w:szCs w:val="16"/>
          <w:b w:val="1"/>
          <w:bCs w:val="1"/>
          <w:color w:val="auto"/>
        </w:rPr>
        <w:t xml:space="preserve"> </w:t>
      </w:r>
      <w:r>
        <w:rPr>
          <w:rFonts w:ascii="Arial" w:cs="Arial" w:eastAsia="Arial" w:hAnsi="Arial"/>
          <w:sz w:val="16"/>
          <w:szCs w:val="16"/>
          <w:color w:val="auto"/>
        </w:rPr>
        <w:t>in operations and strategy. He has deep financial expertise as a result of his experience as CEO and CFO of Ball. He also has extensive corporate governance experience through his service on other public company boards.</w:t>
      </w:r>
    </w:p>
    <w:p>
      <w:pPr>
        <w:sectPr>
          <w:pgSz w:w="11900" w:h="16838" w:orient="portrait"/>
          <w:cols w:equalWidth="0" w:num="1">
            <w:col w:w="10220"/>
          </w:cols>
          <w:pgMar w:left="1440" w:top="75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9900"/>
        <w:spacing w:after="0"/>
        <w:rPr>
          <w:sz w:val="20"/>
          <w:szCs w:val="20"/>
          <w:color w:val="auto"/>
        </w:rPr>
      </w:pPr>
      <w:r>
        <w:rPr>
          <w:rFonts w:ascii="Arial" w:cs="Arial" w:eastAsia="Arial" w:hAnsi="Arial"/>
          <w:sz w:val="17"/>
          <w:szCs w:val="17"/>
          <w:color w:val="auto"/>
        </w:rPr>
        <w:t>P16</w:t>
      </w:r>
    </w:p>
    <w:p>
      <w:pPr>
        <w:sectPr>
          <w:pgSz w:w="11900" w:h="16838" w:orient="portrait"/>
          <w:cols w:equalWidth="0" w:num="1">
            <w:col w:w="10220"/>
          </w:cols>
          <w:pgMar w:left="1440" w:top="751" w:right="239" w:bottom="1440" w:gutter="0" w:footer="0" w:header="0"/>
          <w:type w:val="continuous"/>
        </w:sectPr>
      </w:pPr>
    </w:p>
    <w:bookmarkStart w:id="20" w:name="page21"/>
    <w:bookmarkEnd w:id="20"/>
    <w:p>
      <w:pPr>
        <w:ind w:left="2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1203960</wp:posOffset>
            </wp:positionH>
            <wp:positionV relativeFrom="page">
              <wp:posOffset>466090</wp:posOffset>
            </wp:positionV>
            <wp:extent cx="5205730" cy="42881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205730" cy="4288155"/>
                    </a:xfrm>
                    <a:prstGeom prst="rect">
                      <a:avLst/>
                    </a:prstGeom>
                    <a:noFill/>
                  </pic:spPr>
                </pic:pic>
              </a:graphicData>
            </a:graphic>
          </wp:anchor>
        </w:drawing>
        <w:t>Juan R. Luciano</w:t>
      </w:r>
    </w:p>
    <w:p>
      <w:pPr>
        <w:spacing w:after="0" w:line="20" w:lineRule="exact"/>
        <w:rPr>
          <w:sz w:val="20"/>
          <w:szCs w:val="20"/>
          <w:color w:val="auto"/>
        </w:rPr>
      </w:pPr>
    </w:p>
    <w:p>
      <w:pPr>
        <w:ind w:left="2660"/>
        <w:spacing w:after="0"/>
        <w:rPr>
          <w:sz w:val="20"/>
          <w:szCs w:val="20"/>
          <w:color w:val="auto"/>
        </w:rPr>
      </w:pPr>
      <w:r>
        <w:rPr>
          <w:rFonts w:ascii="Arial" w:cs="Arial" w:eastAsia="Arial" w:hAnsi="Arial"/>
          <w:sz w:val="16"/>
          <w:szCs w:val="16"/>
          <w:color w:val="auto"/>
        </w:rPr>
        <w:t>Age: 56, Director since 2016</w:t>
      </w:r>
    </w:p>
    <w:p>
      <w:pPr>
        <w:spacing w:after="0" w:line="5" w:lineRule="exact"/>
        <w:rPr>
          <w:sz w:val="20"/>
          <w:szCs w:val="20"/>
          <w:color w:val="auto"/>
        </w:rPr>
      </w:pPr>
    </w:p>
    <w:p>
      <w:pPr>
        <w:ind w:left="2660"/>
        <w:spacing w:after="0"/>
        <w:rPr>
          <w:sz w:val="20"/>
          <w:szCs w:val="20"/>
          <w:color w:val="auto"/>
        </w:rPr>
      </w:pPr>
      <w:r>
        <w:rPr>
          <w:rFonts w:ascii="Arial" w:cs="Arial" w:eastAsia="Arial" w:hAnsi="Arial"/>
          <w:sz w:val="16"/>
          <w:szCs w:val="16"/>
          <w:b w:val="1"/>
          <w:bCs w:val="1"/>
          <w:color w:val="auto"/>
        </w:rPr>
        <w:t>Board Committees</w:t>
      </w:r>
      <w:r>
        <w:rPr>
          <w:rFonts w:ascii="Arial" w:cs="Arial" w:eastAsia="Arial" w:hAnsi="Arial"/>
          <w:sz w:val="16"/>
          <w:szCs w:val="16"/>
          <w:color w:val="auto"/>
        </w:rPr>
        <w:t>: Finance; Public Policy and Compliance</w:t>
      </w:r>
    </w:p>
    <w:p>
      <w:pPr>
        <w:spacing w:after="0" w:line="363" w:lineRule="exact"/>
        <w:rPr>
          <w:sz w:val="20"/>
          <w:szCs w:val="20"/>
          <w:color w:val="auto"/>
        </w:rPr>
      </w:pPr>
    </w:p>
    <w:p>
      <w:pPr>
        <w:ind w:left="2660"/>
        <w:spacing w:after="0"/>
        <w:rPr>
          <w:sz w:val="20"/>
          <w:szCs w:val="20"/>
          <w:color w:val="auto"/>
        </w:rPr>
      </w:pPr>
      <w:r>
        <w:rPr>
          <w:rFonts w:ascii="Arial" w:cs="Arial" w:eastAsia="Arial" w:hAnsi="Arial"/>
          <w:sz w:val="16"/>
          <w:szCs w:val="16"/>
          <w:b w:val="1"/>
          <w:bCs w:val="1"/>
          <w:i w:val="1"/>
          <w:iCs w:val="1"/>
          <w:color w:val="auto"/>
        </w:rPr>
        <w:t xml:space="preserve">Public Boards: </w:t>
      </w:r>
      <w:r>
        <w:rPr>
          <w:rFonts w:ascii="Arial" w:cs="Arial" w:eastAsia="Arial" w:hAnsi="Arial"/>
          <w:sz w:val="16"/>
          <w:szCs w:val="16"/>
          <w:color w:val="auto"/>
        </w:rPr>
        <w:t>Archer Daniels Midland Company; Wilmar</w:t>
      </w:r>
    </w:p>
    <w:p>
      <w:pPr>
        <w:spacing w:after="0" w:line="86" w:lineRule="exact"/>
        <w:rPr>
          <w:sz w:val="20"/>
          <w:szCs w:val="20"/>
          <w:color w:val="auto"/>
        </w:rPr>
      </w:pPr>
    </w:p>
    <w:p>
      <w:pPr>
        <w:jc w:val="right"/>
        <w:ind w:right="1700"/>
        <w:spacing w:after="0"/>
        <w:rPr>
          <w:sz w:val="20"/>
          <w:szCs w:val="20"/>
          <w:color w:val="auto"/>
        </w:rPr>
      </w:pPr>
      <w:r>
        <w:rPr>
          <w:rFonts w:ascii="Arial" w:cs="Arial" w:eastAsia="Arial" w:hAnsi="Arial"/>
          <w:sz w:val="16"/>
          <w:szCs w:val="16"/>
          <w:b w:val="1"/>
          <w:bCs w:val="1"/>
          <w:i w:val="1"/>
          <w:iCs w:val="1"/>
          <w:color w:val="auto"/>
        </w:rPr>
        <w:t>Non-profit Boards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Boys and Girls Clubs of America; Economic Club of Chicago;</w:t>
      </w:r>
    </w:p>
    <w:p>
      <w:pPr>
        <w:spacing w:after="0" w:line="25" w:lineRule="exact"/>
        <w:rPr>
          <w:sz w:val="20"/>
          <w:szCs w:val="20"/>
          <w:color w:val="auto"/>
        </w:rPr>
      </w:pPr>
    </w:p>
    <w:p>
      <w:pPr>
        <w:ind w:left="2660"/>
        <w:spacing w:after="0"/>
        <w:rPr>
          <w:sz w:val="20"/>
          <w:szCs w:val="20"/>
          <w:color w:val="auto"/>
        </w:rPr>
      </w:pPr>
      <w:r>
        <w:rPr>
          <w:rFonts w:ascii="Arial" w:cs="Arial" w:eastAsia="Arial" w:hAnsi="Arial"/>
          <w:sz w:val="16"/>
          <w:szCs w:val="16"/>
          <w:color w:val="auto"/>
        </w:rPr>
        <w:t>Commercial Club of Chicago; and The Business Council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80"/>
        <w:spacing w:after="0"/>
        <w:tabs>
          <w:tab w:leader="none" w:pos="2640" w:val="left"/>
        </w:tabs>
        <w:rPr>
          <w:sz w:val="20"/>
          <w:szCs w:val="20"/>
          <w:color w:val="auto"/>
        </w:rPr>
      </w:pPr>
      <w:r>
        <w:rPr>
          <w:rFonts w:ascii="Arial" w:cs="Arial" w:eastAsia="Arial" w:hAnsi="Arial"/>
          <w:sz w:val="16"/>
          <w:szCs w:val="16"/>
          <w:b w:val="1"/>
          <w:bCs w:val="1"/>
          <w:i w:val="1"/>
          <w:iCs w:val="1"/>
          <w:color w:val="auto"/>
        </w:rPr>
        <w:t>Career Highlights</w:t>
      </w:r>
      <w:r>
        <w:rPr>
          <w:sz w:val="20"/>
          <w:szCs w:val="20"/>
          <w:color w:val="auto"/>
        </w:rPr>
        <w:tab/>
      </w:r>
      <w:r>
        <w:rPr>
          <w:rFonts w:ascii="Arial" w:cs="Arial" w:eastAsia="Arial" w:hAnsi="Arial"/>
          <w:sz w:val="16"/>
          <w:szCs w:val="16"/>
          <w:b w:val="1"/>
          <w:bCs w:val="1"/>
          <w:color w:val="auto"/>
        </w:rPr>
        <w:t>Archer Daniels Midland Company</w:t>
      </w:r>
      <w:r>
        <w:rPr>
          <w:rFonts w:ascii="Arial" w:cs="Arial" w:eastAsia="Arial" w:hAnsi="Arial"/>
          <w:sz w:val="16"/>
          <w:szCs w:val="16"/>
          <w:color w:val="auto"/>
        </w:rPr>
        <w:t>, a global food-processing and commodities-</w:t>
      </w:r>
    </w:p>
    <w:p>
      <w:pPr>
        <w:spacing w:after="0" w:line="25" w:lineRule="exact"/>
        <w:rPr>
          <w:sz w:val="20"/>
          <w:szCs w:val="20"/>
          <w:color w:val="auto"/>
        </w:rPr>
      </w:pPr>
    </w:p>
    <w:p>
      <w:pPr>
        <w:ind w:left="2660"/>
        <w:spacing w:after="0"/>
        <w:rPr>
          <w:sz w:val="20"/>
          <w:szCs w:val="20"/>
          <w:color w:val="auto"/>
        </w:rPr>
      </w:pPr>
      <w:r>
        <w:rPr>
          <w:rFonts w:ascii="Arial" w:cs="Arial" w:eastAsia="Arial" w:hAnsi="Arial"/>
          <w:sz w:val="16"/>
          <w:szCs w:val="16"/>
          <w:color w:val="auto"/>
        </w:rPr>
        <w:t>trading company</w:t>
      </w:r>
    </w:p>
    <w:p>
      <w:pPr>
        <w:spacing w:after="0" w:line="248" w:lineRule="exact"/>
        <w:rPr>
          <w:sz w:val="20"/>
          <w:szCs w:val="20"/>
          <w:color w:val="auto"/>
        </w:rPr>
      </w:pPr>
    </w:p>
    <w:p>
      <w:pPr>
        <w:ind w:left="2820"/>
        <w:spacing w:after="0"/>
        <w:rPr>
          <w:sz w:val="20"/>
          <w:szCs w:val="20"/>
          <w:color w:val="auto"/>
        </w:rPr>
      </w:pPr>
      <w:r>
        <w:rPr>
          <w:rFonts w:ascii="Arial" w:cs="Arial" w:eastAsia="Arial" w:hAnsi="Arial"/>
          <w:sz w:val="16"/>
          <w:szCs w:val="16"/>
          <w:color w:val="auto"/>
        </w:rPr>
        <w:t>• Chairman (January 2016 - present)</w:t>
      </w:r>
    </w:p>
    <w:p>
      <w:pPr>
        <w:spacing w:after="0" w:line="86" w:lineRule="exact"/>
        <w:rPr>
          <w:sz w:val="20"/>
          <w:szCs w:val="20"/>
          <w:color w:val="auto"/>
        </w:rPr>
      </w:pPr>
    </w:p>
    <w:p>
      <w:pPr>
        <w:ind w:left="2820"/>
        <w:spacing w:after="0"/>
        <w:rPr>
          <w:sz w:val="20"/>
          <w:szCs w:val="20"/>
          <w:color w:val="auto"/>
        </w:rPr>
      </w:pPr>
      <w:r>
        <w:rPr>
          <w:rFonts w:ascii="Arial" w:cs="Arial" w:eastAsia="Arial" w:hAnsi="Arial"/>
          <w:sz w:val="16"/>
          <w:szCs w:val="16"/>
          <w:color w:val="auto"/>
        </w:rPr>
        <w:t>• Chief Executive Officer and President (2015 - present)</w:t>
      </w:r>
    </w:p>
    <w:p>
      <w:pPr>
        <w:spacing w:after="0" w:line="86" w:lineRule="exact"/>
        <w:rPr>
          <w:sz w:val="20"/>
          <w:szCs w:val="20"/>
          <w:color w:val="auto"/>
        </w:rPr>
      </w:pPr>
    </w:p>
    <w:p>
      <w:pPr>
        <w:ind w:left="2820"/>
        <w:spacing w:after="0"/>
        <w:rPr>
          <w:sz w:val="20"/>
          <w:szCs w:val="20"/>
          <w:color w:val="auto"/>
        </w:rPr>
      </w:pPr>
      <w:r>
        <w:rPr>
          <w:rFonts w:ascii="Arial" w:cs="Arial" w:eastAsia="Arial" w:hAnsi="Arial"/>
          <w:sz w:val="16"/>
          <w:szCs w:val="16"/>
          <w:color w:val="auto"/>
        </w:rPr>
        <w:t>• President (2014 - 2015)</w:t>
      </w:r>
    </w:p>
    <w:p>
      <w:pPr>
        <w:spacing w:after="0" w:line="86" w:lineRule="exact"/>
        <w:rPr>
          <w:sz w:val="20"/>
          <w:szCs w:val="20"/>
          <w:color w:val="auto"/>
        </w:rPr>
      </w:pPr>
    </w:p>
    <w:p>
      <w:pPr>
        <w:ind w:left="2820"/>
        <w:spacing w:after="0"/>
        <w:rPr>
          <w:sz w:val="20"/>
          <w:szCs w:val="20"/>
          <w:color w:val="auto"/>
        </w:rPr>
      </w:pPr>
      <w:r>
        <w:rPr>
          <w:rFonts w:ascii="Arial" w:cs="Arial" w:eastAsia="Arial" w:hAnsi="Arial"/>
          <w:sz w:val="16"/>
          <w:szCs w:val="16"/>
          <w:color w:val="auto"/>
        </w:rPr>
        <w:t>• Executive Vice President and Chief Operating Officer (2011 - 2014)</w:t>
      </w:r>
    </w:p>
    <w:p>
      <w:pPr>
        <w:spacing w:after="0" w:line="66" w:lineRule="exact"/>
        <w:rPr>
          <w:sz w:val="20"/>
          <w:szCs w:val="20"/>
          <w:color w:val="auto"/>
        </w:rPr>
      </w:pPr>
    </w:p>
    <w:p>
      <w:pPr>
        <w:ind w:left="2660"/>
        <w:spacing w:after="0"/>
        <w:rPr>
          <w:sz w:val="20"/>
          <w:szCs w:val="20"/>
          <w:color w:val="auto"/>
        </w:rPr>
      </w:pPr>
      <w:r>
        <w:rPr>
          <w:rFonts w:ascii="Arial" w:cs="Arial" w:eastAsia="Arial" w:hAnsi="Arial"/>
          <w:sz w:val="16"/>
          <w:szCs w:val="16"/>
          <w:b w:val="1"/>
          <w:bCs w:val="1"/>
          <w:color w:val="auto"/>
        </w:rPr>
        <w:t>The Dow Chemical Company</w:t>
      </w:r>
      <w:r>
        <w:rPr>
          <w:rFonts w:ascii="Arial" w:cs="Arial" w:eastAsia="Arial" w:hAnsi="Arial"/>
          <w:sz w:val="16"/>
          <w:szCs w:val="16"/>
          <w:color w:val="auto"/>
        </w:rPr>
        <w:t>, a multinational chemical company</w:t>
      </w:r>
    </w:p>
    <w:p>
      <w:pPr>
        <w:spacing w:after="0" w:line="268" w:lineRule="exact"/>
        <w:rPr>
          <w:sz w:val="20"/>
          <w:szCs w:val="20"/>
          <w:color w:val="auto"/>
        </w:rPr>
      </w:pPr>
    </w:p>
    <w:p>
      <w:pPr>
        <w:ind w:left="2820"/>
        <w:spacing w:after="0"/>
        <w:rPr>
          <w:sz w:val="20"/>
          <w:szCs w:val="20"/>
          <w:color w:val="auto"/>
        </w:rPr>
      </w:pPr>
      <w:r>
        <w:rPr>
          <w:rFonts w:ascii="Arial" w:cs="Arial" w:eastAsia="Arial" w:hAnsi="Arial"/>
          <w:sz w:val="16"/>
          <w:szCs w:val="16"/>
          <w:color w:val="auto"/>
        </w:rPr>
        <w:t>• Executive Vice President and President, Performance Division (2010 - 2011)</w:t>
      </w:r>
    </w:p>
    <w:p>
      <w:pPr>
        <w:spacing w:after="0" w:line="336" w:lineRule="exact"/>
        <w:rPr>
          <w:sz w:val="20"/>
          <w:szCs w:val="20"/>
          <w:color w:val="auto"/>
        </w:rPr>
      </w:pPr>
    </w:p>
    <w:p>
      <w:pPr>
        <w:ind w:left="480" w:right="1700"/>
        <w:spacing w:after="0" w:line="256" w:lineRule="auto"/>
        <w:rPr>
          <w:sz w:val="20"/>
          <w:szCs w:val="20"/>
          <w:color w:val="auto"/>
        </w:rPr>
      </w:pPr>
      <w:r>
        <w:rPr>
          <w:rFonts w:ascii="Arial" w:cs="Arial" w:eastAsia="Arial" w:hAnsi="Arial"/>
          <w:sz w:val="16"/>
          <w:szCs w:val="16"/>
          <w:b w:val="1"/>
          <w:bCs w:val="1"/>
          <w:u w:val="single" w:color="auto"/>
          <w:color w:val="auto"/>
        </w:rPr>
        <w:t>Qualifications</w:t>
      </w:r>
      <w:r>
        <w:rPr>
          <w:rFonts w:ascii="Arial" w:cs="Arial" w:eastAsia="Arial" w:hAnsi="Arial"/>
          <w:sz w:val="16"/>
          <w:szCs w:val="16"/>
          <w:color w:val="auto"/>
        </w:rPr>
        <w:t>: Mr. Luciano has CEO and global business experience with Archer Daniels Midland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where he has established a reputation for strong result-oriented and strategic leadership, as well as many years of global leadership experience at The Dow Chemical Company. He brings to the board a strong technology and operations background, along with expertise in the food and agriculture sectors, an expanding area of focus for Lilly and its Elanco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255270</wp:posOffset>
            </wp:positionH>
            <wp:positionV relativeFrom="paragraph">
              <wp:posOffset>237490</wp:posOffset>
            </wp:positionV>
            <wp:extent cx="5240020" cy="3721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240020" cy="3721735"/>
                    </a:xfrm>
                    <a:prstGeom prst="rect">
                      <a:avLst/>
                    </a:prstGeom>
                    <a:noFill/>
                  </pic:spPr>
                </pic:pic>
              </a:graphicData>
            </a:graphic>
          </wp:anchor>
        </w:drawing>
      </w:r>
    </w:p>
    <w:p>
      <w:pPr>
        <w:spacing w:after="0" w:line="372"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Kathi P. Seifert</w:t>
      </w:r>
    </w:p>
    <w:p>
      <w:pPr>
        <w:spacing w:after="0" w:line="20" w:lineRule="exact"/>
        <w:rPr>
          <w:sz w:val="20"/>
          <w:szCs w:val="20"/>
          <w:color w:val="auto"/>
        </w:rPr>
      </w:pPr>
    </w:p>
    <w:p>
      <w:pPr>
        <w:ind w:left="2600"/>
        <w:spacing w:after="0"/>
        <w:rPr>
          <w:sz w:val="20"/>
          <w:szCs w:val="20"/>
          <w:color w:val="auto"/>
        </w:rPr>
      </w:pPr>
      <w:r>
        <w:rPr>
          <w:rFonts w:ascii="Arial" w:cs="Arial" w:eastAsia="Arial" w:hAnsi="Arial"/>
          <w:sz w:val="16"/>
          <w:szCs w:val="16"/>
          <w:color w:val="auto"/>
        </w:rPr>
        <w:t>Age: 68, Director since 1995</w:t>
      </w:r>
    </w:p>
    <w:p>
      <w:pPr>
        <w:spacing w:after="0" w:line="5" w:lineRule="exact"/>
        <w:rPr>
          <w:sz w:val="20"/>
          <w:szCs w:val="20"/>
          <w:color w:val="auto"/>
        </w:rPr>
      </w:pPr>
    </w:p>
    <w:p>
      <w:pPr>
        <w:ind w:left="2600"/>
        <w:spacing w:after="0"/>
        <w:rPr>
          <w:sz w:val="20"/>
          <w:szCs w:val="20"/>
          <w:color w:val="auto"/>
        </w:rPr>
      </w:pPr>
      <w:r>
        <w:rPr>
          <w:rFonts w:ascii="Arial" w:cs="Arial" w:eastAsia="Arial" w:hAnsi="Arial"/>
          <w:sz w:val="16"/>
          <w:szCs w:val="16"/>
          <w:b w:val="1"/>
          <w:bCs w:val="1"/>
          <w:color w:val="auto"/>
        </w:rPr>
        <w:t>Board Committees</w:t>
      </w:r>
      <w:r>
        <w:rPr>
          <w:rFonts w:ascii="Arial" w:cs="Arial" w:eastAsia="Arial" w:hAnsi="Arial"/>
          <w:sz w:val="16"/>
          <w:szCs w:val="16"/>
          <w:color w:val="auto"/>
        </w:rPr>
        <w:t>: Audit; Compensation</w:t>
      </w:r>
    </w:p>
    <w:p>
      <w:pPr>
        <w:spacing w:after="0" w:line="215" w:lineRule="exact"/>
        <w:rPr>
          <w:sz w:val="20"/>
          <w:szCs w:val="20"/>
          <w:color w:val="auto"/>
        </w:rPr>
      </w:pPr>
    </w:p>
    <w:p>
      <w:pPr>
        <w:ind w:left="2600"/>
        <w:spacing w:after="0"/>
        <w:rPr>
          <w:sz w:val="20"/>
          <w:szCs w:val="20"/>
          <w:color w:val="auto"/>
        </w:rPr>
      </w:pPr>
      <w:r>
        <w:rPr>
          <w:rFonts w:ascii="Arial" w:cs="Arial" w:eastAsia="Arial" w:hAnsi="Arial"/>
          <w:sz w:val="16"/>
          <w:szCs w:val="16"/>
          <w:b w:val="1"/>
          <w:bCs w:val="1"/>
          <w:i w:val="1"/>
          <w:iCs w:val="1"/>
          <w:color w:val="auto"/>
        </w:rPr>
        <w:t>Public Board</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Investors Community Bank</w:t>
      </w:r>
    </w:p>
    <w:p>
      <w:pPr>
        <w:spacing w:after="0" w:line="25" w:lineRule="exact"/>
        <w:rPr>
          <w:sz w:val="20"/>
          <w:szCs w:val="20"/>
          <w:color w:val="auto"/>
        </w:rPr>
      </w:pPr>
    </w:p>
    <w:p>
      <w:pPr>
        <w:ind w:left="2600"/>
        <w:spacing w:after="0"/>
        <w:rPr>
          <w:sz w:val="20"/>
          <w:szCs w:val="20"/>
          <w:color w:val="auto"/>
        </w:rPr>
      </w:pPr>
      <w:r>
        <w:rPr>
          <w:rFonts w:ascii="Arial" w:cs="Arial" w:eastAsia="Arial" w:hAnsi="Arial"/>
          <w:sz w:val="16"/>
          <w:szCs w:val="16"/>
          <w:b w:val="1"/>
          <w:bCs w:val="1"/>
          <w:i w:val="1"/>
          <w:iCs w:val="1"/>
          <w:color w:val="auto"/>
        </w:rPr>
        <w:t>Private Board</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Appvion, Inc.</w:t>
      </w:r>
    </w:p>
    <w:p>
      <w:pPr>
        <w:spacing w:after="0" w:line="5" w:lineRule="exact"/>
        <w:rPr>
          <w:sz w:val="20"/>
          <w:szCs w:val="20"/>
          <w:color w:val="auto"/>
        </w:rPr>
      </w:pPr>
    </w:p>
    <w:p>
      <w:pPr>
        <w:ind w:left="2600"/>
        <w:spacing w:after="0"/>
        <w:rPr>
          <w:sz w:val="20"/>
          <w:szCs w:val="20"/>
          <w:color w:val="auto"/>
        </w:rPr>
      </w:pPr>
      <w:r>
        <w:rPr>
          <w:rFonts w:ascii="Arial" w:cs="Arial" w:eastAsia="Arial" w:hAnsi="Arial"/>
          <w:sz w:val="16"/>
          <w:szCs w:val="16"/>
          <w:b w:val="1"/>
          <w:bCs w:val="1"/>
          <w:i w:val="1"/>
          <w:iCs w:val="1"/>
          <w:color w:val="auto"/>
        </w:rPr>
        <w:t>Prior Public Boards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Albertsons; Revlon Consumer Products Co.; Supervalue</w:t>
      </w:r>
    </w:p>
    <w:p>
      <w:pPr>
        <w:spacing w:after="0" w:line="5" w:lineRule="exact"/>
        <w:rPr>
          <w:sz w:val="20"/>
          <w:szCs w:val="20"/>
          <w:color w:val="auto"/>
        </w:rPr>
      </w:pPr>
    </w:p>
    <w:p>
      <w:pPr>
        <w:ind w:left="2600"/>
        <w:spacing w:after="0"/>
        <w:rPr>
          <w:sz w:val="20"/>
          <w:szCs w:val="20"/>
          <w:color w:val="auto"/>
        </w:rPr>
      </w:pPr>
      <w:r>
        <w:rPr>
          <w:rFonts w:ascii="Arial" w:cs="Arial" w:eastAsia="Arial" w:hAnsi="Arial"/>
          <w:sz w:val="16"/>
          <w:szCs w:val="16"/>
          <w:color w:val="auto"/>
        </w:rPr>
        <w:t>Inc.; and Lexmark International, Inc.</w:t>
      </w:r>
    </w:p>
    <w:p>
      <w:pPr>
        <w:spacing w:after="0" w:line="200" w:lineRule="exact"/>
        <w:rPr>
          <w:sz w:val="20"/>
          <w:szCs w:val="20"/>
          <w:color w:val="auto"/>
        </w:rPr>
      </w:pPr>
    </w:p>
    <w:p>
      <w:pPr>
        <w:spacing w:after="0" w:line="204" w:lineRule="exact"/>
        <w:rPr>
          <w:sz w:val="20"/>
          <w:szCs w:val="20"/>
          <w:color w:val="auto"/>
        </w:rPr>
      </w:pPr>
    </w:p>
    <w:p>
      <w:pPr>
        <w:ind w:left="2600" w:right="1780"/>
        <w:spacing w:after="0" w:line="266" w:lineRule="auto"/>
        <w:rPr>
          <w:sz w:val="20"/>
          <w:szCs w:val="20"/>
          <w:color w:val="auto"/>
        </w:rPr>
      </w:pPr>
      <w:r>
        <w:rPr>
          <w:rFonts w:ascii="Arial" w:cs="Arial" w:eastAsia="Arial" w:hAnsi="Arial"/>
          <w:sz w:val="16"/>
          <w:szCs w:val="16"/>
          <w:b w:val="1"/>
          <w:bCs w:val="1"/>
          <w:i w:val="1"/>
          <w:iCs w:val="1"/>
          <w:color w:val="auto"/>
        </w:rPr>
        <w:t xml:space="preserve">Non-profit Boards: </w:t>
      </w:r>
      <w:r>
        <w:rPr>
          <w:rFonts w:ascii="Arial" w:cs="Arial" w:eastAsia="Arial" w:hAnsi="Arial"/>
          <w:sz w:val="16"/>
          <w:szCs w:val="16"/>
          <w:color w:val="auto"/>
        </w:rPr>
        <w:t>Community Foundation for the Fox Valley Region; Fox Cities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Building for the Arts; Fox Cities Chamber of Commerce; New North; Greater Fox Cities Area Habitat for Humanity; and Riverview Gardens</w:t>
      </w:r>
    </w:p>
    <w:p>
      <w:pPr>
        <w:spacing w:after="0" w:line="200" w:lineRule="exact"/>
        <w:rPr>
          <w:sz w:val="20"/>
          <w:szCs w:val="20"/>
          <w:color w:val="auto"/>
        </w:rPr>
      </w:pPr>
    </w:p>
    <w:p>
      <w:pPr>
        <w:spacing w:after="0" w:line="363" w:lineRule="exact"/>
        <w:rPr>
          <w:sz w:val="20"/>
          <w:szCs w:val="20"/>
          <w:color w:val="auto"/>
        </w:rPr>
      </w:pPr>
    </w:p>
    <w:p>
      <w:pPr>
        <w:ind w:left="440"/>
        <w:spacing w:after="0"/>
        <w:tabs>
          <w:tab w:leader="none" w:pos="2580" w:val="left"/>
        </w:tabs>
        <w:rPr>
          <w:sz w:val="20"/>
          <w:szCs w:val="20"/>
          <w:color w:val="auto"/>
        </w:rPr>
      </w:pPr>
      <w:r>
        <w:rPr>
          <w:rFonts w:ascii="Arial" w:cs="Arial" w:eastAsia="Arial" w:hAnsi="Arial"/>
          <w:sz w:val="16"/>
          <w:szCs w:val="16"/>
          <w:b w:val="1"/>
          <w:bCs w:val="1"/>
          <w:i w:val="1"/>
          <w:iCs w:val="1"/>
          <w:color w:val="auto"/>
        </w:rPr>
        <w:t>Career Highlights</w:t>
      </w:r>
      <w:r>
        <w:rPr>
          <w:sz w:val="20"/>
          <w:szCs w:val="20"/>
          <w:color w:val="auto"/>
        </w:rPr>
        <w:tab/>
      </w:r>
      <w:r>
        <w:rPr>
          <w:rFonts w:ascii="Arial" w:cs="Arial" w:eastAsia="Arial" w:hAnsi="Arial"/>
          <w:sz w:val="16"/>
          <w:szCs w:val="16"/>
          <w:b w:val="1"/>
          <w:bCs w:val="1"/>
          <w:color w:val="auto"/>
        </w:rPr>
        <w:t>Kimberly-Clark Corporation</w:t>
      </w:r>
      <w:r>
        <w:rPr>
          <w:rFonts w:ascii="Arial" w:cs="Arial" w:eastAsia="Arial" w:hAnsi="Arial"/>
          <w:sz w:val="16"/>
          <w:szCs w:val="16"/>
          <w:color w:val="auto"/>
        </w:rPr>
        <w:t>, a global consumer products company</w:t>
      </w:r>
    </w:p>
    <w:p>
      <w:pPr>
        <w:spacing w:after="0" w:line="200" w:lineRule="exact"/>
        <w:rPr>
          <w:sz w:val="20"/>
          <w:szCs w:val="20"/>
          <w:color w:val="auto"/>
        </w:rPr>
      </w:pPr>
    </w:p>
    <w:p>
      <w:pPr>
        <w:spacing w:after="0" w:line="257" w:lineRule="exact"/>
        <w:rPr>
          <w:sz w:val="20"/>
          <w:szCs w:val="20"/>
          <w:color w:val="auto"/>
        </w:rPr>
      </w:pPr>
    </w:p>
    <w:p>
      <w:pPr>
        <w:ind w:left="2780"/>
        <w:spacing w:after="0"/>
        <w:rPr>
          <w:sz w:val="20"/>
          <w:szCs w:val="20"/>
          <w:color w:val="auto"/>
        </w:rPr>
      </w:pPr>
      <w:r>
        <w:rPr>
          <w:rFonts w:ascii="Arial" w:cs="Arial" w:eastAsia="Arial" w:hAnsi="Arial"/>
          <w:sz w:val="16"/>
          <w:szCs w:val="16"/>
          <w:color w:val="auto"/>
        </w:rPr>
        <w:t>• Executive Vice President (1999 - 2004)</w:t>
      </w:r>
    </w:p>
    <w:p>
      <w:pPr>
        <w:spacing w:after="0" w:line="66" w:lineRule="exact"/>
        <w:rPr>
          <w:sz w:val="20"/>
          <w:szCs w:val="20"/>
          <w:color w:val="auto"/>
        </w:rPr>
      </w:pPr>
    </w:p>
    <w:p>
      <w:pPr>
        <w:ind w:left="2600" w:right="1840"/>
        <w:spacing w:after="0" w:line="286" w:lineRule="auto"/>
        <w:rPr>
          <w:sz w:val="20"/>
          <w:szCs w:val="20"/>
          <w:color w:val="auto"/>
        </w:rPr>
      </w:pPr>
      <w:r>
        <w:rPr>
          <w:rFonts w:ascii="Arial" w:cs="Arial" w:eastAsia="Arial" w:hAnsi="Arial"/>
          <w:sz w:val="16"/>
          <w:szCs w:val="16"/>
          <w:b w:val="1"/>
          <w:bCs w:val="1"/>
          <w:color w:val="auto"/>
        </w:rPr>
        <w:t>Katapult, LLC</w:t>
      </w:r>
      <w:r>
        <w:rPr>
          <w:rFonts w:ascii="Arial" w:cs="Arial" w:eastAsia="Arial" w:hAnsi="Arial"/>
          <w:sz w:val="16"/>
          <w:szCs w:val="16"/>
          <w:color w:val="auto"/>
        </w:rPr>
        <w:t>, a provider of pro bono mentoring and consulting services to non-profit organizations</w:t>
      </w:r>
    </w:p>
    <w:p>
      <w:pPr>
        <w:spacing w:after="0" w:line="14" w:lineRule="exact"/>
        <w:rPr>
          <w:sz w:val="20"/>
          <w:szCs w:val="20"/>
          <w:color w:val="auto"/>
        </w:rPr>
      </w:pPr>
    </w:p>
    <w:p>
      <w:pPr>
        <w:ind w:left="2780"/>
        <w:spacing w:after="0"/>
        <w:rPr>
          <w:sz w:val="20"/>
          <w:szCs w:val="20"/>
          <w:color w:val="auto"/>
        </w:rPr>
      </w:pPr>
      <w:r>
        <w:rPr>
          <w:rFonts w:ascii="Arial" w:cs="Arial" w:eastAsia="Arial" w:hAnsi="Arial"/>
          <w:sz w:val="16"/>
          <w:szCs w:val="16"/>
          <w:color w:val="auto"/>
        </w:rPr>
        <w:t>• Chairman (2004 - present)</w:t>
      </w:r>
    </w:p>
    <w:p>
      <w:pPr>
        <w:spacing w:after="0" w:line="336" w:lineRule="exact"/>
        <w:rPr>
          <w:sz w:val="20"/>
          <w:szCs w:val="20"/>
          <w:color w:val="auto"/>
        </w:rPr>
      </w:pPr>
    </w:p>
    <w:p>
      <w:pPr>
        <w:ind w:left="440" w:right="1740"/>
        <w:spacing w:after="0" w:line="259" w:lineRule="auto"/>
        <w:rPr>
          <w:sz w:val="20"/>
          <w:szCs w:val="20"/>
          <w:color w:val="auto"/>
        </w:rPr>
      </w:pPr>
      <w:r>
        <w:rPr>
          <w:rFonts w:ascii="Arial" w:cs="Arial" w:eastAsia="Arial" w:hAnsi="Arial"/>
          <w:sz w:val="16"/>
          <w:szCs w:val="16"/>
          <w:b w:val="1"/>
          <w:bCs w:val="1"/>
          <w:u w:val="single" w:color="auto"/>
          <w:color w:val="auto"/>
        </w:rPr>
        <w:t>Qualifications</w:t>
      </w:r>
      <w:r>
        <w:rPr>
          <w:rFonts w:ascii="Arial" w:cs="Arial" w:eastAsia="Arial" w:hAnsi="Arial"/>
          <w:sz w:val="16"/>
          <w:szCs w:val="16"/>
          <w:color w:val="auto"/>
        </w:rPr>
        <w:t>: Ms. Seifert is a retired senior executive of Kimberly-Clark. She has strong expertise in consumer</w:t>
      </w:r>
      <w:r>
        <w:rPr>
          <w:rFonts w:ascii="Arial" w:cs="Arial" w:eastAsia="Arial" w:hAnsi="Arial"/>
          <w:sz w:val="16"/>
          <w:szCs w:val="16"/>
          <w:b w:val="1"/>
          <w:bCs w:val="1"/>
          <w:color w:val="auto"/>
        </w:rPr>
        <w:t xml:space="preserve"> </w:t>
      </w:r>
      <w:r>
        <w:rPr>
          <w:rFonts w:ascii="Arial" w:cs="Arial" w:eastAsia="Arial" w:hAnsi="Arial"/>
          <w:sz w:val="16"/>
          <w:szCs w:val="16"/>
          <w:color w:val="auto"/>
        </w:rPr>
        <w:t>marketing and brand management, having led sales and marketing for several worldwide brands, with a special focus on consumer health. She has extensive corporate governance experience through her other board positions.</w:t>
      </w:r>
    </w:p>
    <w:p>
      <w:pPr>
        <w:sectPr>
          <w:pgSz w:w="11900" w:h="16838" w:orient="portrait"/>
          <w:cols w:equalWidth="0" w:num="1">
            <w:col w:w="10220"/>
          </w:cols>
          <w:pgMar w:left="1440" w:top="75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9900"/>
        <w:spacing w:after="0"/>
        <w:rPr>
          <w:sz w:val="20"/>
          <w:szCs w:val="20"/>
          <w:color w:val="auto"/>
        </w:rPr>
      </w:pPr>
      <w:r>
        <w:rPr>
          <w:rFonts w:ascii="Arial" w:cs="Arial" w:eastAsia="Arial" w:hAnsi="Arial"/>
          <w:sz w:val="17"/>
          <w:szCs w:val="17"/>
          <w:color w:val="auto"/>
        </w:rPr>
        <w:t>P17</w:t>
      </w:r>
    </w:p>
    <w:p>
      <w:pPr>
        <w:sectPr>
          <w:pgSz w:w="11900" w:h="16838" w:orient="portrait"/>
          <w:cols w:equalWidth="0" w:num="1">
            <w:col w:w="10220"/>
          </w:cols>
          <w:pgMar w:left="1440" w:top="751" w:right="2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22"/>
          <w:szCs w:val="22"/>
          <w:b w:val="1"/>
          <w:bCs w:val="1"/>
          <w:color w:val="FF0000"/>
        </w:rPr>
        <w:t>Class of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2720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four directors are serving terms that will expire in May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229235</wp:posOffset>
            </wp:positionV>
            <wp:extent cx="5240020" cy="33705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240020" cy="3370580"/>
                    </a:xfrm>
                    <a:prstGeom prst="rect">
                      <a:avLst/>
                    </a:prstGeom>
                    <a:noFill/>
                  </pic:spPr>
                </pic:pic>
              </a:graphicData>
            </a:graphic>
          </wp:anchor>
        </w:drawing>
      </w:r>
    </w:p>
    <w:p>
      <w:pPr>
        <w:spacing w:after="0" w:line="359"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Michael L. Eskew</w:t>
      </w:r>
    </w:p>
    <w:p>
      <w:pPr>
        <w:spacing w:after="0" w:line="20" w:lineRule="exact"/>
        <w:rPr>
          <w:sz w:val="20"/>
          <w:szCs w:val="20"/>
          <w:color w:val="auto"/>
        </w:rPr>
      </w:pPr>
    </w:p>
    <w:p>
      <w:pPr>
        <w:ind w:left="3800"/>
        <w:spacing w:after="0"/>
        <w:rPr>
          <w:sz w:val="20"/>
          <w:szCs w:val="20"/>
          <w:color w:val="auto"/>
        </w:rPr>
      </w:pPr>
      <w:r>
        <w:rPr>
          <w:rFonts w:ascii="Arial" w:cs="Arial" w:eastAsia="Arial" w:hAnsi="Arial"/>
          <w:sz w:val="16"/>
          <w:szCs w:val="16"/>
          <w:color w:val="auto"/>
        </w:rPr>
        <w:t>Age: 68, Director since 2008</w:t>
      </w:r>
    </w:p>
    <w:p>
      <w:pPr>
        <w:spacing w:after="0" w:line="5" w:lineRule="exact"/>
        <w:rPr>
          <w:sz w:val="20"/>
          <w:szCs w:val="20"/>
          <w:color w:val="auto"/>
        </w:rPr>
      </w:pPr>
    </w:p>
    <w:p>
      <w:pPr>
        <w:ind w:left="3800"/>
        <w:spacing w:after="0"/>
        <w:rPr>
          <w:sz w:val="20"/>
          <w:szCs w:val="20"/>
          <w:color w:val="auto"/>
        </w:rPr>
      </w:pPr>
      <w:r>
        <w:rPr>
          <w:rFonts w:ascii="Arial" w:cs="Arial" w:eastAsia="Arial" w:hAnsi="Arial"/>
          <w:sz w:val="16"/>
          <w:szCs w:val="16"/>
          <w:b w:val="1"/>
          <w:bCs w:val="1"/>
          <w:color w:val="auto"/>
        </w:rPr>
        <w:t>Board Committees</w:t>
      </w:r>
      <w:r>
        <w:rPr>
          <w:rFonts w:ascii="Arial" w:cs="Arial" w:eastAsia="Arial" w:hAnsi="Arial"/>
          <w:sz w:val="16"/>
          <w:szCs w:val="16"/>
          <w:color w:val="auto"/>
        </w:rPr>
        <w:t>: Audit (chair); Compensation; Directors and Corporate</w:t>
      </w:r>
    </w:p>
    <w:p>
      <w:pPr>
        <w:spacing w:after="0" w:line="5" w:lineRule="exact"/>
        <w:rPr>
          <w:sz w:val="20"/>
          <w:szCs w:val="20"/>
          <w:color w:val="auto"/>
        </w:rPr>
      </w:pPr>
    </w:p>
    <w:p>
      <w:pPr>
        <w:ind w:left="3800"/>
        <w:spacing w:after="0"/>
        <w:rPr>
          <w:sz w:val="20"/>
          <w:szCs w:val="20"/>
          <w:color w:val="auto"/>
        </w:rPr>
      </w:pPr>
      <w:r>
        <w:rPr>
          <w:rFonts w:ascii="Arial" w:cs="Arial" w:eastAsia="Arial" w:hAnsi="Arial"/>
          <w:sz w:val="16"/>
          <w:szCs w:val="16"/>
          <w:color w:val="auto"/>
        </w:rPr>
        <w:t>Governance</w:t>
      </w:r>
    </w:p>
    <w:p>
      <w:pPr>
        <w:spacing w:after="0" w:line="215" w:lineRule="exact"/>
        <w:rPr>
          <w:sz w:val="20"/>
          <w:szCs w:val="20"/>
          <w:color w:val="auto"/>
        </w:rPr>
      </w:pPr>
    </w:p>
    <w:p>
      <w:pPr>
        <w:ind w:left="3800" w:right="2340"/>
        <w:spacing w:after="0" w:line="281" w:lineRule="auto"/>
        <w:rPr>
          <w:sz w:val="20"/>
          <w:szCs w:val="20"/>
          <w:color w:val="auto"/>
        </w:rPr>
      </w:pPr>
      <w:r>
        <w:rPr>
          <w:rFonts w:ascii="Arial" w:cs="Arial" w:eastAsia="Arial" w:hAnsi="Arial"/>
          <w:sz w:val="16"/>
          <w:szCs w:val="16"/>
          <w:b w:val="1"/>
          <w:bCs w:val="1"/>
          <w:i w:val="1"/>
          <w:iCs w:val="1"/>
          <w:color w:val="auto"/>
        </w:rPr>
        <w:t>Public Boards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3M Corporation; IBM Corporation; and Allstate Insurance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w:t>
      </w:r>
    </w:p>
    <w:p>
      <w:pPr>
        <w:spacing w:after="0" w:line="1" w:lineRule="exact"/>
        <w:rPr>
          <w:sz w:val="20"/>
          <w:szCs w:val="20"/>
          <w:color w:val="auto"/>
        </w:rPr>
      </w:pPr>
    </w:p>
    <w:p>
      <w:pPr>
        <w:ind w:left="3800" w:right="2040"/>
        <w:spacing w:after="0" w:line="286" w:lineRule="auto"/>
        <w:rPr>
          <w:sz w:val="20"/>
          <w:szCs w:val="20"/>
          <w:color w:val="auto"/>
        </w:rPr>
      </w:pPr>
      <w:r>
        <w:rPr>
          <w:rFonts w:ascii="Arial" w:cs="Arial" w:eastAsia="Arial" w:hAnsi="Arial"/>
          <w:sz w:val="16"/>
          <w:szCs w:val="16"/>
          <w:b w:val="1"/>
          <w:bCs w:val="1"/>
          <w:i w:val="1"/>
          <w:iCs w:val="1"/>
          <w:color w:val="auto"/>
        </w:rPr>
        <w:t>Non-profit Boards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Chairman of the board of trustees of The Annie E. Casey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Foundation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640"/>
        <w:spacing w:after="0"/>
        <w:tabs>
          <w:tab w:leader="none" w:pos="3780" w:val="left"/>
        </w:tabs>
        <w:rPr>
          <w:sz w:val="20"/>
          <w:szCs w:val="20"/>
          <w:color w:val="auto"/>
        </w:rPr>
      </w:pPr>
      <w:r>
        <w:rPr>
          <w:rFonts w:ascii="Arial" w:cs="Arial" w:eastAsia="Arial" w:hAnsi="Arial"/>
          <w:sz w:val="16"/>
          <w:szCs w:val="16"/>
          <w:b w:val="1"/>
          <w:bCs w:val="1"/>
          <w:i w:val="1"/>
          <w:iCs w:val="1"/>
          <w:color w:val="auto"/>
        </w:rPr>
        <w:t>Career Highlights</w:t>
      </w:r>
      <w:r>
        <w:rPr>
          <w:sz w:val="20"/>
          <w:szCs w:val="20"/>
          <w:color w:val="auto"/>
        </w:rPr>
        <w:tab/>
      </w:r>
      <w:r>
        <w:rPr>
          <w:rFonts w:ascii="Arial" w:cs="Arial" w:eastAsia="Arial" w:hAnsi="Arial"/>
          <w:sz w:val="16"/>
          <w:szCs w:val="16"/>
          <w:b w:val="1"/>
          <w:bCs w:val="1"/>
          <w:color w:val="auto"/>
        </w:rPr>
        <w:t xml:space="preserve">United Parcel Service, Inc., </w:t>
      </w:r>
      <w:r>
        <w:rPr>
          <w:rFonts w:ascii="Arial" w:cs="Arial" w:eastAsia="Arial" w:hAnsi="Arial"/>
          <w:sz w:val="16"/>
          <w:szCs w:val="16"/>
          <w:color w:val="auto"/>
        </w:rPr>
        <w:t>a global shipping and logistics company</w:t>
      </w:r>
    </w:p>
    <w:p>
      <w:pPr>
        <w:spacing w:after="0" w:line="106" w:lineRule="exact"/>
        <w:rPr>
          <w:sz w:val="20"/>
          <w:szCs w:val="20"/>
          <w:color w:val="auto"/>
        </w:rPr>
      </w:pPr>
    </w:p>
    <w:p>
      <w:pPr>
        <w:ind w:left="4080" w:hanging="108"/>
        <w:spacing w:after="0"/>
        <w:tabs>
          <w:tab w:leader="none" w:pos="4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Chairman and Chief Executive Officer (2002 - 2007)</w:t>
      </w:r>
    </w:p>
    <w:p>
      <w:pPr>
        <w:spacing w:after="0" w:line="86" w:lineRule="exact"/>
        <w:rPr>
          <w:rFonts w:ascii="Arial" w:cs="Arial" w:eastAsia="Arial" w:hAnsi="Arial"/>
          <w:sz w:val="16"/>
          <w:szCs w:val="16"/>
          <w:color w:val="auto"/>
        </w:rPr>
      </w:pPr>
    </w:p>
    <w:p>
      <w:pPr>
        <w:ind w:left="4080" w:hanging="108"/>
        <w:spacing w:after="0"/>
        <w:tabs>
          <w:tab w:leader="none" w:pos="4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Vice Chairman (2000 - 2002)</w:t>
      </w:r>
    </w:p>
    <w:p>
      <w:pPr>
        <w:spacing w:after="0" w:line="86" w:lineRule="exact"/>
        <w:rPr>
          <w:rFonts w:ascii="Arial" w:cs="Arial" w:eastAsia="Arial" w:hAnsi="Arial"/>
          <w:sz w:val="16"/>
          <w:szCs w:val="16"/>
          <w:color w:val="auto"/>
        </w:rPr>
      </w:pPr>
    </w:p>
    <w:p>
      <w:pPr>
        <w:ind w:left="4080" w:hanging="108"/>
        <w:spacing w:after="0"/>
        <w:tabs>
          <w:tab w:leader="none" w:pos="4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UPS Board of Directors (1998 - 2014)</w:t>
      </w:r>
    </w:p>
    <w:p>
      <w:pPr>
        <w:spacing w:after="0" w:line="336" w:lineRule="exact"/>
        <w:rPr>
          <w:sz w:val="20"/>
          <w:szCs w:val="20"/>
          <w:color w:val="auto"/>
        </w:rPr>
      </w:pPr>
    </w:p>
    <w:p>
      <w:pPr>
        <w:ind w:left="1640" w:right="1620"/>
        <w:spacing w:after="0" w:line="256" w:lineRule="auto"/>
        <w:rPr>
          <w:sz w:val="20"/>
          <w:szCs w:val="20"/>
          <w:color w:val="auto"/>
        </w:rPr>
      </w:pPr>
      <w:r>
        <w:rPr>
          <w:rFonts w:ascii="Arial" w:cs="Arial" w:eastAsia="Arial" w:hAnsi="Arial"/>
          <w:sz w:val="16"/>
          <w:szCs w:val="16"/>
          <w:b w:val="1"/>
          <w:bCs w:val="1"/>
          <w:u w:val="single" w:color="auto"/>
          <w:color w:val="auto"/>
        </w:rPr>
        <w:t>Qualifications</w:t>
      </w:r>
      <w:r>
        <w:rPr>
          <w:rFonts w:ascii="Arial" w:cs="Arial" w:eastAsia="Arial" w:hAnsi="Arial"/>
          <w:sz w:val="16"/>
          <w:szCs w:val="16"/>
          <w:color w:val="auto"/>
        </w:rPr>
        <w:t>: Mr. Eskew has CEO experience with UPS, where he established a record of success in managing</w:t>
      </w:r>
      <w:r>
        <w:rPr>
          <w:rFonts w:ascii="Arial" w:cs="Arial" w:eastAsia="Arial" w:hAnsi="Arial"/>
          <w:sz w:val="16"/>
          <w:szCs w:val="16"/>
          <w:b w:val="1"/>
          <w:bCs w:val="1"/>
          <w:color w:val="auto"/>
        </w:rPr>
        <w:t xml:space="preserve"> </w:t>
      </w:r>
      <w:r>
        <w:rPr>
          <w:rFonts w:ascii="Arial" w:cs="Arial" w:eastAsia="Arial" w:hAnsi="Arial"/>
          <w:sz w:val="16"/>
          <w:szCs w:val="16"/>
          <w:color w:val="auto"/>
        </w:rPr>
        <w:t>complex worldwide operations, strategic planning, and building a strong consumer-brand focus. He is an audit committee financial expert, based on his CEO experience and his service on other U.S. company audit committees. He has extensive corporate governance experience through his service on the boards of other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237490</wp:posOffset>
            </wp:positionV>
            <wp:extent cx="5240020" cy="36360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240020" cy="3636010"/>
                    </a:xfrm>
                    <a:prstGeom prst="rect">
                      <a:avLst/>
                    </a:prstGeom>
                    <a:noFill/>
                  </pic:spPr>
                </pic:pic>
              </a:graphicData>
            </a:graphic>
          </wp:anchor>
        </w:drawing>
      </w:r>
    </w:p>
    <w:p>
      <w:pPr>
        <w:spacing w:after="0" w:line="372"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William G. Kaelin, Jr., M.D.</w:t>
      </w:r>
    </w:p>
    <w:p>
      <w:pPr>
        <w:spacing w:after="0" w:line="20" w:lineRule="exact"/>
        <w:rPr>
          <w:sz w:val="20"/>
          <w:szCs w:val="20"/>
          <w:color w:val="auto"/>
        </w:rPr>
      </w:pPr>
    </w:p>
    <w:p>
      <w:pPr>
        <w:ind w:left="3800"/>
        <w:spacing w:after="0"/>
        <w:rPr>
          <w:sz w:val="20"/>
          <w:szCs w:val="20"/>
          <w:color w:val="auto"/>
        </w:rPr>
      </w:pPr>
      <w:r>
        <w:rPr>
          <w:rFonts w:ascii="Arial" w:cs="Arial" w:eastAsia="Arial" w:hAnsi="Arial"/>
          <w:sz w:val="16"/>
          <w:szCs w:val="16"/>
          <w:color w:val="auto"/>
        </w:rPr>
        <w:t>Age: 60, Director since 2012</w:t>
      </w:r>
    </w:p>
    <w:p>
      <w:pPr>
        <w:spacing w:after="0" w:line="5" w:lineRule="exact"/>
        <w:rPr>
          <w:sz w:val="20"/>
          <w:szCs w:val="20"/>
          <w:color w:val="auto"/>
        </w:rPr>
      </w:pPr>
    </w:p>
    <w:p>
      <w:pPr>
        <w:ind w:left="3800"/>
        <w:spacing w:after="0"/>
        <w:rPr>
          <w:sz w:val="20"/>
          <w:szCs w:val="20"/>
          <w:color w:val="auto"/>
        </w:rPr>
      </w:pPr>
      <w:r>
        <w:rPr>
          <w:rFonts w:ascii="Arial" w:cs="Arial" w:eastAsia="Arial" w:hAnsi="Arial"/>
          <w:sz w:val="16"/>
          <w:szCs w:val="16"/>
          <w:b w:val="1"/>
          <w:bCs w:val="1"/>
          <w:color w:val="auto"/>
        </w:rPr>
        <w:t>Board Committees</w:t>
      </w:r>
      <w:r>
        <w:rPr>
          <w:rFonts w:ascii="Arial" w:cs="Arial" w:eastAsia="Arial" w:hAnsi="Arial"/>
          <w:sz w:val="16"/>
          <w:szCs w:val="16"/>
          <w:color w:val="auto"/>
        </w:rPr>
        <w:t>: Finance; Science and Technology (chair)</w:t>
      </w:r>
    </w:p>
    <w:p>
      <w:pPr>
        <w:spacing w:after="0" w:line="228" w:lineRule="exact"/>
        <w:rPr>
          <w:sz w:val="20"/>
          <w:szCs w:val="20"/>
          <w:color w:val="auto"/>
        </w:rPr>
      </w:pPr>
    </w:p>
    <w:p>
      <w:pPr>
        <w:ind w:left="3800" w:right="1900"/>
        <w:spacing w:after="0" w:line="266" w:lineRule="auto"/>
        <w:rPr>
          <w:sz w:val="20"/>
          <w:szCs w:val="20"/>
          <w:color w:val="auto"/>
        </w:rPr>
      </w:pPr>
      <w:r>
        <w:rPr>
          <w:rFonts w:ascii="Arial" w:cs="Arial" w:eastAsia="Arial" w:hAnsi="Arial"/>
          <w:sz w:val="16"/>
          <w:szCs w:val="16"/>
          <w:b w:val="1"/>
          <w:bCs w:val="1"/>
          <w:i w:val="1"/>
          <w:iCs w:val="1"/>
          <w:color w:val="auto"/>
        </w:rPr>
        <w:t>Industry Memberships</w:t>
      </w:r>
      <w:r>
        <w:rPr>
          <w:rFonts w:ascii="Arial" w:cs="Arial" w:eastAsia="Arial" w:hAnsi="Arial"/>
          <w:sz w:val="16"/>
          <w:szCs w:val="16"/>
          <w:color w:val="auto"/>
        </w:rPr>
        <w:t>: National Academy of Medicine; National Academy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Sciences; Association of American Physicians; and American Society of Clinical Investigation</w:t>
      </w:r>
    </w:p>
    <w:p>
      <w:pPr>
        <w:spacing w:after="0" w:line="199" w:lineRule="exact"/>
        <w:rPr>
          <w:sz w:val="20"/>
          <w:szCs w:val="20"/>
          <w:color w:val="auto"/>
        </w:rPr>
      </w:pPr>
    </w:p>
    <w:p>
      <w:pPr>
        <w:ind w:left="3800" w:right="1640"/>
        <w:spacing w:after="0" w:line="286" w:lineRule="auto"/>
        <w:rPr>
          <w:sz w:val="20"/>
          <w:szCs w:val="20"/>
          <w:color w:val="auto"/>
        </w:rPr>
      </w:pPr>
      <w:r>
        <w:rPr>
          <w:rFonts w:ascii="Arial" w:cs="Arial" w:eastAsia="Arial" w:hAnsi="Arial"/>
          <w:sz w:val="16"/>
          <w:szCs w:val="16"/>
          <w:b w:val="1"/>
          <w:bCs w:val="1"/>
          <w:i w:val="1"/>
          <w:iCs w:val="1"/>
          <w:color w:val="auto"/>
        </w:rPr>
        <w:t>Honors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Canada Gairdner International Award; Lefoulon-Delalande Prize - Institute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France; and Albert B. Lasker Prize</w:t>
      </w:r>
    </w:p>
    <w:p>
      <w:pPr>
        <w:spacing w:after="0" w:line="200" w:lineRule="exact"/>
        <w:rPr>
          <w:sz w:val="20"/>
          <w:szCs w:val="20"/>
          <w:color w:val="auto"/>
        </w:rPr>
      </w:pPr>
    </w:p>
    <w:p>
      <w:pPr>
        <w:spacing w:after="0" w:line="347" w:lineRule="exact"/>
        <w:rPr>
          <w:sz w:val="20"/>
          <w:szCs w:val="20"/>
          <w:color w:val="auto"/>
        </w:rPr>
      </w:pPr>
    </w:p>
    <w:p>
      <w:pPr>
        <w:ind w:left="1640"/>
        <w:spacing w:after="0"/>
        <w:tabs>
          <w:tab w:leader="none" w:pos="3780" w:val="left"/>
        </w:tabs>
        <w:rPr>
          <w:sz w:val="20"/>
          <w:szCs w:val="20"/>
          <w:color w:val="auto"/>
        </w:rPr>
      </w:pPr>
      <w:r>
        <w:rPr>
          <w:rFonts w:ascii="Arial" w:cs="Arial" w:eastAsia="Arial" w:hAnsi="Arial"/>
          <w:sz w:val="16"/>
          <w:szCs w:val="16"/>
          <w:b w:val="1"/>
          <w:bCs w:val="1"/>
          <w:i w:val="1"/>
          <w:iCs w:val="1"/>
          <w:color w:val="auto"/>
        </w:rPr>
        <w:t>Career Highlights</w:t>
      </w:r>
      <w:r>
        <w:rPr>
          <w:sz w:val="20"/>
          <w:szCs w:val="20"/>
          <w:color w:val="auto"/>
        </w:rPr>
        <w:tab/>
      </w:r>
      <w:r>
        <w:rPr>
          <w:rFonts w:ascii="Arial" w:cs="Arial" w:eastAsia="Arial" w:hAnsi="Arial"/>
          <w:sz w:val="16"/>
          <w:szCs w:val="16"/>
          <w:b w:val="1"/>
          <w:bCs w:val="1"/>
          <w:color w:val="auto"/>
        </w:rPr>
        <w:t>Dana-Farber/Harvard Cancer Center</w:t>
      </w:r>
    </w:p>
    <w:p>
      <w:pPr>
        <w:spacing w:after="0" w:line="268" w:lineRule="exact"/>
        <w:rPr>
          <w:sz w:val="20"/>
          <w:szCs w:val="20"/>
          <w:color w:val="auto"/>
        </w:rPr>
      </w:pPr>
    </w:p>
    <w:p>
      <w:pPr>
        <w:ind w:left="4080" w:hanging="108"/>
        <w:spacing w:after="0"/>
        <w:tabs>
          <w:tab w:leader="none" w:pos="4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Professor of Medicine (2002 - present)</w:t>
      </w:r>
    </w:p>
    <w:p>
      <w:pPr>
        <w:spacing w:after="0" w:line="66" w:lineRule="exact"/>
        <w:rPr>
          <w:rFonts w:ascii="Arial" w:cs="Arial" w:eastAsia="Arial" w:hAnsi="Arial"/>
          <w:sz w:val="16"/>
          <w:szCs w:val="16"/>
          <w:color w:val="auto"/>
        </w:rPr>
      </w:pPr>
    </w:p>
    <w:p>
      <w:pPr>
        <w:ind w:left="3800"/>
        <w:spacing w:after="0"/>
        <w:rPr>
          <w:rFonts w:ascii="Arial" w:cs="Arial" w:eastAsia="Arial" w:hAnsi="Arial"/>
          <w:sz w:val="16"/>
          <w:szCs w:val="16"/>
          <w:color w:val="auto"/>
        </w:rPr>
      </w:pPr>
      <w:r>
        <w:rPr>
          <w:rFonts w:ascii="Arial" w:cs="Arial" w:eastAsia="Arial" w:hAnsi="Arial"/>
          <w:sz w:val="16"/>
          <w:szCs w:val="16"/>
          <w:b w:val="1"/>
          <w:bCs w:val="1"/>
          <w:color w:val="auto"/>
        </w:rPr>
        <w:t>Brigham and Women's Hospital</w:t>
      </w:r>
    </w:p>
    <w:p>
      <w:pPr>
        <w:spacing w:after="0" w:line="106" w:lineRule="exact"/>
        <w:rPr>
          <w:rFonts w:ascii="Arial" w:cs="Arial" w:eastAsia="Arial" w:hAnsi="Arial"/>
          <w:sz w:val="16"/>
          <w:szCs w:val="16"/>
          <w:color w:val="auto"/>
        </w:rPr>
      </w:pPr>
    </w:p>
    <w:p>
      <w:pPr>
        <w:ind w:left="4080" w:hanging="108"/>
        <w:spacing w:after="0"/>
        <w:tabs>
          <w:tab w:leader="none" w:pos="4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Professor (2002 - present)</w:t>
      </w:r>
    </w:p>
    <w:p>
      <w:pPr>
        <w:spacing w:after="0" w:line="66" w:lineRule="exact"/>
        <w:rPr>
          <w:sz w:val="20"/>
          <w:szCs w:val="20"/>
          <w:color w:val="auto"/>
        </w:rPr>
      </w:pPr>
    </w:p>
    <w:p>
      <w:pPr>
        <w:ind w:left="3800"/>
        <w:spacing w:after="0"/>
        <w:rPr>
          <w:sz w:val="20"/>
          <w:szCs w:val="20"/>
          <w:color w:val="auto"/>
        </w:rPr>
      </w:pPr>
      <w:r>
        <w:rPr>
          <w:rFonts w:ascii="Arial" w:cs="Arial" w:eastAsia="Arial" w:hAnsi="Arial"/>
          <w:sz w:val="16"/>
          <w:szCs w:val="16"/>
          <w:b w:val="1"/>
          <w:bCs w:val="1"/>
          <w:color w:val="auto"/>
        </w:rPr>
        <w:t>Howard Hughes Medical Institute</w:t>
      </w:r>
    </w:p>
    <w:p>
      <w:pPr>
        <w:spacing w:after="0" w:line="106" w:lineRule="exact"/>
        <w:rPr>
          <w:sz w:val="20"/>
          <w:szCs w:val="20"/>
          <w:color w:val="auto"/>
        </w:rPr>
      </w:pPr>
    </w:p>
    <w:p>
      <w:pPr>
        <w:ind w:left="4080" w:hanging="108"/>
        <w:spacing w:after="0"/>
        <w:tabs>
          <w:tab w:leader="none" w:pos="4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Investigator (2002 - present)</w:t>
      </w:r>
    </w:p>
    <w:p>
      <w:pPr>
        <w:spacing w:after="0" w:line="86" w:lineRule="exact"/>
        <w:rPr>
          <w:rFonts w:ascii="Arial" w:cs="Arial" w:eastAsia="Arial" w:hAnsi="Arial"/>
          <w:sz w:val="16"/>
          <w:szCs w:val="16"/>
          <w:color w:val="auto"/>
        </w:rPr>
      </w:pPr>
    </w:p>
    <w:p>
      <w:pPr>
        <w:ind w:left="4080" w:hanging="108"/>
        <w:spacing w:after="0"/>
        <w:tabs>
          <w:tab w:leader="none" w:pos="4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Assistant Investigator (1998 - 2002)</w:t>
      </w:r>
    </w:p>
    <w:p>
      <w:pPr>
        <w:spacing w:after="0" w:line="282" w:lineRule="exact"/>
        <w:rPr>
          <w:sz w:val="20"/>
          <w:szCs w:val="20"/>
          <w:color w:val="auto"/>
        </w:rPr>
      </w:pPr>
    </w:p>
    <w:p>
      <w:pPr>
        <w:ind w:left="1640" w:right="1780"/>
        <w:spacing w:after="0" w:line="259" w:lineRule="auto"/>
        <w:rPr>
          <w:sz w:val="20"/>
          <w:szCs w:val="20"/>
          <w:color w:val="auto"/>
        </w:rPr>
      </w:pPr>
      <w:r>
        <w:rPr>
          <w:rFonts w:ascii="Arial" w:cs="Arial" w:eastAsia="Arial" w:hAnsi="Arial"/>
          <w:sz w:val="16"/>
          <w:szCs w:val="16"/>
          <w:b w:val="1"/>
          <w:bCs w:val="1"/>
          <w:u w:val="single" w:color="auto"/>
          <w:color w:val="auto"/>
        </w:rPr>
        <w:t>Qualifications</w:t>
      </w:r>
      <w:r>
        <w:rPr>
          <w:rFonts w:ascii="Arial" w:cs="Arial" w:eastAsia="Arial" w:hAnsi="Arial"/>
          <w:sz w:val="16"/>
          <w:szCs w:val="16"/>
          <w:color w:val="auto"/>
        </w:rPr>
        <w:t>: Dr. Kaelin is a prominent medical researcher and academician. He has extensive experience at</w:t>
      </w:r>
      <w:r>
        <w:rPr>
          <w:rFonts w:ascii="Arial" w:cs="Arial" w:eastAsia="Arial" w:hAnsi="Arial"/>
          <w:sz w:val="16"/>
          <w:szCs w:val="16"/>
          <w:b w:val="1"/>
          <w:bCs w:val="1"/>
          <w:color w:val="auto"/>
        </w:rPr>
        <w:t xml:space="preserve"> </w:t>
      </w:r>
      <w:r>
        <w:rPr>
          <w:rFonts w:ascii="Arial" w:cs="Arial" w:eastAsia="Arial" w:hAnsi="Arial"/>
          <w:sz w:val="16"/>
          <w:szCs w:val="16"/>
          <w:color w:val="auto"/>
        </w:rPr>
        <w:t>Harvard Medical School, a major medical institution, as well as special expertise in oncology—a key component of Lilly's business. He also has deep expertise in basic science, including mechanisms of drug action, and experience with pharmaceutical discovery research.</w:t>
      </w: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1100"/>
        <w:spacing w:after="0"/>
        <w:rPr>
          <w:sz w:val="20"/>
          <w:szCs w:val="20"/>
          <w:color w:val="auto"/>
        </w:rPr>
      </w:pPr>
      <w:r>
        <w:rPr>
          <w:rFonts w:ascii="Arial" w:cs="Arial" w:eastAsia="Arial" w:hAnsi="Arial"/>
          <w:sz w:val="17"/>
          <w:szCs w:val="17"/>
          <w:color w:val="auto"/>
        </w:rPr>
        <w:t>P18</w:t>
      </w:r>
    </w:p>
    <w:p>
      <w:pPr>
        <w:sectPr>
          <w:pgSz w:w="11900" w:h="16838" w:orient="portrait"/>
          <w:cols w:equalWidth="0" w:num="1">
            <w:col w:w="11420"/>
          </w:cols>
          <w:pgMar w:left="240" w:top="580" w:right="239" w:bottom="1440" w:gutter="0" w:footer="0" w:header="0"/>
          <w:type w:val="continuous"/>
        </w:sectPr>
      </w:pPr>
    </w:p>
    <w:bookmarkStart w:id="22" w:name="page23"/>
    <w:bookmarkEnd w:id="22"/>
    <w:p>
      <w:pPr>
        <w:ind w:left="38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1169670</wp:posOffset>
            </wp:positionH>
            <wp:positionV relativeFrom="page">
              <wp:posOffset>466090</wp:posOffset>
            </wp:positionV>
            <wp:extent cx="5240020" cy="27959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240020" cy="2795905"/>
                    </a:xfrm>
                    <a:prstGeom prst="rect">
                      <a:avLst/>
                    </a:prstGeom>
                    <a:noFill/>
                  </pic:spPr>
                </pic:pic>
              </a:graphicData>
            </a:graphic>
          </wp:anchor>
        </w:drawing>
        <w:t>David A. Ricks</w:t>
      </w:r>
    </w:p>
    <w:p>
      <w:pPr>
        <w:spacing w:after="0" w:line="20" w:lineRule="exact"/>
        <w:rPr>
          <w:sz w:val="20"/>
          <w:szCs w:val="20"/>
          <w:color w:val="auto"/>
        </w:rPr>
      </w:pPr>
    </w:p>
    <w:p>
      <w:pPr>
        <w:ind w:left="3800"/>
        <w:spacing w:after="0"/>
        <w:rPr>
          <w:sz w:val="20"/>
          <w:szCs w:val="20"/>
          <w:color w:val="auto"/>
        </w:rPr>
      </w:pPr>
      <w:r>
        <w:rPr>
          <w:rFonts w:ascii="Arial" w:cs="Arial" w:eastAsia="Arial" w:hAnsi="Arial"/>
          <w:sz w:val="16"/>
          <w:szCs w:val="16"/>
          <w:color w:val="auto"/>
        </w:rPr>
        <w:t>Age: 50, Director since 2017</w:t>
      </w:r>
    </w:p>
    <w:p>
      <w:pPr>
        <w:spacing w:after="0" w:line="5" w:lineRule="exact"/>
        <w:rPr>
          <w:sz w:val="20"/>
          <w:szCs w:val="20"/>
          <w:color w:val="auto"/>
        </w:rPr>
      </w:pPr>
    </w:p>
    <w:p>
      <w:pPr>
        <w:ind w:left="3800"/>
        <w:spacing w:after="0"/>
        <w:rPr>
          <w:sz w:val="20"/>
          <w:szCs w:val="20"/>
          <w:color w:val="auto"/>
        </w:rPr>
      </w:pPr>
      <w:r>
        <w:rPr>
          <w:rFonts w:ascii="Arial" w:cs="Arial" w:eastAsia="Arial" w:hAnsi="Arial"/>
          <w:sz w:val="16"/>
          <w:szCs w:val="16"/>
          <w:b w:val="1"/>
          <w:bCs w:val="1"/>
          <w:color w:val="auto"/>
        </w:rPr>
        <w:t>Board Committees</w:t>
      </w:r>
      <w:r>
        <w:rPr>
          <w:rFonts w:ascii="Arial" w:cs="Arial" w:eastAsia="Arial" w:hAnsi="Arial"/>
          <w:sz w:val="16"/>
          <w:szCs w:val="16"/>
          <w:color w:val="auto"/>
        </w:rPr>
        <w:t>: none</w:t>
      </w:r>
    </w:p>
    <w:p>
      <w:pPr>
        <w:spacing w:after="0" w:line="269" w:lineRule="exact"/>
        <w:rPr>
          <w:sz w:val="20"/>
          <w:szCs w:val="20"/>
          <w:color w:val="auto"/>
        </w:rPr>
      </w:pPr>
    </w:p>
    <w:p>
      <w:pPr>
        <w:ind w:left="3800" w:right="1720"/>
        <w:spacing w:after="0" w:line="286" w:lineRule="auto"/>
        <w:rPr>
          <w:sz w:val="20"/>
          <w:szCs w:val="20"/>
          <w:color w:val="auto"/>
        </w:rPr>
      </w:pPr>
      <w:r>
        <w:rPr>
          <w:rFonts w:ascii="Arial" w:cs="Arial" w:eastAsia="Arial" w:hAnsi="Arial"/>
          <w:sz w:val="16"/>
          <w:szCs w:val="16"/>
          <w:b w:val="1"/>
          <w:bCs w:val="1"/>
          <w:i w:val="1"/>
          <w:iCs w:val="1"/>
          <w:color w:val="auto"/>
        </w:rPr>
        <w:t>Industry Memberships</w:t>
      </w:r>
      <w:r>
        <w:rPr>
          <w:rFonts w:ascii="Arial" w:cs="Arial" w:eastAsia="Arial" w:hAnsi="Arial"/>
          <w:sz w:val="16"/>
          <w:szCs w:val="16"/>
          <w:color w:val="auto"/>
        </w:rPr>
        <w:t>: Pharmaceutical Research and Manufacturers of America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(PhRMA)</w:t>
      </w:r>
    </w:p>
    <w:p>
      <w:pPr>
        <w:spacing w:after="0" w:line="183" w:lineRule="exact"/>
        <w:rPr>
          <w:sz w:val="20"/>
          <w:szCs w:val="20"/>
          <w:color w:val="auto"/>
        </w:rPr>
      </w:pPr>
    </w:p>
    <w:p>
      <w:pPr>
        <w:ind w:left="3800" w:right="1860"/>
        <w:spacing w:after="0" w:line="286" w:lineRule="auto"/>
        <w:rPr>
          <w:sz w:val="20"/>
          <w:szCs w:val="20"/>
          <w:color w:val="auto"/>
        </w:rPr>
      </w:pPr>
      <w:r>
        <w:rPr>
          <w:rFonts w:ascii="Arial" w:cs="Arial" w:eastAsia="Arial" w:hAnsi="Arial"/>
          <w:sz w:val="16"/>
          <w:szCs w:val="16"/>
          <w:b w:val="1"/>
          <w:bCs w:val="1"/>
          <w:i w:val="1"/>
          <w:iCs w:val="1"/>
          <w:color w:val="auto"/>
        </w:rPr>
        <w:t>Non-profit Boards</w:t>
      </w:r>
      <w:r>
        <w:rPr>
          <w:rFonts w:ascii="Arial" w:cs="Arial" w:eastAsia="Arial" w:hAnsi="Arial"/>
          <w:sz w:val="16"/>
          <w:szCs w:val="16"/>
          <w:color w:val="auto"/>
        </w:rPr>
        <w:t>: Board of Governors for Riley Children's Foundation; Central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Indiana Community Partnership</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640"/>
        <w:spacing w:after="0"/>
        <w:tabs>
          <w:tab w:leader="none" w:pos="3780" w:val="left"/>
        </w:tabs>
        <w:rPr>
          <w:sz w:val="20"/>
          <w:szCs w:val="20"/>
          <w:color w:val="auto"/>
        </w:rPr>
      </w:pPr>
      <w:r>
        <w:rPr>
          <w:rFonts w:ascii="Arial" w:cs="Arial" w:eastAsia="Arial" w:hAnsi="Arial"/>
          <w:sz w:val="16"/>
          <w:szCs w:val="16"/>
          <w:b w:val="1"/>
          <w:bCs w:val="1"/>
          <w:i w:val="1"/>
          <w:iCs w:val="1"/>
          <w:color w:val="auto"/>
        </w:rPr>
        <w:t>Career Highlights</w:t>
      </w:r>
      <w:r>
        <w:rPr>
          <w:sz w:val="20"/>
          <w:szCs w:val="20"/>
          <w:color w:val="auto"/>
        </w:rPr>
        <w:tab/>
      </w:r>
      <w:r>
        <w:rPr>
          <w:rFonts w:ascii="Arial" w:cs="Arial" w:eastAsia="Arial" w:hAnsi="Arial"/>
          <w:sz w:val="16"/>
          <w:szCs w:val="16"/>
          <w:b w:val="1"/>
          <w:bCs w:val="1"/>
          <w:color w:val="auto"/>
        </w:rPr>
        <w:t>Eli Lilly and Company</w:t>
      </w:r>
    </w:p>
    <w:p>
      <w:pPr>
        <w:spacing w:after="0" w:line="106" w:lineRule="exact"/>
        <w:rPr>
          <w:sz w:val="20"/>
          <w:szCs w:val="20"/>
          <w:color w:val="auto"/>
        </w:rPr>
      </w:pPr>
    </w:p>
    <w:p>
      <w:pPr>
        <w:ind w:left="4080" w:hanging="108"/>
        <w:spacing w:after="0"/>
        <w:tabs>
          <w:tab w:leader="none" w:pos="40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Chairman of the Board, President and CEO (2017 - present)</w:t>
      </w:r>
    </w:p>
    <w:p>
      <w:pPr>
        <w:spacing w:after="0" w:line="86" w:lineRule="exact"/>
        <w:rPr>
          <w:rFonts w:ascii="Arial" w:cs="Arial" w:eastAsia="Arial" w:hAnsi="Arial"/>
          <w:sz w:val="16"/>
          <w:szCs w:val="16"/>
          <w:color w:val="auto"/>
        </w:rPr>
      </w:pPr>
    </w:p>
    <w:p>
      <w:pPr>
        <w:ind w:left="4080" w:hanging="108"/>
        <w:spacing w:after="0"/>
        <w:tabs>
          <w:tab w:leader="none" w:pos="40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Senior Vice President and President, Lilly Bio-Medicines (2012 - 2016)</w:t>
      </w:r>
    </w:p>
    <w:p>
      <w:pPr>
        <w:spacing w:after="0" w:line="282" w:lineRule="exact"/>
        <w:rPr>
          <w:sz w:val="20"/>
          <w:szCs w:val="20"/>
          <w:color w:val="auto"/>
        </w:rPr>
      </w:pPr>
    </w:p>
    <w:p>
      <w:pPr>
        <w:ind w:left="1640" w:right="1740"/>
        <w:spacing w:after="0" w:line="259" w:lineRule="auto"/>
        <w:rPr>
          <w:sz w:val="20"/>
          <w:szCs w:val="20"/>
          <w:color w:val="auto"/>
        </w:rPr>
      </w:pPr>
      <w:r>
        <w:rPr>
          <w:rFonts w:ascii="Arial" w:cs="Arial" w:eastAsia="Arial" w:hAnsi="Arial"/>
          <w:sz w:val="16"/>
          <w:szCs w:val="16"/>
          <w:b w:val="1"/>
          <w:bCs w:val="1"/>
          <w:u w:val="single" w:color="auto"/>
          <w:color w:val="auto"/>
        </w:rPr>
        <w:t>Qualifications</w:t>
      </w:r>
      <w:r>
        <w:rPr>
          <w:rFonts w:ascii="Arial" w:cs="Arial" w:eastAsia="Arial" w:hAnsi="Arial"/>
          <w:sz w:val="16"/>
          <w:szCs w:val="16"/>
          <w:color w:val="auto"/>
        </w:rPr>
        <w:t>: Mr. Ricks was named President and CEO on January 1, 2017, and joined the board at that time.</w:t>
      </w:r>
      <w:r>
        <w:rPr>
          <w:rFonts w:ascii="Arial" w:cs="Arial" w:eastAsia="Arial" w:hAnsi="Arial"/>
          <w:sz w:val="16"/>
          <w:szCs w:val="16"/>
          <w:b w:val="1"/>
          <w:bCs w:val="1"/>
          <w:color w:val="auto"/>
        </w:rPr>
        <w:t xml:space="preserve"> </w:t>
      </w:r>
      <w:r>
        <w:rPr>
          <w:rFonts w:ascii="Arial" w:cs="Arial" w:eastAsia="Arial" w:hAnsi="Arial"/>
          <w:sz w:val="16"/>
          <w:szCs w:val="16"/>
          <w:color w:val="auto"/>
        </w:rPr>
        <w:t>He became Chairman of the Board on June 1, 2017. Mr. Ricks joined Lilly in 1996 and most recently served as president of Lilly Bio-Medicines. He has deep expertise in product development, global sales and marketing, as well as public policy. He has significant global experience in the company's commercial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236220</wp:posOffset>
            </wp:positionV>
            <wp:extent cx="5240020" cy="38588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240020" cy="3858895"/>
                    </a:xfrm>
                    <a:prstGeom prst="rect">
                      <a:avLst/>
                    </a:prstGeom>
                    <a:noFill/>
                  </pic:spPr>
                </pic:pic>
              </a:graphicData>
            </a:graphic>
          </wp:anchor>
        </w:drawing>
      </w:r>
    </w:p>
    <w:p>
      <w:pPr>
        <w:spacing w:after="0" w:line="370"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Marschall S. Runge, M.D., Ph.D.</w:t>
      </w:r>
    </w:p>
    <w:p>
      <w:pPr>
        <w:spacing w:after="0" w:line="20" w:lineRule="exact"/>
        <w:rPr>
          <w:sz w:val="20"/>
          <w:szCs w:val="20"/>
          <w:color w:val="auto"/>
        </w:rPr>
      </w:pPr>
    </w:p>
    <w:p>
      <w:pPr>
        <w:ind w:left="3800"/>
        <w:spacing w:after="0"/>
        <w:rPr>
          <w:sz w:val="20"/>
          <w:szCs w:val="20"/>
          <w:color w:val="auto"/>
        </w:rPr>
      </w:pPr>
      <w:r>
        <w:rPr>
          <w:rFonts w:ascii="Arial" w:cs="Arial" w:eastAsia="Arial" w:hAnsi="Arial"/>
          <w:sz w:val="16"/>
          <w:szCs w:val="16"/>
          <w:color w:val="auto"/>
        </w:rPr>
        <w:t>Age: 63, Director since 2013</w:t>
      </w:r>
    </w:p>
    <w:p>
      <w:pPr>
        <w:spacing w:after="0" w:line="5" w:lineRule="exact"/>
        <w:rPr>
          <w:sz w:val="20"/>
          <w:szCs w:val="20"/>
          <w:color w:val="auto"/>
        </w:rPr>
      </w:pPr>
    </w:p>
    <w:p>
      <w:pPr>
        <w:ind w:left="3800"/>
        <w:spacing w:after="0"/>
        <w:rPr>
          <w:sz w:val="20"/>
          <w:szCs w:val="20"/>
          <w:color w:val="auto"/>
        </w:rPr>
      </w:pPr>
      <w:r>
        <w:rPr>
          <w:rFonts w:ascii="Arial" w:cs="Arial" w:eastAsia="Arial" w:hAnsi="Arial"/>
          <w:sz w:val="16"/>
          <w:szCs w:val="16"/>
          <w:b w:val="1"/>
          <w:bCs w:val="1"/>
          <w:color w:val="auto"/>
        </w:rPr>
        <w:t xml:space="preserve">Board Committees: </w:t>
      </w:r>
      <w:r>
        <w:rPr>
          <w:rFonts w:ascii="Arial" w:cs="Arial" w:eastAsia="Arial" w:hAnsi="Arial"/>
          <w:sz w:val="16"/>
          <w:szCs w:val="16"/>
          <w:color w:val="auto"/>
        </w:rPr>
        <w:t>Public Policy and Compliance; Science and Technology</w:t>
      </w:r>
    </w:p>
    <w:p>
      <w:pPr>
        <w:spacing w:after="0" w:line="200" w:lineRule="exact"/>
        <w:rPr>
          <w:sz w:val="20"/>
          <w:szCs w:val="20"/>
          <w:color w:val="auto"/>
        </w:rPr>
      </w:pPr>
    </w:p>
    <w:p>
      <w:pPr>
        <w:spacing w:after="0" w:line="231" w:lineRule="exact"/>
        <w:rPr>
          <w:sz w:val="20"/>
          <w:szCs w:val="20"/>
          <w:color w:val="auto"/>
        </w:rPr>
      </w:pPr>
    </w:p>
    <w:p>
      <w:pPr>
        <w:ind w:left="3800" w:right="1880"/>
        <w:spacing w:after="0" w:line="286" w:lineRule="auto"/>
        <w:rPr>
          <w:sz w:val="20"/>
          <w:szCs w:val="20"/>
          <w:color w:val="auto"/>
        </w:rPr>
      </w:pPr>
      <w:r>
        <w:rPr>
          <w:rFonts w:ascii="Arial" w:cs="Arial" w:eastAsia="Arial" w:hAnsi="Arial"/>
          <w:sz w:val="16"/>
          <w:szCs w:val="16"/>
          <w:b w:val="1"/>
          <w:bCs w:val="1"/>
          <w:i w:val="1"/>
          <w:iCs w:val="1"/>
          <w:color w:val="auto"/>
        </w:rPr>
        <w:t>Industry Membership</w:t>
      </w:r>
      <w:r>
        <w:rPr>
          <w:rFonts w:ascii="Arial" w:cs="Arial" w:eastAsia="Arial" w:hAnsi="Arial"/>
          <w:sz w:val="16"/>
          <w:szCs w:val="16"/>
          <w:color w:val="auto"/>
        </w:rPr>
        <w:t>: Experimental Cardiovascular Sciences Study Section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National Institutes of Health</w:t>
      </w:r>
    </w:p>
    <w:p>
      <w:pPr>
        <w:spacing w:after="0" w:line="196" w:lineRule="exact"/>
        <w:rPr>
          <w:sz w:val="20"/>
          <w:szCs w:val="20"/>
          <w:color w:val="auto"/>
        </w:rPr>
      </w:pPr>
    </w:p>
    <w:p>
      <w:pPr>
        <w:ind w:left="3800"/>
        <w:spacing w:after="0"/>
        <w:rPr>
          <w:sz w:val="20"/>
          <w:szCs w:val="20"/>
          <w:color w:val="auto"/>
        </w:rPr>
      </w:pPr>
      <w:r>
        <w:rPr>
          <w:rFonts w:ascii="Arial" w:cs="Arial" w:eastAsia="Arial" w:hAnsi="Arial"/>
          <w:sz w:val="16"/>
          <w:szCs w:val="16"/>
          <w:b w:val="1"/>
          <w:bCs w:val="1"/>
          <w:i w:val="1"/>
          <w:iCs w:val="1"/>
          <w:color w:val="auto"/>
        </w:rPr>
        <w:t>Non-profit Board</w:t>
      </w:r>
      <w:r>
        <w:rPr>
          <w:rFonts w:ascii="Arial" w:cs="Arial" w:eastAsia="Arial" w:hAnsi="Arial"/>
          <w:sz w:val="16"/>
          <w:szCs w:val="16"/>
          <w:color w:val="auto"/>
        </w:rPr>
        <w:t>: UMHS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640"/>
        <w:spacing w:after="0"/>
        <w:tabs>
          <w:tab w:leader="none" w:pos="3780" w:val="left"/>
        </w:tabs>
        <w:rPr>
          <w:sz w:val="20"/>
          <w:szCs w:val="20"/>
          <w:color w:val="auto"/>
        </w:rPr>
      </w:pPr>
      <w:r>
        <w:rPr>
          <w:rFonts w:ascii="Arial" w:cs="Arial" w:eastAsia="Arial" w:hAnsi="Arial"/>
          <w:sz w:val="16"/>
          <w:szCs w:val="16"/>
          <w:b w:val="1"/>
          <w:bCs w:val="1"/>
          <w:i w:val="1"/>
          <w:iCs w:val="1"/>
          <w:color w:val="auto"/>
        </w:rPr>
        <w:t>Career Highlights</w:t>
      </w:r>
      <w:r>
        <w:rPr>
          <w:sz w:val="20"/>
          <w:szCs w:val="20"/>
          <w:color w:val="auto"/>
        </w:rPr>
        <w:tab/>
      </w:r>
      <w:r>
        <w:rPr>
          <w:rFonts w:ascii="Arial" w:cs="Arial" w:eastAsia="Arial" w:hAnsi="Arial"/>
          <w:sz w:val="16"/>
          <w:szCs w:val="16"/>
          <w:b w:val="1"/>
          <w:bCs w:val="1"/>
          <w:color w:val="auto"/>
        </w:rPr>
        <w:t>University of Michigan</w:t>
      </w:r>
    </w:p>
    <w:p>
      <w:pPr>
        <w:spacing w:after="0" w:line="106" w:lineRule="exact"/>
        <w:rPr>
          <w:sz w:val="20"/>
          <w:szCs w:val="20"/>
          <w:color w:val="auto"/>
        </w:rPr>
      </w:pPr>
    </w:p>
    <w:p>
      <w:pPr>
        <w:ind w:left="4080" w:hanging="108"/>
        <w:spacing w:after="0"/>
        <w:tabs>
          <w:tab w:leader="none" w:pos="4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CEO, Michigan Medicine (2015 - present)</w:t>
      </w:r>
    </w:p>
    <w:p>
      <w:pPr>
        <w:spacing w:after="0" w:line="86" w:lineRule="exact"/>
        <w:rPr>
          <w:rFonts w:ascii="Arial" w:cs="Arial" w:eastAsia="Arial" w:hAnsi="Arial"/>
          <w:sz w:val="16"/>
          <w:szCs w:val="16"/>
          <w:color w:val="auto"/>
        </w:rPr>
      </w:pPr>
    </w:p>
    <w:p>
      <w:pPr>
        <w:ind w:left="4080" w:hanging="108"/>
        <w:spacing w:after="0"/>
        <w:tabs>
          <w:tab w:leader="none" w:pos="4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Executive Vice President for Medical Affairs (2015 - present)</w:t>
      </w:r>
    </w:p>
    <w:p>
      <w:pPr>
        <w:spacing w:after="0" w:line="86" w:lineRule="exact"/>
        <w:rPr>
          <w:rFonts w:ascii="Arial" w:cs="Arial" w:eastAsia="Arial" w:hAnsi="Arial"/>
          <w:sz w:val="16"/>
          <w:szCs w:val="16"/>
          <w:color w:val="auto"/>
        </w:rPr>
      </w:pPr>
    </w:p>
    <w:p>
      <w:pPr>
        <w:ind w:left="4080" w:hanging="108"/>
        <w:spacing w:after="0"/>
        <w:tabs>
          <w:tab w:leader="none" w:pos="4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Dean, Medical School (2015 - present)</w:t>
      </w:r>
    </w:p>
    <w:p>
      <w:pPr>
        <w:spacing w:after="0" w:line="66"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University of North Carolina, School of Medicine</w:t>
      </w:r>
    </w:p>
    <w:p>
      <w:pPr>
        <w:spacing w:after="0" w:line="106" w:lineRule="exact"/>
        <w:rPr>
          <w:sz w:val="20"/>
          <w:szCs w:val="20"/>
          <w:color w:val="auto"/>
        </w:rPr>
      </w:pPr>
    </w:p>
    <w:p>
      <w:pPr>
        <w:ind w:left="4140" w:right="1940" w:hanging="168"/>
        <w:spacing w:after="0" w:line="260" w:lineRule="auto"/>
        <w:tabs>
          <w:tab w:leader="none" w:pos="40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Executive Dean (2010 - 2015); Chair of the Department of Medicine (2000 - 2015)</w:t>
      </w:r>
    </w:p>
    <w:p>
      <w:pPr>
        <w:spacing w:after="0" w:line="33" w:lineRule="exact"/>
        <w:rPr>
          <w:rFonts w:ascii="Arial" w:cs="Arial" w:eastAsia="Arial" w:hAnsi="Arial"/>
          <w:sz w:val="16"/>
          <w:szCs w:val="16"/>
          <w:color w:val="auto"/>
        </w:rPr>
      </w:pPr>
    </w:p>
    <w:p>
      <w:pPr>
        <w:ind w:left="4140" w:right="2100" w:hanging="168"/>
        <w:spacing w:after="0" w:line="260" w:lineRule="auto"/>
        <w:tabs>
          <w:tab w:leader="none" w:pos="40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Principal Investigator and Director of the North Carolina Translational and Clinical Sciences Institute</w:t>
      </w:r>
    </w:p>
    <w:p>
      <w:pPr>
        <w:spacing w:after="0" w:line="284" w:lineRule="exact"/>
        <w:rPr>
          <w:sz w:val="20"/>
          <w:szCs w:val="20"/>
          <w:color w:val="auto"/>
        </w:rPr>
      </w:pPr>
    </w:p>
    <w:p>
      <w:pPr>
        <w:ind w:left="1640" w:right="1660"/>
        <w:spacing w:after="0" w:line="266" w:lineRule="auto"/>
        <w:rPr>
          <w:sz w:val="20"/>
          <w:szCs w:val="20"/>
          <w:color w:val="auto"/>
        </w:rPr>
      </w:pPr>
      <w:r>
        <w:rPr>
          <w:rFonts w:ascii="Arial" w:cs="Arial" w:eastAsia="Arial" w:hAnsi="Arial"/>
          <w:sz w:val="16"/>
          <w:szCs w:val="16"/>
          <w:b w:val="1"/>
          <w:bCs w:val="1"/>
          <w:u w:val="single" w:color="auto"/>
          <w:color w:val="auto"/>
        </w:rPr>
        <w:t>Qualifications</w:t>
      </w:r>
      <w:r>
        <w:rPr>
          <w:rFonts w:ascii="Arial" w:cs="Arial" w:eastAsia="Arial" w:hAnsi="Arial"/>
          <w:sz w:val="16"/>
          <w:szCs w:val="16"/>
          <w:color w:val="auto"/>
        </w:rPr>
        <w:t>: Dr. Runge brings the unique perspective of a practicing physician who has a broad background in</w:t>
      </w:r>
      <w:r>
        <w:rPr>
          <w:rFonts w:ascii="Arial" w:cs="Arial" w:eastAsia="Arial" w:hAnsi="Arial"/>
          <w:sz w:val="16"/>
          <w:szCs w:val="16"/>
          <w:b w:val="1"/>
          <w:bCs w:val="1"/>
          <w:color w:val="auto"/>
        </w:rPr>
        <w:t xml:space="preserve"> </w:t>
      </w:r>
      <w:r>
        <w:rPr>
          <w:rFonts w:ascii="Arial" w:cs="Arial" w:eastAsia="Arial" w:hAnsi="Arial"/>
          <w:sz w:val="16"/>
          <w:szCs w:val="16"/>
          <w:color w:val="auto"/>
        </w:rPr>
        <w:t>health care, clinical research, and academia. He has extensive experience as a practicing cardiologist, a strong understanding of health care facility systems, and deep expertise in biomedical research and clinical trial design.</w:t>
      </w:r>
    </w:p>
    <w:p>
      <w:pPr>
        <w:spacing w:after="0" w:line="389" w:lineRule="exact"/>
        <w:rPr>
          <w:sz w:val="20"/>
          <w:szCs w:val="20"/>
          <w:color w:val="auto"/>
        </w:rPr>
      </w:pPr>
    </w:p>
    <w:p>
      <w:pPr>
        <w:spacing w:after="0"/>
        <w:rPr>
          <w:sz w:val="20"/>
          <w:szCs w:val="20"/>
          <w:color w:val="auto"/>
        </w:rPr>
      </w:pPr>
      <w:r>
        <w:rPr>
          <w:rFonts w:ascii="Arial" w:cs="Arial" w:eastAsia="Arial" w:hAnsi="Arial"/>
          <w:sz w:val="25"/>
          <w:szCs w:val="25"/>
          <w:b w:val="1"/>
          <w:bCs w:val="1"/>
          <w:color w:val="FF0000"/>
        </w:rPr>
        <w:t>Director Qualifications and Nomination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2720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Director Qualifications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The board assesses board candidates by considering the following:</w:t>
      </w:r>
    </w:p>
    <w:p>
      <w:pPr>
        <w:spacing w:after="0" w:line="203" w:lineRule="exact"/>
        <w:rPr>
          <w:sz w:val="20"/>
          <w:szCs w:val="20"/>
          <w:color w:val="auto"/>
        </w:rPr>
      </w:pPr>
    </w:p>
    <w:p>
      <w:pPr>
        <w:ind w:right="60"/>
        <w:spacing w:after="0" w:line="269" w:lineRule="auto"/>
        <w:rPr>
          <w:sz w:val="20"/>
          <w:szCs w:val="20"/>
          <w:color w:val="auto"/>
        </w:rPr>
      </w:pPr>
      <w:r>
        <w:rPr>
          <w:rFonts w:ascii="Arial" w:cs="Arial" w:eastAsia="Arial" w:hAnsi="Arial"/>
          <w:sz w:val="18"/>
          <w:szCs w:val="18"/>
          <w:b w:val="1"/>
          <w:bCs w:val="1"/>
          <w:i w:val="1"/>
          <w:iCs w:val="1"/>
          <w:color w:val="auto"/>
        </w:rPr>
        <w:t xml:space="preserve">Experience: </w:t>
      </w:r>
      <w:r>
        <w:rPr>
          <w:rFonts w:ascii="Arial" w:cs="Arial" w:eastAsia="Arial" w:hAnsi="Arial"/>
          <w:sz w:val="18"/>
          <w:szCs w:val="18"/>
          <w:color w:val="auto"/>
        </w:rPr>
        <w:t>Our directors are responsible for overseeing the company's business consistent with their fiduciary duties. This significant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responsibility requires highly skilled individuals with various qualities, attributes, and professional experience. The board is well-rounded, with a balance of relevant perspectives and experience, as illustrated in the following charts:</w:t>
      </w:r>
    </w:p>
    <w:p>
      <w:pPr>
        <w:sectPr>
          <w:pgSz w:w="11900" w:h="16838" w:orient="portrait"/>
          <w:cols w:equalWidth="0" w:num="1">
            <w:col w:w="11420"/>
          </w:cols>
          <w:pgMar w:left="240" w:top="751" w:right="239" w:bottom="1440" w:gutter="0" w:footer="0" w:header="0"/>
        </w:sectPr>
      </w:pPr>
    </w:p>
    <w:p>
      <w:pPr>
        <w:spacing w:after="0" w:line="217" w:lineRule="exact"/>
        <w:rPr>
          <w:sz w:val="20"/>
          <w:szCs w:val="20"/>
          <w:color w:val="auto"/>
        </w:rPr>
      </w:pPr>
    </w:p>
    <w:p>
      <w:pPr>
        <w:ind w:left="11100"/>
        <w:spacing w:after="0"/>
        <w:rPr>
          <w:sz w:val="20"/>
          <w:szCs w:val="20"/>
          <w:color w:val="auto"/>
        </w:rPr>
      </w:pPr>
      <w:r>
        <w:rPr>
          <w:rFonts w:ascii="Arial" w:cs="Arial" w:eastAsia="Arial" w:hAnsi="Arial"/>
          <w:sz w:val="17"/>
          <w:szCs w:val="17"/>
          <w:color w:val="auto"/>
        </w:rPr>
        <w:t>P19</w:t>
      </w:r>
    </w:p>
    <w:p>
      <w:pPr>
        <w:sectPr>
          <w:pgSz w:w="11900" w:h="16838" w:orient="portrait"/>
          <w:cols w:equalWidth="0" w:num="1">
            <w:col w:w="11420"/>
          </w:cols>
          <w:pgMar w:left="240" w:top="751" w:right="239" w:bottom="1440" w:gutter="0" w:footer="0" w:header="0"/>
          <w:type w:val="continuous"/>
        </w:sectPr>
      </w:pPr>
    </w:p>
    <w:bookmarkStart w:id="23" w:name="page24"/>
    <w:bookmarkEnd w:id="23"/>
    <w:tbl>
      <w:tblPr>
        <w:tblLayout w:type="fixed"/>
        <w:tblInd w:w="2810" w:type="dxa"/>
        <w:tblCellMar>
          <w:top w:w="0" w:type="dxa"/>
          <w:left w:w="0" w:type="dxa"/>
          <w:bottom w:w="0" w:type="dxa"/>
          <w:right w:w="0" w:type="dxa"/>
        </w:tblCellMar>
      </w:tblPr>
      <w:tr>
        <w:trPr>
          <w:trHeight w:val="278"/>
        </w:trPr>
        <w:tc>
          <w:tcPr>
            <w:tcW w:w="3400" w:type="dxa"/>
            <w:vAlign w:val="bottom"/>
            <w:tcBorders>
              <w:top w:val="single" w:sz="8" w:color="auto"/>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CEO Experience:</w:t>
            </w:r>
          </w:p>
        </w:tc>
        <w:tc>
          <w:tcPr>
            <w:tcW w:w="860" w:type="dxa"/>
            <w:vAlign w:val="bottom"/>
            <w:tcBorders>
              <w:top w:val="single" w:sz="8" w:color="auto"/>
              <w:bottom w:val="single" w:sz="8" w:color="auto"/>
              <w:right w:val="single" w:sz="8" w:color="EE2724"/>
            </w:tcBorders>
            <w:shd w:val="clear" w:color="auto" w:fill="EE2724"/>
          </w:tcPr>
          <w:p>
            <w:pPr>
              <w:spacing w:after="0"/>
              <w:rPr>
                <w:sz w:val="24"/>
                <w:szCs w:val="24"/>
                <w:color w:val="auto"/>
              </w:rPr>
            </w:pPr>
          </w:p>
        </w:tc>
        <w:tc>
          <w:tcPr>
            <w:tcW w:w="200" w:type="dxa"/>
            <w:vAlign w:val="bottom"/>
            <w:tcBorders>
              <w:top w:val="single" w:sz="8" w:color="auto"/>
              <w:bottom w:val="single" w:sz="8" w:color="auto"/>
              <w:right w:val="single" w:sz="8" w:color="EE2724"/>
            </w:tcBorders>
            <w:shd w:val="clear" w:color="auto" w:fill="EE2724"/>
          </w:tcPr>
          <w:p>
            <w:pPr>
              <w:spacing w:after="0"/>
              <w:rPr>
                <w:sz w:val="24"/>
                <w:szCs w:val="24"/>
                <w:color w:val="auto"/>
              </w:rPr>
            </w:pPr>
          </w:p>
        </w:tc>
        <w:tc>
          <w:tcPr>
            <w:tcW w:w="200" w:type="dxa"/>
            <w:vAlign w:val="bottom"/>
            <w:tcBorders>
              <w:top w:val="single" w:sz="8" w:color="auto"/>
              <w:bottom w:val="single" w:sz="8" w:color="auto"/>
              <w:right w:val="single" w:sz="8" w:color="EE2724"/>
            </w:tcBorders>
            <w:shd w:val="clear" w:color="auto" w:fill="EE2724"/>
          </w:tcPr>
          <w:p>
            <w:pPr>
              <w:spacing w:after="0"/>
              <w:rPr>
                <w:sz w:val="24"/>
                <w:szCs w:val="24"/>
                <w:color w:val="auto"/>
              </w:rPr>
            </w:pPr>
          </w:p>
        </w:tc>
        <w:tc>
          <w:tcPr>
            <w:tcW w:w="220" w:type="dxa"/>
            <w:vAlign w:val="bottom"/>
            <w:tcBorders>
              <w:top w:val="single" w:sz="8" w:color="auto"/>
              <w:bottom w:val="single" w:sz="8" w:color="auto"/>
              <w:right w:val="single" w:sz="8" w:color="auto"/>
            </w:tcBorders>
            <w:shd w:val="clear" w:color="auto" w:fill="EE2724"/>
          </w:tcPr>
          <w:p>
            <w:pPr>
              <w:spacing w:after="0"/>
              <w:rPr>
                <w:sz w:val="24"/>
                <w:szCs w:val="24"/>
                <w:color w:val="auto"/>
              </w:rPr>
            </w:pPr>
          </w:p>
        </w:tc>
        <w:tc>
          <w:tcPr>
            <w:tcW w:w="420" w:type="dxa"/>
            <w:vAlign w:val="bottom"/>
          </w:tcPr>
          <w:p>
            <w:pPr>
              <w:jc w:val="right"/>
              <w:ind w:right="208"/>
              <w:spacing w:after="0"/>
              <w:rPr>
                <w:sz w:val="20"/>
                <w:szCs w:val="20"/>
                <w:color w:val="auto"/>
              </w:rPr>
            </w:pPr>
            <w:r>
              <w:rPr>
                <w:rFonts w:ascii="Arial" w:cs="Arial" w:eastAsia="Arial" w:hAnsi="Arial"/>
                <w:sz w:val="14"/>
                <w:szCs w:val="14"/>
                <w:color w:val="auto"/>
              </w:rPr>
              <w:t>7</w:t>
            </w:r>
          </w:p>
        </w:tc>
        <w:tc>
          <w:tcPr>
            <w:tcW w:w="140" w:type="dxa"/>
            <w:vAlign w:val="bottom"/>
          </w:tcPr>
          <w:p>
            <w:pPr>
              <w:spacing w:after="0"/>
              <w:rPr>
                <w:sz w:val="24"/>
                <w:szCs w:val="24"/>
                <w:color w:val="auto"/>
              </w:rPr>
            </w:pPr>
          </w:p>
        </w:tc>
      </w:tr>
      <w:tr>
        <w:trPr>
          <w:trHeight w:val="264"/>
        </w:trPr>
        <w:tc>
          <w:tcPr>
            <w:tcW w:w="340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Financial Expertise:</w:t>
            </w:r>
          </w:p>
        </w:tc>
        <w:tc>
          <w:tcPr>
            <w:tcW w:w="860" w:type="dxa"/>
            <w:vAlign w:val="bottom"/>
            <w:tcBorders>
              <w:bottom w:val="single" w:sz="8" w:color="auto"/>
              <w:right w:val="single" w:sz="8" w:color="EE2724"/>
            </w:tcBorders>
            <w:shd w:val="clear" w:color="auto" w:fill="EE2724"/>
          </w:tcPr>
          <w:p>
            <w:pPr>
              <w:spacing w:after="0"/>
              <w:rPr>
                <w:sz w:val="22"/>
                <w:szCs w:val="22"/>
                <w:color w:val="auto"/>
              </w:rPr>
            </w:pPr>
          </w:p>
        </w:tc>
        <w:tc>
          <w:tcPr>
            <w:tcW w:w="200" w:type="dxa"/>
            <w:vAlign w:val="bottom"/>
            <w:tcBorders>
              <w:bottom w:val="single" w:sz="8" w:color="auto"/>
              <w:right w:val="single" w:sz="8" w:color="EE2724"/>
            </w:tcBorders>
            <w:shd w:val="clear" w:color="auto" w:fill="EE2724"/>
          </w:tcPr>
          <w:p>
            <w:pPr>
              <w:spacing w:after="0"/>
              <w:rPr>
                <w:sz w:val="22"/>
                <w:szCs w:val="22"/>
                <w:color w:val="auto"/>
              </w:rPr>
            </w:pPr>
          </w:p>
        </w:tc>
        <w:tc>
          <w:tcPr>
            <w:tcW w:w="200" w:type="dxa"/>
            <w:vAlign w:val="bottom"/>
            <w:tcBorders>
              <w:bottom w:val="single" w:sz="8" w:color="auto"/>
              <w:right w:val="single" w:sz="8" w:color="EE2724"/>
            </w:tcBorders>
            <w:shd w:val="clear" w:color="auto" w:fill="EE2724"/>
          </w:tcPr>
          <w:p>
            <w:pPr>
              <w:spacing w:after="0"/>
              <w:rPr>
                <w:sz w:val="22"/>
                <w:szCs w:val="22"/>
                <w:color w:val="auto"/>
              </w:rPr>
            </w:pPr>
          </w:p>
        </w:tc>
        <w:tc>
          <w:tcPr>
            <w:tcW w:w="220" w:type="dxa"/>
            <w:vAlign w:val="bottom"/>
            <w:tcBorders>
              <w:bottom w:val="single" w:sz="8" w:color="auto"/>
              <w:right w:val="single" w:sz="8" w:color="auto"/>
            </w:tcBorders>
            <w:shd w:val="clear" w:color="auto" w:fill="EE2724"/>
          </w:tcPr>
          <w:p>
            <w:pPr>
              <w:spacing w:after="0"/>
              <w:rPr>
                <w:sz w:val="22"/>
                <w:szCs w:val="22"/>
                <w:color w:val="auto"/>
              </w:rPr>
            </w:pPr>
          </w:p>
        </w:tc>
        <w:tc>
          <w:tcPr>
            <w:tcW w:w="420" w:type="dxa"/>
            <w:vAlign w:val="bottom"/>
          </w:tcPr>
          <w:p>
            <w:pPr>
              <w:jc w:val="right"/>
              <w:ind w:right="208"/>
              <w:spacing w:after="0"/>
              <w:rPr>
                <w:sz w:val="20"/>
                <w:szCs w:val="20"/>
                <w:color w:val="auto"/>
              </w:rPr>
            </w:pPr>
            <w:r>
              <w:rPr>
                <w:rFonts w:ascii="Arial" w:cs="Arial" w:eastAsia="Arial" w:hAnsi="Arial"/>
                <w:sz w:val="14"/>
                <w:szCs w:val="14"/>
                <w:color w:val="auto"/>
              </w:rPr>
              <w:t>7</w:t>
            </w:r>
          </w:p>
        </w:tc>
        <w:tc>
          <w:tcPr>
            <w:tcW w:w="140" w:type="dxa"/>
            <w:vAlign w:val="bottom"/>
          </w:tcPr>
          <w:p>
            <w:pPr>
              <w:spacing w:after="0"/>
              <w:rPr>
                <w:sz w:val="22"/>
                <w:szCs w:val="22"/>
                <w:color w:val="auto"/>
              </w:rPr>
            </w:pPr>
          </w:p>
        </w:tc>
      </w:tr>
      <w:tr>
        <w:trPr>
          <w:trHeight w:val="264"/>
        </w:trPr>
        <w:tc>
          <w:tcPr>
            <w:tcW w:w="340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Relevant Scientific/Academic Expertise:</w:t>
            </w:r>
          </w:p>
        </w:tc>
        <w:tc>
          <w:tcPr>
            <w:tcW w:w="860" w:type="dxa"/>
            <w:vAlign w:val="bottom"/>
            <w:tcBorders>
              <w:bottom w:val="single" w:sz="8" w:color="auto"/>
              <w:right w:val="single" w:sz="8" w:color="auto"/>
            </w:tcBorders>
            <w:shd w:val="clear" w:color="auto" w:fill="EE2724"/>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0" w:type="dxa"/>
            <w:vAlign w:val="bottom"/>
          </w:tcPr>
          <w:p>
            <w:pPr>
              <w:spacing w:after="0"/>
              <w:rPr>
                <w:sz w:val="22"/>
                <w:szCs w:val="22"/>
                <w:color w:val="auto"/>
              </w:rPr>
            </w:pPr>
          </w:p>
        </w:tc>
      </w:tr>
      <w:tr>
        <w:trPr>
          <w:trHeight w:val="264"/>
        </w:trPr>
        <w:tc>
          <w:tcPr>
            <w:tcW w:w="340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Healthcare Experience:</w:t>
            </w:r>
          </w:p>
        </w:tc>
        <w:tc>
          <w:tcPr>
            <w:tcW w:w="860" w:type="dxa"/>
            <w:vAlign w:val="bottom"/>
            <w:tcBorders>
              <w:bottom w:val="single" w:sz="8" w:color="auto"/>
              <w:right w:val="single" w:sz="8" w:color="EE2724"/>
            </w:tcBorders>
            <w:shd w:val="clear" w:color="auto" w:fill="EE2724"/>
          </w:tcPr>
          <w:p>
            <w:pPr>
              <w:spacing w:after="0"/>
              <w:rPr>
                <w:sz w:val="22"/>
                <w:szCs w:val="22"/>
                <w:color w:val="auto"/>
              </w:rPr>
            </w:pPr>
          </w:p>
        </w:tc>
        <w:tc>
          <w:tcPr>
            <w:tcW w:w="200" w:type="dxa"/>
            <w:vAlign w:val="bottom"/>
            <w:tcBorders>
              <w:bottom w:val="single" w:sz="8" w:color="auto"/>
              <w:right w:val="single" w:sz="8" w:color="auto"/>
            </w:tcBorders>
            <w:shd w:val="clear" w:color="auto" w:fill="EE2724"/>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2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r>
      <w:tr>
        <w:trPr>
          <w:trHeight w:val="264"/>
        </w:trPr>
        <w:tc>
          <w:tcPr>
            <w:tcW w:w="340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Operational/Strategic Expertise:</w:t>
            </w:r>
          </w:p>
        </w:tc>
        <w:tc>
          <w:tcPr>
            <w:tcW w:w="860" w:type="dxa"/>
            <w:vAlign w:val="bottom"/>
            <w:tcBorders>
              <w:bottom w:val="single" w:sz="8" w:color="auto"/>
              <w:right w:val="single" w:sz="8" w:color="EE2724"/>
            </w:tcBorders>
            <w:shd w:val="clear" w:color="auto" w:fill="EE2724"/>
          </w:tcPr>
          <w:p>
            <w:pPr>
              <w:spacing w:after="0"/>
              <w:rPr>
                <w:sz w:val="22"/>
                <w:szCs w:val="22"/>
                <w:color w:val="auto"/>
              </w:rPr>
            </w:pPr>
          </w:p>
        </w:tc>
        <w:tc>
          <w:tcPr>
            <w:tcW w:w="200" w:type="dxa"/>
            <w:vAlign w:val="bottom"/>
            <w:tcBorders>
              <w:bottom w:val="single" w:sz="8" w:color="auto"/>
              <w:right w:val="single" w:sz="8" w:color="EE2724"/>
            </w:tcBorders>
            <w:shd w:val="clear" w:color="auto" w:fill="EE2724"/>
          </w:tcPr>
          <w:p>
            <w:pPr>
              <w:spacing w:after="0"/>
              <w:rPr>
                <w:sz w:val="22"/>
                <w:szCs w:val="22"/>
                <w:color w:val="auto"/>
              </w:rPr>
            </w:pPr>
          </w:p>
        </w:tc>
        <w:tc>
          <w:tcPr>
            <w:tcW w:w="200" w:type="dxa"/>
            <w:vAlign w:val="bottom"/>
            <w:tcBorders>
              <w:bottom w:val="single" w:sz="8" w:color="auto"/>
              <w:right w:val="single" w:sz="8" w:color="EE2724"/>
            </w:tcBorders>
            <w:shd w:val="clear" w:color="auto" w:fill="EE2724"/>
          </w:tcPr>
          <w:p>
            <w:pPr>
              <w:spacing w:after="0"/>
              <w:rPr>
                <w:sz w:val="22"/>
                <w:szCs w:val="22"/>
                <w:color w:val="auto"/>
              </w:rPr>
            </w:pPr>
          </w:p>
        </w:tc>
        <w:tc>
          <w:tcPr>
            <w:tcW w:w="220" w:type="dxa"/>
            <w:vAlign w:val="bottom"/>
            <w:tcBorders>
              <w:bottom w:val="single" w:sz="8" w:color="auto"/>
              <w:right w:val="single" w:sz="8" w:color="EE2724"/>
            </w:tcBorders>
            <w:shd w:val="clear" w:color="auto" w:fill="EE2724"/>
          </w:tcPr>
          <w:p>
            <w:pPr>
              <w:spacing w:after="0"/>
              <w:rPr>
                <w:sz w:val="22"/>
                <w:szCs w:val="22"/>
                <w:color w:val="auto"/>
              </w:rPr>
            </w:pPr>
          </w:p>
        </w:tc>
        <w:tc>
          <w:tcPr>
            <w:tcW w:w="420" w:type="dxa"/>
            <w:vAlign w:val="bottom"/>
            <w:tcBorders>
              <w:bottom w:val="single" w:sz="8" w:color="auto"/>
              <w:right w:val="single" w:sz="8" w:color="auto"/>
            </w:tcBorders>
            <w:shd w:val="clear" w:color="auto" w:fill="EE2724"/>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9</w:t>
            </w:r>
          </w:p>
        </w:tc>
      </w:tr>
      <w:tr>
        <w:trPr>
          <w:trHeight w:val="264"/>
        </w:trPr>
        <w:tc>
          <w:tcPr>
            <w:tcW w:w="340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International Experience:</w:t>
            </w:r>
          </w:p>
        </w:tc>
        <w:tc>
          <w:tcPr>
            <w:tcW w:w="860" w:type="dxa"/>
            <w:vAlign w:val="bottom"/>
            <w:tcBorders>
              <w:bottom w:val="single" w:sz="8" w:color="auto"/>
              <w:right w:val="single" w:sz="8" w:color="EE2724"/>
            </w:tcBorders>
            <w:shd w:val="clear" w:color="auto" w:fill="EE2724"/>
          </w:tcPr>
          <w:p>
            <w:pPr>
              <w:spacing w:after="0"/>
              <w:rPr>
                <w:sz w:val="22"/>
                <w:szCs w:val="22"/>
                <w:color w:val="auto"/>
              </w:rPr>
            </w:pPr>
          </w:p>
        </w:tc>
        <w:tc>
          <w:tcPr>
            <w:tcW w:w="200" w:type="dxa"/>
            <w:vAlign w:val="bottom"/>
            <w:tcBorders>
              <w:bottom w:val="single" w:sz="8" w:color="auto"/>
              <w:right w:val="single" w:sz="8" w:color="EE2724"/>
            </w:tcBorders>
            <w:shd w:val="clear" w:color="auto" w:fill="EE2724"/>
          </w:tcPr>
          <w:p>
            <w:pPr>
              <w:spacing w:after="0"/>
              <w:rPr>
                <w:sz w:val="22"/>
                <w:szCs w:val="22"/>
                <w:color w:val="auto"/>
              </w:rPr>
            </w:pPr>
          </w:p>
        </w:tc>
        <w:tc>
          <w:tcPr>
            <w:tcW w:w="200" w:type="dxa"/>
            <w:vAlign w:val="bottom"/>
            <w:tcBorders>
              <w:bottom w:val="single" w:sz="8" w:color="auto"/>
              <w:right w:val="single" w:sz="8" w:color="EE2724"/>
            </w:tcBorders>
            <w:shd w:val="clear" w:color="auto" w:fill="EE2724"/>
          </w:tcPr>
          <w:p>
            <w:pPr>
              <w:spacing w:after="0"/>
              <w:rPr>
                <w:sz w:val="22"/>
                <w:szCs w:val="22"/>
                <w:color w:val="auto"/>
              </w:rPr>
            </w:pPr>
          </w:p>
        </w:tc>
        <w:tc>
          <w:tcPr>
            <w:tcW w:w="220" w:type="dxa"/>
            <w:vAlign w:val="bottom"/>
            <w:tcBorders>
              <w:bottom w:val="single" w:sz="8" w:color="auto"/>
              <w:right w:val="single" w:sz="8" w:color="auto"/>
            </w:tcBorders>
            <w:shd w:val="clear" w:color="auto" w:fill="EE2724"/>
          </w:tcPr>
          <w:p>
            <w:pPr>
              <w:spacing w:after="0"/>
              <w:rPr>
                <w:sz w:val="22"/>
                <w:szCs w:val="22"/>
                <w:color w:val="auto"/>
              </w:rPr>
            </w:pPr>
          </w:p>
        </w:tc>
        <w:tc>
          <w:tcPr>
            <w:tcW w:w="420" w:type="dxa"/>
            <w:vAlign w:val="bottom"/>
          </w:tcPr>
          <w:p>
            <w:pPr>
              <w:jc w:val="right"/>
              <w:ind w:right="208"/>
              <w:spacing w:after="0"/>
              <w:rPr>
                <w:sz w:val="20"/>
                <w:szCs w:val="20"/>
                <w:color w:val="auto"/>
              </w:rPr>
            </w:pPr>
            <w:r>
              <w:rPr>
                <w:rFonts w:ascii="Arial" w:cs="Arial" w:eastAsia="Arial" w:hAnsi="Arial"/>
                <w:sz w:val="14"/>
                <w:szCs w:val="14"/>
                <w:color w:val="auto"/>
              </w:rPr>
              <w:t>7</w:t>
            </w:r>
          </w:p>
        </w:tc>
        <w:tc>
          <w:tcPr>
            <w:tcW w:w="140" w:type="dxa"/>
            <w:vAlign w:val="bottom"/>
          </w:tcPr>
          <w:p>
            <w:pPr>
              <w:spacing w:after="0"/>
              <w:rPr>
                <w:sz w:val="22"/>
                <w:szCs w:val="22"/>
                <w:color w:val="auto"/>
              </w:rPr>
            </w:pPr>
          </w:p>
        </w:tc>
      </w:tr>
      <w:tr>
        <w:trPr>
          <w:trHeight w:val="264"/>
        </w:trPr>
        <w:tc>
          <w:tcPr>
            <w:tcW w:w="340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Marketing and Sales Expertise:</w:t>
            </w:r>
          </w:p>
        </w:tc>
        <w:tc>
          <w:tcPr>
            <w:tcW w:w="860" w:type="dxa"/>
            <w:vAlign w:val="bottom"/>
            <w:tcBorders>
              <w:bottom w:val="single" w:sz="8" w:color="auto"/>
              <w:right w:val="single" w:sz="8" w:color="EE2724"/>
            </w:tcBorders>
            <w:shd w:val="clear" w:color="auto" w:fill="EE2724"/>
          </w:tcPr>
          <w:p>
            <w:pPr>
              <w:spacing w:after="0"/>
              <w:rPr>
                <w:sz w:val="22"/>
                <w:szCs w:val="22"/>
                <w:color w:val="auto"/>
              </w:rPr>
            </w:pPr>
          </w:p>
        </w:tc>
        <w:tc>
          <w:tcPr>
            <w:tcW w:w="200" w:type="dxa"/>
            <w:vAlign w:val="bottom"/>
            <w:tcBorders>
              <w:bottom w:val="single" w:sz="8" w:color="auto"/>
              <w:right w:val="single" w:sz="8" w:color="EE2724"/>
            </w:tcBorders>
            <w:shd w:val="clear" w:color="auto" w:fill="EE2724"/>
          </w:tcPr>
          <w:p>
            <w:pPr>
              <w:spacing w:after="0"/>
              <w:rPr>
                <w:sz w:val="22"/>
                <w:szCs w:val="22"/>
                <w:color w:val="auto"/>
              </w:rPr>
            </w:pPr>
          </w:p>
        </w:tc>
        <w:tc>
          <w:tcPr>
            <w:tcW w:w="200" w:type="dxa"/>
            <w:vAlign w:val="bottom"/>
            <w:tcBorders>
              <w:bottom w:val="single" w:sz="8" w:color="auto"/>
              <w:right w:val="single" w:sz="8" w:color="auto"/>
            </w:tcBorders>
            <w:shd w:val="clear" w:color="auto" w:fill="EE2724"/>
          </w:tcPr>
          <w:p>
            <w:pPr>
              <w:spacing w:after="0"/>
              <w:rPr>
                <w:sz w:val="22"/>
                <w:szCs w:val="22"/>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6</w:t>
            </w:r>
          </w:p>
        </w:tc>
        <w:tc>
          <w:tcPr>
            <w:tcW w:w="420" w:type="dxa"/>
            <w:vAlign w:val="bottom"/>
          </w:tcPr>
          <w:p>
            <w:pPr>
              <w:spacing w:after="0"/>
              <w:rPr>
                <w:sz w:val="22"/>
                <w:szCs w:val="22"/>
                <w:color w:val="auto"/>
              </w:rPr>
            </w:pPr>
          </w:p>
        </w:tc>
        <w:tc>
          <w:tcPr>
            <w:tcW w:w="140" w:type="dxa"/>
            <w:vAlign w:val="bottom"/>
          </w:tcPr>
          <w:p>
            <w:pPr>
              <w:spacing w:after="0"/>
              <w:rPr>
                <w:sz w:val="22"/>
                <w:szCs w:val="22"/>
                <w:color w:val="auto"/>
              </w:rPr>
            </w:pPr>
          </w:p>
        </w:tc>
      </w:tr>
    </w:tbl>
    <w:p>
      <w:pPr>
        <w:spacing w:after="0" w:line="193" w:lineRule="exact"/>
        <w:rPr>
          <w:sz w:val="20"/>
          <w:szCs w:val="20"/>
          <w:color w:val="auto"/>
        </w:rPr>
      </w:pPr>
    </w:p>
    <w:p>
      <w:pPr>
        <w:ind w:right="340"/>
        <w:spacing w:after="0" w:line="269" w:lineRule="auto"/>
        <w:rPr>
          <w:sz w:val="20"/>
          <w:szCs w:val="20"/>
          <w:color w:val="auto"/>
        </w:rPr>
      </w:pPr>
      <w:r>
        <w:rPr>
          <w:rFonts w:ascii="Arial" w:cs="Arial" w:eastAsia="Arial" w:hAnsi="Arial"/>
          <w:sz w:val="18"/>
          <w:szCs w:val="18"/>
          <w:b w:val="1"/>
          <w:bCs w:val="1"/>
          <w:i w:val="1"/>
          <w:iCs w:val="1"/>
          <w:color w:val="auto"/>
        </w:rPr>
        <w:t xml:space="preserve">Board Tenure: </w:t>
      </w:r>
      <w:r>
        <w:rPr>
          <w:rFonts w:ascii="Arial" w:cs="Arial" w:eastAsia="Arial" w:hAnsi="Arial"/>
          <w:sz w:val="18"/>
          <w:szCs w:val="18"/>
          <w:color w:val="auto"/>
        </w:rPr>
        <w:t>In 2016 and 2017, the board added three new independent members: Mr. Juan R. Luciano, Mr. Jamere Jackson, and Dr.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Carolyn R. Bertozzi, as well as Mr. David A. Ricks. Also in 2016 and 2017, three members retired from the board: Ms. Karen Horn, Dr. John Lechleiter, and Dr. Frank Prendergast. Mr. David Hoover will retire in May 2018.</w:t>
      </w:r>
    </w:p>
    <w:p>
      <w:pPr>
        <w:spacing w:after="0" w:line="190"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As the following chart demonstrates, our director composition also reflects a mix of tenure on the board, which provides an effective balance of historical perspective and an understanding of the evolution of our business with fresh perspectives and insights.</w:t>
      </w:r>
    </w:p>
    <w:p>
      <w:pPr>
        <w:spacing w:after="0" w:line="312" w:lineRule="exact"/>
        <w:rPr>
          <w:sz w:val="20"/>
          <w:szCs w:val="20"/>
          <w:color w:val="auto"/>
        </w:rPr>
      </w:pPr>
    </w:p>
    <w:tbl>
      <w:tblPr>
        <w:tblLayout w:type="fixed"/>
        <w:tblInd w:w="3170" w:type="dxa"/>
        <w:tblCellMar>
          <w:top w:w="0" w:type="dxa"/>
          <w:left w:w="0" w:type="dxa"/>
          <w:bottom w:w="0" w:type="dxa"/>
          <w:right w:w="0" w:type="dxa"/>
        </w:tblCellMar>
      </w:tblPr>
      <w:tr>
        <w:trPr>
          <w:trHeight w:val="278"/>
        </w:trPr>
        <w:tc>
          <w:tcPr>
            <w:tcW w:w="3400" w:type="dxa"/>
            <w:vAlign w:val="bottom"/>
            <w:tcBorders>
              <w:top w:val="single" w:sz="8" w:color="auto"/>
              <w:left w:val="single" w:sz="8" w:color="auto"/>
              <w:bottom w:val="single" w:sz="8" w:color="auto"/>
              <w:right w:val="single" w:sz="8" w:color="auto"/>
            </w:tcBorders>
            <w:gridSpan w:val="2"/>
          </w:tcPr>
          <w:p>
            <w:pPr>
              <w:jc w:val="right"/>
              <w:spacing w:after="0"/>
              <w:rPr>
                <w:sz w:val="20"/>
                <w:szCs w:val="20"/>
                <w:color w:val="auto"/>
              </w:rPr>
            </w:pPr>
            <w:r>
              <w:rPr>
                <w:rFonts w:ascii="Arial" w:cs="Arial" w:eastAsia="Arial" w:hAnsi="Arial"/>
                <w:sz w:val="18"/>
                <w:szCs w:val="18"/>
                <w:color w:val="auto"/>
              </w:rPr>
              <w:t>2 Years or Less:</w:t>
            </w:r>
          </w:p>
        </w:tc>
        <w:tc>
          <w:tcPr>
            <w:tcW w:w="660" w:type="dxa"/>
            <w:vAlign w:val="bottom"/>
            <w:tcBorders>
              <w:top w:val="single" w:sz="8" w:color="auto"/>
              <w:bottom w:val="single" w:sz="8" w:color="auto"/>
              <w:right w:val="single" w:sz="8" w:color="EE2724"/>
            </w:tcBorders>
            <w:shd w:val="clear" w:color="auto" w:fill="EE2724"/>
          </w:tcPr>
          <w:p>
            <w:pPr>
              <w:spacing w:after="0"/>
              <w:rPr>
                <w:sz w:val="24"/>
                <w:szCs w:val="24"/>
                <w:color w:val="auto"/>
              </w:rPr>
            </w:pPr>
          </w:p>
        </w:tc>
        <w:tc>
          <w:tcPr>
            <w:tcW w:w="200" w:type="dxa"/>
            <w:vAlign w:val="bottom"/>
            <w:tcBorders>
              <w:top w:val="single" w:sz="8" w:color="auto"/>
              <w:bottom w:val="single" w:sz="8" w:color="auto"/>
              <w:right w:val="single" w:sz="8" w:color="auto"/>
            </w:tcBorders>
            <w:shd w:val="clear" w:color="auto" w:fill="EE2724"/>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264"/>
        </w:trPr>
        <w:tc>
          <w:tcPr>
            <w:tcW w:w="2820" w:type="dxa"/>
            <w:vAlign w:val="bottom"/>
            <w:tcBorders>
              <w:left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5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w w:val="99"/>
              </w:rPr>
              <w:t>Years:</w:t>
            </w:r>
          </w:p>
        </w:tc>
        <w:tc>
          <w:tcPr>
            <w:tcW w:w="660" w:type="dxa"/>
            <w:vAlign w:val="bottom"/>
            <w:tcBorders>
              <w:bottom w:val="single" w:sz="8" w:color="auto"/>
              <w:right w:val="single" w:sz="8" w:color="auto"/>
            </w:tcBorders>
            <w:shd w:val="clear" w:color="auto" w:fill="EE2724"/>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r>
      <w:tr>
        <w:trPr>
          <w:trHeight w:val="264"/>
        </w:trPr>
        <w:tc>
          <w:tcPr>
            <w:tcW w:w="2820" w:type="dxa"/>
            <w:vAlign w:val="bottom"/>
            <w:tcBorders>
              <w:left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6-10</w:t>
            </w:r>
          </w:p>
        </w:tc>
        <w:tc>
          <w:tcPr>
            <w:tcW w:w="5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w w:val="99"/>
              </w:rPr>
              <w:t>Years:</w:t>
            </w:r>
          </w:p>
        </w:tc>
        <w:tc>
          <w:tcPr>
            <w:tcW w:w="660" w:type="dxa"/>
            <w:vAlign w:val="bottom"/>
            <w:tcBorders>
              <w:bottom w:val="single" w:sz="8" w:color="auto"/>
              <w:right w:val="single" w:sz="8" w:color="auto"/>
            </w:tcBorders>
            <w:shd w:val="clear" w:color="auto" w:fill="EE2724"/>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r>
      <w:tr>
        <w:trPr>
          <w:trHeight w:val="264"/>
        </w:trPr>
        <w:tc>
          <w:tcPr>
            <w:tcW w:w="2820" w:type="dxa"/>
            <w:vAlign w:val="bottom"/>
            <w:tcBorders>
              <w:left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More than 10</w:t>
            </w:r>
          </w:p>
        </w:tc>
        <w:tc>
          <w:tcPr>
            <w:tcW w:w="5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w w:val="99"/>
              </w:rPr>
              <w:t>Years:</w:t>
            </w:r>
          </w:p>
        </w:tc>
        <w:tc>
          <w:tcPr>
            <w:tcW w:w="660" w:type="dxa"/>
            <w:vAlign w:val="bottom"/>
            <w:tcBorders>
              <w:bottom w:val="single" w:sz="8" w:color="auto"/>
              <w:right w:val="single" w:sz="8" w:color="EE2724"/>
            </w:tcBorders>
            <w:shd w:val="clear" w:color="auto" w:fill="EE2724"/>
          </w:tcPr>
          <w:p>
            <w:pPr>
              <w:spacing w:after="0"/>
              <w:rPr>
                <w:sz w:val="22"/>
                <w:szCs w:val="22"/>
                <w:color w:val="auto"/>
              </w:rPr>
            </w:pPr>
          </w:p>
        </w:tc>
        <w:tc>
          <w:tcPr>
            <w:tcW w:w="200" w:type="dxa"/>
            <w:vAlign w:val="bottom"/>
            <w:tcBorders>
              <w:bottom w:val="single" w:sz="8" w:color="auto"/>
              <w:right w:val="single" w:sz="8" w:color="auto"/>
            </w:tcBorders>
            <w:shd w:val="clear" w:color="auto" w:fill="EE2724"/>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4</w:t>
            </w:r>
          </w:p>
        </w:tc>
      </w:tr>
    </w:tbl>
    <w:p>
      <w:pPr>
        <w:spacing w:after="0" w:line="19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i w:val="1"/>
          <w:iCs w:val="1"/>
          <w:color w:val="auto"/>
        </w:rPr>
        <w:t xml:space="preserve">Diversity: </w:t>
      </w:r>
      <w:r>
        <w:rPr>
          <w:rFonts w:ascii="Arial" w:cs="Arial" w:eastAsia="Arial" w:hAnsi="Arial"/>
          <w:sz w:val="18"/>
          <w:szCs w:val="18"/>
          <w:color w:val="auto"/>
        </w:rPr>
        <w:t>The board strives to achieve diversity in the broadest sense, including persons diverse in geography, gender, ethnicity,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experiences. Although the board does not establish specific diversity goals or have a standalone diversity policy, the board's overall diversity is an important consideration in the director selection and nomination process. The Directors and Corporate Governance Committee assesses the effectiveness of board diversity efforts in connection with the annual nomination process as well as in new director searches. The company's 14 directors range in age from 46 to 72 and include four women and four ethnically diverse members.</w:t>
      </w:r>
    </w:p>
    <w:p>
      <w:pPr>
        <w:spacing w:after="0" w:line="180"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b w:val="1"/>
          <w:bCs w:val="1"/>
          <w:i w:val="1"/>
          <w:iCs w:val="1"/>
          <w:color w:val="auto"/>
        </w:rPr>
        <w:t xml:space="preserve">Character: </w:t>
      </w:r>
      <w:r>
        <w:rPr>
          <w:rFonts w:ascii="Arial" w:cs="Arial" w:eastAsia="Arial" w:hAnsi="Arial"/>
          <w:sz w:val="18"/>
          <w:szCs w:val="18"/>
          <w:color w:val="auto"/>
        </w:rPr>
        <w:t>Board members should possess the personal attributes necessary to be an effective director, including unquestioned integrity,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sound judgment, a collaborative spirit, and commitment to the company, our shareholders, and other constituencies.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Director Refreshment</w:t>
      </w:r>
    </w:p>
    <w:p>
      <w:pPr>
        <w:spacing w:after="0" w:line="85"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The committee performs periodic assessments of the overall composition and skills of the board in order to ensure that the board and management are actively engaged in succession planning for directors, and that our board reflects the viewpoints, diversity, and expertise necessary to support our complex and evolving business. The committee, with input from all board members, also considers the contributions of the individual directors.</w:t>
      </w:r>
    </w:p>
    <w:p>
      <w:pPr>
        <w:spacing w:after="0" w:line="204"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The results of these assessments inform the board's recommendations on nominations for directors at the annual meeting each year and help provide us with insight on the types of experiences, skills, and other characteristics we should be seeking for future director candidates. Based on this assessment, the committee has recommended that the directors in the 2018 class be elected at the 2018 annual meeting.</w:t>
      </w:r>
    </w:p>
    <w:p>
      <w:pPr>
        <w:spacing w:after="0" w:line="202"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board delegates the director screening process to the Directors and Corporate Governance Committee, which receives input from other board members. Potential directors are identified from several sources, including executive search firms retained by the committee, incumbent directors, management, and shareholders.</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P20</w:t>
      </w:r>
    </w:p>
    <w:p>
      <w:pPr>
        <w:sectPr>
          <w:pgSz w:w="11900" w:h="16838" w:orient="portrait"/>
          <w:cols w:equalWidth="0" w:num="1">
            <w:col w:w="11420"/>
          </w:cols>
          <w:pgMar w:left="240" w:top="714" w:right="239" w:bottom="1440" w:gutter="0" w:footer="0" w:header="0"/>
        </w:sectPr>
      </w:pPr>
    </w:p>
    <w:bookmarkStart w:id="24" w:name="page25"/>
    <w:bookmarkEnd w:id="24"/>
    <w:p>
      <w:pPr>
        <w:spacing w:after="0" w:line="252" w:lineRule="auto"/>
        <w:rPr>
          <w:sz w:val="20"/>
          <w:szCs w:val="20"/>
          <w:color w:val="auto"/>
        </w:rPr>
      </w:pPr>
      <w:r>
        <w:rPr>
          <w:rFonts w:ascii="Arial" w:cs="Arial" w:eastAsia="Arial" w:hAnsi="Arial"/>
          <w:sz w:val="18"/>
          <w:szCs w:val="18"/>
          <w:color w:val="auto"/>
        </w:rPr>
        <w:t>The committee employs the same process for evaluating all candidates, including those submitted by shareholders. The committee initially evaluates a candidate based on publicly available information and any additional information supplied by the party recommending the candidate. If the candidate appears to satisfy the selection criteria and the committee’s initial evaluation is favorable, the committee, assisted by management or a search firm, gathers additional data on the candidate’s qualifications, availability, probable level of interest, and any potential conflicts of interest. If the committee’s subsequent evaluation continues to be favorable, the candidate is contacted by the Chairman of the Board and one or more of the independent directors, including the lead independent director, for direct discussions to determine the mutual level of interest in pursuing the candidacy. If these discussions are favorable, the committee recommends that the board nominate the candidate for election by the shareholders (or to select the candidate to fill a vacancy, as applicable).</w:t>
      </w:r>
    </w:p>
    <w:p>
      <w:pPr>
        <w:spacing w:after="0" w:line="176" w:lineRule="exact"/>
        <w:rPr>
          <w:sz w:val="20"/>
          <w:szCs w:val="20"/>
          <w:color w:val="auto"/>
        </w:rPr>
      </w:pPr>
    </w:p>
    <w:p>
      <w:pPr>
        <w:spacing w:after="0"/>
        <w:rPr>
          <w:sz w:val="20"/>
          <w:szCs w:val="20"/>
          <w:color w:val="auto"/>
        </w:rPr>
      </w:pPr>
      <w:r>
        <w:rPr>
          <w:rFonts w:ascii="Arial" w:cs="Arial" w:eastAsia="Arial" w:hAnsi="Arial"/>
          <w:sz w:val="25"/>
          <w:szCs w:val="25"/>
          <w:b w:val="1"/>
          <w:bCs w:val="1"/>
          <w:color w:val="FF0000"/>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81280</wp:posOffset>
            </wp:positionV>
            <wp:extent cx="72720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62"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Director compensation is reviewed and approved annually by the board, on the recommendation of the Directors and Corporate Governance Committee. Directors who are employees receive no additional compensation for serving on the board.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Compensation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retainers and meeting fees for all non-employee directors in effect in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92075</wp:posOffset>
            </wp:positionV>
            <wp:extent cx="5556885" cy="2832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556885" cy="283210"/>
                    </a:xfrm>
                    <a:prstGeom prst="rect">
                      <a:avLst/>
                    </a:prstGeom>
                    <a:noFill/>
                  </pic:spPr>
                </pic:pic>
              </a:graphicData>
            </a:graphic>
          </wp:anchor>
        </w:drawing>
      </w:r>
    </w:p>
    <w:p>
      <w:pPr>
        <w:sectPr>
          <w:pgSz w:w="11900" w:h="16838" w:orient="portrait"/>
          <w:cols w:equalWidth="0" w:num="1">
            <w:col w:w="11420"/>
          </w:cols>
          <w:pgMar w:left="240" w:top="814" w:right="239" w:bottom="1440" w:gutter="0" w:footer="0" w:header="0"/>
        </w:sectPr>
      </w:pPr>
    </w:p>
    <w:p>
      <w:pPr>
        <w:spacing w:after="0" w:line="167" w:lineRule="exact"/>
        <w:rPr>
          <w:sz w:val="20"/>
          <w:szCs w:val="20"/>
          <w:color w:val="auto"/>
        </w:rPr>
      </w:pPr>
    </w:p>
    <w:p>
      <w:pPr>
        <w:ind w:left="1360" w:right="1040"/>
        <w:spacing w:after="0" w:line="286" w:lineRule="auto"/>
        <w:rPr>
          <w:sz w:val="20"/>
          <w:szCs w:val="20"/>
          <w:color w:val="auto"/>
        </w:rPr>
      </w:pPr>
      <w:r>
        <w:rPr>
          <w:rFonts w:ascii="Arial" w:cs="Arial" w:eastAsia="Arial" w:hAnsi="Arial"/>
          <w:sz w:val="16"/>
          <w:szCs w:val="16"/>
          <w:b w:val="1"/>
          <w:bCs w:val="1"/>
          <w:color w:val="auto"/>
        </w:rPr>
        <w:t>Board Retainers (annual, paid in monthly installments)</w:t>
      </w:r>
    </w:p>
    <w:p>
      <w:pPr>
        <w:spacing w:after="0" w:line="152" w:lineRule="exact"/>
        <w:rPr>
          <w:sz w:val="20"/>
          <w:szCs w:val="20"/>
          <w:color w:val="auto"/>
        </w:rPr>
      </w:pPr>
    </w:p>
    <w:tbl>
      <w:tblPr>
        <w:tblLayout w:type="fixed"/>
        <w:tblInd w:w="1360" w:type="dxa"/>
        <w:tblCellMar>
          <w:top w:w="0" w:type="dxa"/>
          <w:left w:w="0" w:type="dxa"/>
          <w:bottom w:w="0" w:type="dxa"/>
          <w:right w:w="0" w:type="dxa"/>
        </w:tblCellMar>
      </w:tblPr>
      <w:tr>
        <w:trPr>
          <w:trHeight w:val="172"/>
        </w:trPr>
        <w:tc>
          <w:tcPr>
            <w:tcW w:w="3540" w:type="dxa"/>
            <w:vAlign w:val="bottom"/>
          </w:tcPr>
          <w:p>
            <w:pPr>
              <w:spacing w:after="0"/>
              <w:rPr>
                <w:sz w:val="20"/>
                <w:szCs w:val="20"/>
                <w:color w:val="auto"/>
              </w:rPr>
            </w:pPr>
            <w:r>
              <w:rPr>
                <w:rFonts w:ascii="Arial" w:cs="Arial" w:eastAsia="Arial" w:hAnsi="Arial"/>
                <w:sz w:val="14"/>
                <w:szCs w:val="14"/>
                <w:color w:val="auto"/>
              </w:rPr>
              <w:t>Annual Board Retainer</w:t>
            </w:r>
          </w:p>
        </w:tc>
        <w:tc>
          <w:tcPr>
            <w:tcW w:w="660" w:type="dxa"/>
            <w:vAlign w:val="bottom"/>
          </w:tcPr>
          <w:p>
            <w:pPr>
              <w:jc w:val="right"/>
              <w:spacing w:after="0"/>
              <w:rPr>
                <w:sz w:val="20"/>
                <w:szCs w:val="20"/>
                <w:color w:val="auto"/>
              </w:rPr>
            </w:pPr>
            <w:r>
              <w:rPr>
                <w:rFonts w:ascii="Arial" w:cs="Arial" w:eastAsia="Arial" w:hAnsi="Arial"/>
                <w:sz w:val="14"/>
                <w:szCs w:val="14"/>
                <w:color w:val="auto"/>
              </w:rPr>
              <w:t>$110,000</w:t>
            </w:r>
          </w:p>
        </w:tc>
      </w:tr>
      <w:tr>
        <w:trPr>
          <w:trHeight w:val="503"/>
        </w:trPr>
        <w:tc>
          <w:tcPr>
            <w:tcW w:w="3540" w:type="dxa"/>
            <w:vAlign w:val="bottom"/>
          </w:tcPr>
          <w:p>
            <w:pPr>
              <w:spacing w:after="0"/>
              <w:rPr>
                <w:sz w:val="20"/>
                <w:szCs w:val="20"/>
                <w:color w:val="auto"/>
              </w:rPr>
            </w:pPr>
            <w:r>
              <w:rPr>
                <w:rFonts w:ascii="Arial" w:cs="Arial" w:eastAsia="Arial" w:hAnsi="Arial"/>
                <w:sz w:val="14"/>
                <w:szCs w:val="14"/>
                <w:color w:val="auto"/>
              </w:rPr>
              <w:t>Annual Retainers (in addition to annual board</w:t>
            </w:r>
          </w:p>
        </w:tc>
        <w:tc>
          <w:tcPr>
            <w:tcW w:w="660" w:type="dxa"/>
            <w:vAlign w:val="bottom"/>
          </w:tcPr>
          <w:p>
            <w:pPr>
              <w:spacing w:after="0"/>
              <w:rPr>
                <w:sz w:val="24"/>
                <w:szCs w:val="24"/>
                <w:color w:val="auto"/>
              </w:rPr>
            </w:pPr>
          </w:p>
        </w:tc>
      </w:tr>
      <w:tr>
        <w:trPr>
          <w:trHeight w:val="172"/>
        </w:trPr>
        <w:tc>
          <w:tcPr>
            <w:tcW w:w="3540" w:type="dxa"/>
            <w:vAlign w:val="bottom"/>
          </w:tcPr>
          <w:p>
            <w:pPr>
              <w:spacing w:after="0"/>
              <w:rPr>
                <w:sz w:val="20"/>
                <w:szCs w:val="20"/>
                <w:color w:val="auto"/>
              </w:rPr>
            </w:pPr>
            <w:r>
              <w:rPr>
                <w:rFonts w:ascii="Arial" w:cs="Arial" w:eastAsia="Arial" w:hAnsi="Arial"/>
                <w:sz w:val="14"/>
                <w:szCs w:val="14"/>
                <w:color w:val="auto"/>
              </w:rPr>
              <w:t>retainer):</w:t>
            </w:r>
          </w:p>
        </w:tc>
        <w:tc>
          <w:tcPr>
            <w:tcW w:w="660" w:type="dxa"/>
            <w:vAlign w:val="bottom"/>
          </w:tcPr>
          <w:p>
            <w:pPr>
              <w:spacing w:after="0"/>
              <w:rPr>
                <w:sz w:val="14"/>
                <w:szCs w:val="14"/>
                <w:color w:val="auto"/>
              </w:rPr>
            </w:pPr>
          </w:p>
        </w:tc>
      </w:tr>
      <w:tr>
        <w:trPr>
          <w:trHeight w:val="243"/>
        </w:trPr>
        <w:tc>
          <w:tcPr>
            <w:tcW w:w="3540" w:type="dxa"/>
            <w:vAlign w:val="bottom"/>
          </w:tcPr>
          <w:p>
            <w:pPr>
              <w:ind w:left="280"/>
              <w:spacing w:after="0"/>
              <w:rPr>
                <w:sz w:val="20"/>
                <w:szCs w:val="20"/>
                <w:color w:val="auto"/>
              </w:rPr>
            </w:pPr>
            <w:r>
              <w:rPr>
                <w:rFonts w:ascii="Arial" w:cs="Arial" w:eastAsia="Arial" w:hAnsi="Arial"/>
                <w:sz w:val="14"/>
                <w:szCs w:val="14"/>
                <w:color w:val="auto"/>
              </w:rPr>
              <w:t>Lead Independent Director</w:t>
            </w:r>
          </w:p>
        </w:tc>
        <w:tc>
          <w:tcPr>
            <w:tcW w:w="660" w:type="dxa"/>
            <w:vAlign w:val="bottom"/>
          </w:tcPr>
          <w:p>
            <w:pPr>
              <w:jc w:val="right"/>
              <w:spacing w:after="0"/>
              <w:rPr>
                <w:sz w:val="20"/>
                <w:szCs w:val="20"/>
                <w:color w:val="auto"/>
              </w:rPr>
            </w:pPr>
            <w:r>
              <w:rPr>
                <w:rFonts w:ascii="Arial" w:cs="Arial" w:eastAsia="Arial" w:hAnsi="Arial"/>
                <w:sz w:val="14"/>
                <w:szCs w:val="14"/>
                <w:color w:val="auto"/>
              </w:rPr>
              <w:t>$30,000</w:t>
            </w:r>
          </w:p>
        </w:tc>
      </w:tr>
      <w:tr>
        <w:trPr>
          <w:trHeight w:val="297"/>
        </w:trPr>
        <w:tc>
          <w:tcPr>
            <w:tcW w:w="3540" w:type="dxa"/>
            <w:vAlign w:val="bottom"/>
          </w:tcPr>
          <w:p>
            <w:pPr>
              <w:ind w:left="280"/>
              <w:spacing w:after="0"/>
              <w:rPr>
                <w:sz w:val="20"/>
                <w:szCs w:val="20"/>
                <w:color w:val="auto"/>
              </w:rPr>
            </w:pPr>
            <w:r>
              <w:rPr>
                <w:rFonts w:ascii="Arial" w:cs="Arial" w:eastAsia="Arial" w:hAnsi="Arial"/>
                <w:sz w:val="14"/>
                <w:szCs w:val="14"/>
                <w:color w:val="auto"/>
              </w:rPr>
              <w:t>Audit Committee Chair</w:t>
            </w:r>
          </w:p>
        </w:tc>
        <w:tc>
          <w:tcPr>
            <w:tcW w:w="660" w:type="dxa"/>
            <w:vAlign w:val="bottom"/>
          </w:tcPr>
          <w:p>
            <w:pPr>
              <w:jc w:val="right"/>
              <w:spacing w:after="0"/>
              <w:rPr>
                <w:sz w:val="20"/>
                <w:szCs w:val="20"/>
                <w:color w:val="auto"/>
              </w:rPr>
            </w:pPr>
            <w:r>
              <w:rPr>
                <w:rFonts w:ascii="Arial" w:cs="Arial" w:eastAsia="Arial" w:hAnsi="Arial"/>
                <w:sz w:val="14"/>
                <w:szCs w:val="14"/>
                <w:color w:val="auto"/>
              </w:rPr>
              <w:t>$18,000</w:t>
            </w:r>
          </w:p>
        </w:tc>
      </w:tr>
      <w:tr>
        <w:trPr>
          <w:trHeight w:val="270"/>
        </w:trPr>
        <w:tc>
          <w:tcPr>
            <w:tcW w:w="3540" w:type="dxa"/>
            <w:vAlign w:val="bottom"/>
          </w:tcPr>
          <w:p>
            <w:pPr>
              <w:ind w:left="280"/>
              <w:spacing w:after="0"/>
              <w:rPr>
                <w:sz w:val="20"/>
                <w:szCs w:val="20"/>
                <w:color w:val="auto"/>
              </w:rPr>
            </w:pPr>
            <w:r>
              <w:rPr>
                <w:rFonts w:ascii="Arial" w:cs="Arial" w:eastAsia="Arial" w:hAnsi="Arial"/>
                <w:sz w:val="14"/>
                <w:szCs w:val="14"/>
                <w:color w:val="auto"/>
              </w:rPr>
              <w:t>Science and Technology Committee Chair</w:t>
            </w:r>
          </w:p>
        </w:tc>
        <w:tc>
          <w:tcPr>
            <w:tcW w:w="660" w:type="dxa"/>
            <w:vAlign w:val="bottom"/>
          </w:tcPr>
          <w:p>
            <w:pPr>
              <w:jc w:val="right"/>
              <w:spacing w:after="0"/>
              <w:rPr>
                <w:sz w:val="20"/>
                <w:szCs w:val="20"/>
                <w:color w:val="auto"/>
              </w:rPr>
            </w:pPr>
            <w:r>
              <w:rPr>
                <w:rFonts w:ascii="Arial" w:cs="Arial" w:eastAsia="Arial" w:hAnsi="Arial"/>
                <w:sz w:val="14"/>
                <w:szCs w:val="14"/>
                <w:color w:val="auto"/>
              </w:rPr>
              <w:t>$15,000</w:t>
            </w:r>
          </w:p>
        </w:tc>
      </w:tr>
      <w:tr>
        <w:trPr>
          <w:trHeight w:val="260"/>
        </w:trPr>
        <w:tc>
          <w:tcPr>
            <w:tcW w:w="3540" w:type="dxa"/>
            <w:vAlign w:val="bottom"/>
          </w:tcPr>
          <w:p>
            <w:pPr>
              <w:ind w:left="280"/>
              <w:spacing w:after="0"/>
              <w:rPr>
                <w:sz w:val="20"/>
                <w:szCs w:val="20"/>
                <w:color w:val="auto"/>
              </w:rPr>
            </w:pPr>
            <w:r>
              <w:rPr>
                <w:rFonts w:ascii="Arial" w:cs="Arial" w:eastAsia="Arial" w:hAnsi="Arial"/>
                <w:sz w:val="14"/>
                <w:szCs w:val="14"/>
                <w:color w:val="auto"/>
              </w:rPr>
              <w:t>Compensation Committee Chair; Directors and</w:t>
            </w:r>
          </w:p>
        </w:tc>
        <w:tc>
          <w:tcPr>
            <w:tcW w:w="660" w:type="dxa"/>
            <w:vAlign w:val="bottom"/>
          </w:tcPr>
          <w:p>
            <w:pPr>
              <w:jc w:val="right"/>
              <w:spacing w:after="0"/>
              <w:rPr>
                <w:sz w:val="20"/>
                <w:szCs w:val="20"/>
                <w:color w:val="auto"/>
              </w:rPr>
            </w:pPr>
            <w:r>
              <w:rPr>
                <w:rFonts w:ascii="Arial" w:cs="Arial" w:eastAsia="Arial" w:hAnsi="Arial"/>
                <w:sz w:val="14"/>
                <w:szCs w:val="14"/>
                <w:color w:val="auto"/>
              </w:rPr>
              <w:t>$12,000</w:t>
            </w:r>
          </w:p>
        </w:tc>
      </w:tr>
      <w:tr>
        <w:trPr>
          <w:trHeight w:val="162"/>
        </w:trPr>
        <w:tc>
          <w:tcPr>
            <w:tcW w:w="3540" w:type="dxa"/>
            <w:vAlign w:val="bottom"/>
          </w:tcPr>
          <w:p>
            <w:pPr>
              <w:ind w:left="280"/>
              <w:spacing w:after="0"/>
              <w:rPr>
                <w:sz w:val="20"/>
                <w:szCs w:val="20"/>
                <w:color w:val="auto"/>
              </w:rPr>
            </w:pPr>
            <w:r>
              <w:rPr>
                <w:rFonts w:ascii="Arial" w:cs="Arial" w:eastAsia="Arial" w:hAnsi="Arial"/>
                <w:sz w:val="14"/>
                <w:szCs w:val="14"/>
                <w:color w:val="auto"/>
              </w:rPr>
              <w:t>Corporate Governance Committee Chair; Finance</w:t>
            </w:r>
          </w:p>
        </w:tc>
        <w:tc>
          <w:tcPr>
            <w:tcW w:w="660" w:type="dxa"/>
            <w:vAlign w:val="bottom"/>
          </w:tcPr>
          <w:p>
            <w:pPr>
              <w:spacing w:after="0"/>
              <w:rPr>
                <w:sz w:val="14"/>
                <w:szCs w:val="14"/>
                <w:color w:val="auto"/>
              </w:rPr>
            </w:pPr>
          </w:p>
        </w:tc>
      </w:tr>
      <w:tr>
        <w:trPr>
          <w:trHeight w:val="162"/>
        </w:trPr>
        <w:tc>
          <w:tcPr>
            <w:tcW w:w="3540" w:type="dxa"/>
            <w:vAlign w:val="bottom"/>
          </w:tcPr>
          <w:p>
            <w:pPr>
              <w:ind w:left="280"/>
              <w:spacing w:after="0"/>
              <w:rPr>
                <w:sz w:val="20"/>
                <w:szCs w:val="20"/>
                <w:color w:val="auto"/>
              </w:rPr>
            </w:pPr>
            <w:r>
              <w:rPr>
                <w:rFonts w:ascii="Arial" w:cs="Arial" w:eastAsia="Arial" w:hAnsi="Arial"/>
                <w:sz w:val="14"/>
                <w:szCs w:val="14"/>
                <w:color w:val="auto"/>
              </w:rPr>
              <w:t>Committee Chair; Public Policy and Compliance</w:t>
            </w:r>
          </w:p>
        </w:tc>
        <w:tc>
          <w:tcPr>
            <w:tcW w:w="660" w:type="dxa"/>
            <w:vAlign w:val="bottom"/>
          </w:tcPr>
          <w:p>
            <w:pPr>
              <w:spacing w:after="0"/>
              <w:rPr>
                <w:sz w:val="14"/>
                <w:szCs w:val="14"/>
                <w:color w:val="auto"/>
              </w:rPr>
            </w:pPr>
          </w:p>
        </w:tc>
      </w:tr>
      <w:tr>
        <w:trPr>
          <w:trHeight w:val="172"/>
        </w:trPr>
        <w:tc>
          <w:tcPr>
            <w:tcW w:w="3540" w:type="dxa"/>
            <w:vAlign w:val="bottom"/>
          </w:tcPr>
          <w:p>
            <w:pPr>
              <w:ind w:left="280"/>
              <w:spacing w:after="0"/>
              <w:rPr>
                <w:sz w:val="20"/>
                <w:szCs w:val="20"/>
                <w:color w:val="auto"/>
              </w:rPr>
            </w:pPr>
            <w:r>
              <w:rPr>
                <w:rFonts w:ascii="Arial" w:cs="Arial" w:eastAsia="Arial" w:hAnsi="Arial"/>
                <w:sz w:val="14"/>
                <w:szCs w:val="14"/>
                <w:color w:val="auto"/>
              </w:rPr>
              <w:t>Committee Chair</w:t>
            </w:r>
          </w:p>
        </w:tc>
        <w:tc>
          <w:tcPr>
            <w:tcW w:w="66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ind w:right="1980"/>
        <w:spacing w:after="0" w:line="286" w:lineRule="auto"/>
        <w:rPr>
          <w:sz w:val="20"/>
          <w:szCs w:val="20"/>
          <w:color w:val="auto"/>
        </w:rPr>
      </w:pPr>
      <w:r>
        <w:rPr>
          <w:rFonts w:ascii="Arial" w:cs="Arial" w:eastAsia="Arial" w:hAnsi="Arial"/>
          <w:sz w:val="16"/>
          <w:szCs w:val="16"/>
          <w:b w:val="1"/>
          <w:bCs w:val="1"/>
          <w:color w:val="auto"/>
        </w:rPr>
        <w:t>Committee Retainers (annual, paid in monthly installments)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00" w:type="dxa"/>
            <w:vAlign w:val="bottom"/>
          </w:tcPr>
          <w:p>
            <w:pPr>
              <w:spacing w:after="0"/>
              <w:rPr>
                <w:sz w:val="20"/>
                <w:szCs w:val="20"/>
                <w:color w:val="auto"/>
              </w:rPr>
            </w:pPr>
            <w:r>
              <w:rPr>
                <w:rFonts w:ascii="Arial" w:cs="Arial" w:eastAsia="Arial" w:hAnsi="Arial"/>
                <w:sz w:val="14"/>
                <w:szCs w:val="14"/>
                <w:color w:val="auto"/>
              </w:rPr>
              <w:t>Audit Committee; Science and Technology</w:t>
            </w:r>
          </w:p>
        </w:tc>
        <w:tc>
          <w:tcPr>
            <w:tcW w:w="640" w:type="dxa"/>
            <w:vAlign w:val="bottom"/>
          </w:tcPr>
          <w:p>
            <w:pPr>
              <w:jc w:val="right"/>
              <w:spacing w:after="0"/>
              <w:rPr>
                <w:sz w:val="20"/>
                <w:szCs w:val="20"/>
                <w:color w:val="auto"/>
              </w:rPr>
            </w:pPr>
            <w:r>
              <w:rPr>
                <w:rFonts w:ascii="Arial" w:cs="Arial" w:eastAsia="Arial" w:hAnsi="Arial"/>
                <w:sz w:val="14"/>
                <w:szCs w:val="14"/>
                <w:color w:val="auto"/>
              </w:rPr>
              <w:t>$6,000</w:t>
            </w:r>
          </w:p>
        </w:tc>
      </w:tr>
      <w:tr>
        <w:trPr>
          <w:trHeight w:val="172"/>
        </w:trPr>
        <w:tc>
          <w:tcPr>
            <w:tcW w:w="3500" w:type="dxa"/>
            <w:vAlign w:val="bottom"/>
          </w:tcPr>
          <w:p>
            <w:pPr>
              <w:spacing w:after="0"/>
              <w:rPr>
                <w:sz w:val="20"/>
                <w:szCs w:val="20"/>
                <w:color w:val="auto"/>
              </w:rPr>
            </w:pPr>
            <w:r>
              <w:rPr>
                <w:rFonts w:ascii="Arial" w:cs="Arial" w:eastAsia="Arial" w:hAnsi="Arial"/>
                <w:sz w:val="14"/>
                <w:szCs w:val="14"/>
                <w:color w:val="auto"/>
              </w:rPr>
              <w:t>Committee members (including the chairs)</w:t>
            </w:r>
          </w:p>
        </w:tc>
        <w:tc>
          <w:tcPr>
            <w:tcW w:w="640" w:type="dxa"/>
            <w:vAlign w:val="bottom"/>
          </w:tcPr>
          <w:p>
            <w:pPr>
              <w:spacing w:after="0"/>
              <w:rPr>
                <w:sz w:val="14"/>
                <w:szCs w:val="14"/>
                <w:color w:val="auto"/>
              </w:rPr>
            </w:pPr>
          </w:p>
        </w:tc>
      </w:tr>
      <w:tr>
        <w:trPr>
          <w:trHeight w:val="341"/>
        </w:trPr>
        <w:tc>
          <w:tcPr>
            <w:tcW w:w="3500" w:type="dxa"/>
            <w:vAlign w:val="bottom"/>
          </w:tcPr>
          <w:p>
            <w:pPr>
              <w:spacing w:after="0"/>
              <w:rPr>
                <w:sz w:val="20"/>
                <w:szCs w:val="20"/>
                <w:color w:val="auto"/>
              </w:rPr>
            </w:pPr>
            <w:r>
              <w:rPr>
                <w:rFonts w:ascii="Arial" w:cs="Arial" w:eastAsia="Arial" w:hAnsi="Arial"/>
                <w:sz w:val="14"/>
                <w:szCs w:val="14"/>
                <w:color w:val="auto"/>
              </w:rPr>
              <w:t>Compensation Committee; Directors and Corporate</w:t>
            </w:r>
          </w:p>
        </w:tc>
        <w:tc>
          <w:tcPr>
            <w:tcW w:w="640" w:type="dxa"/>
            <w:vAlign w:val="bottom"/>
          </w:tcPr>
          <w:p>
            <w:pPr>
              <w:jc w:val="right"/>
              <w:spacing w:after="0"/>
              <w:rPr>
                <w:sz w:val="20"/>
                <w:szCs w:val="20"/>
                <w:color w:val="auto"/>
              </w:rPr>
            </w:pPr>
            <w:r>
              <w:rPr>
                <w:rFonts w:ascii="Arial" w:cs="Arial" w:eastAsia="Arial" w:hAnsi="Arial"/>
                <w:sz w:val="14"/>
                <w:szCs w:val="14"/>
                <w:color w:val="auto"/>
              </w:rPr>
              <w:t>$3,000</w:t>
            </w:r>
          </w:p>
        </w:tc>
      </w:tr>
      <w:tr>
        <w:trPr>
          <w:trHeight w:val="162"/>
        </w:trPr>
        <w:tc>
          <w:tcPr>
            <w:tcW w:w="3500" w:type="dxa"/>
            <w:vAlign w:val="bottom"/>
          </w:tcPr>
          <w:p>
            <w:pPr>
              <w:spacing w:after="0"/>
              <w:rPr>
                <w:sz w:val="20"/>
                <w:szCs w:val="20"/>
                <w:color w:val="auto"/>
              </w:rPr>
            </w:pPr>
            <w:r>
              <w:rPr>
                <w:rFonts w:ascii="Arial" w:cs="Arial" w:eastAsia="Arial" w:hAnsi="Arial"/>
                <w:sz w:val="14"/>
                <w:szCs w:val="14"/>
                <w:color w:val="auto"/>
              </w:rPr>
              <w:t>Governance Committee; Finance Committee; Public</w:t>
            </w:r>
          </w:p>
        </w:tc>
        <w:tc>
          <w:tcPr>
            <w:tcW w:w="640" w:type="dxa"/>
            <w:vAlign w:val="bottom"/>
          </w:tcPr>
          <w:p>
            <w:pPr>
              <w:spacing w:after="0"/>
              <w:rPr>
                <w:sz w:val="14"/>
                <w:szCs w:val="14"/>
                <w:color w:val="auto"/>
              </w:rPr>
            </w:pPr>
          </w:p>
        </w:tc>
      </w:tr>
      <w:tr>
        <w:trPr>
          <w:trHeight w:val="162"/>
        </w:trPr>
        <w:tc>
          <w:tcPr>
            <w:tcW w:w="3500" w:type="dxa"/>
            <w:vAlign w:val="bottom"/>
          </w:tcPr>
          <w:p>
            <w:pPr>
              <w:spacing w:after="0"/>
              <w:rPr>
                <w:sz w:val="20"/>
                <w:szCs w:val="20"/>
                <w:color w:val="auto"/>
              </w:rPr>
            </w:pPr>
            <w:r>
              <w:rPr>
                <w:rFonts w:ascii="Arial" w:cs="Arial" w:eastAsia="Arial" w:hAnsi="Arial"/>
                <w:sz w:val="14"/>
                <w:szCs w:val="14"/>
                <w:color w:val="auto"/>
              </w:rPr>
              <w:t>Policy and Compliance Committee members</w:t>
            </w:r>
          </w:p>
        </w:tc>
        <w:tc>
          <w:tcPr>
            <w:tcW w:w="640" w:type="dxa"/>
            <w:vAlign w:val="bottom"/>
          </w:tcPr>
          <w:p>
            <w:pPr>
              <w:spacing w:after="0"/>
              <w:rPr>
                <w:sz w:val="14"/>
                <w:szCs w:val="14"/>
                <w:color w:val="auto"/>
              </w:rPr>
            </w:pPr>
          </w:p>
        </w:tc>
      </w:tr>
      <w:tr>
        <w:trPr>
          <w:trHeight w:val="172"/>
        </w:trPr>
        <w:tc>
          <w:tcPr>
            <w:tcW w:w="3500" w:type="dxa"/>
            <w:vAlign w:val="bottom"/>
          </w:tcPr>
          <w:p>
            <w:pPr>
              <w:spacing w:after="0"/>
              <w:rPr>
                <w:sz w:val="20"/>
                <w:szCs w:val="20"/>
                <w:color w:val="auto"/>
              </w:rPr>
            </w:pPr>
            <w:r>
              <w:rPr>
                <w:rFonts w:ascii="Arial" w:cs="Arial" w:eastAsia="Arial" w:hAnsi="Arial"/>
                <w:sz w:val="14"/>
                <w:szCs w:val="14"/>
                <w:color w:val="auto"/>
              </w:rPr>
              <w:t>(including the chairs)</w:t>
            </w:r>
          </w:p>
        </w:tc>
        <w:tc>
          <w:tcPr>
            <w:tcW w:w="640" w:type="dxa"/>
            <w:vAlign w:val="bottom"/>
          </w:tcPr>
          <w:p>
            <w:pPr>
              <w:spacing w:after="0"/>
              <w:rPr>
                <w:sz w:val="14"/>
                <w:szCs w:val="14"/>
                <w:color w:val="auto"/>
              </w:rPr>
            </w:pPr>
          </w:p>
        </w:tc>
      </w:tr>
    </w:tbl>
    <w:p>
      <w:pPr>
        <w:spacing w:after="0" w:line="1442" w:lineRule="exact"/>
        <w:rPr>
          <w:sz w:val="20"/>
          <w:szCs w:val="20"/>
          <w:color w:val="auto"/>
        </w:rPr>
      </w:pPr>
    </w:p>
    <w:p>
      <w:pPr>
        <w:sectPr>
          <w:pgSz w:w="11900" w:h="16838" w:orient="portrait"/>
          <w:cols w:equalWidth="0" w:num="2">
            <w:col w:w="5560" w:space="360"/>
            <w:col w:w="5500"/>
          </w:cols>
          <w:pgMar w:left="240" w:top="814" w:right="239" w:bottom="1440" w:gutter="0" w:footer="0" w:header="0"/>
          <w:type w:val="continuous"/>
        </w:sectPr>
      </w:pPr>
    </w:p>
    <w:p>
      <w:pPr>
        <w:spacing w:after="0" w:line="2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Directors are reimbursed for customary and usual travel expenses in connection with their travel to and from board meetings and other company events. Directors may also receive additional cash compensation for serving on ad hoc committees that may be assembled from time to time.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Stock Compensation</w:t>
      </w:r>
    </w:p>
    <w:p>
      <w:pPr>
        <w:spacing w:after="0" w:line="31"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Directors are required to hold meaningful equity ownership positions in the company, and may not sell the equity compensation they earn as a director until after leaving the board. A significant portion of director compensation is in the form of deferred Lilly stock payable after they leave the board. Directors are required to hold Lilly stock, directly or through company plans, valued at not less than five times their annual board retainer; new directors are allowed five years to reach this ownership level. All directors serving at least five years have satisfied these guidelines, and all other directors are making progress toward these requirements.</w:t>
      </w:r>
    </w:p>
    <w:p>
      <w:pPr>
        <w:spacing w:after="0" w:line="20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In 2017, non-employee directors received $ 160,000 of equity compensation (but no more than 7,500 shares), deposited annually in a deferred stock account in the Lilly Directors’ Deferral Plan (as described below). This award is prorated for time served and payable beginning the second January following the director's departure from board service.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Annual Compensation Cap for Directors</w:t>
      </w:r>
    </w:p>
    <w:p>
      <w:pPr>
        <w:spacing w:after="0" w:line="31" w:lineRule="exact"/>
        <w:rPr>
          <w:sz w:val="20"/>
          <w:szCs w:val="20"/>
          <w:color w:val="auto"/>
        </w:rPr>
      </w:pPr>
    </w:p>
    <w:p>
      <w:pPr>
        <w:ind w:right="620"/>
        <w:spacing w:after="0" w:line="262" w:lineRule="auto"/>
        <w:rPr>
          <w:sz w:val="20"/>
          <w:szCs w:val="20"/>
          <w:color w:val="auto"/>
        </w:rPr>
      </w:pPr>
      <w:r>
        <w:rPr>
          <w:rFonts w:ascii="Arial" w:cs="Arial" w:eastAsia="Arial" w:hAnsi="Arial"/>
          <w:sz w:val="18"/>
          <w:szCs w:val="18"/>
          <w:color w:val="auto"/>
        </w:rPr>
        <w:t>In 2017, the board approved a cap to the total annual compensation (retainers, fees, and stock allocation) for non-employee directors of $800,000. The cap is intended to avoid excessive director compensation and is</w:t>
      </w:r>
    </w:p>
    <w:p>
      <w:pPr>
        <w:spacing w:after="0" w:line="2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P21</w:t>
      </w:r>
    </w:p>
    <w:p>
      <w:pPr>
        <w:sectPr>
          <w:pgSz w:w="11900" w:h="16838" w:orient="portrait"/>
          <w:cols w:equalWidth="0" w:num="1">
            <w:col w:w="11420"/>
          </w:cols>
          <w:pgMar w:left="240" w:top="814" w:right="239" w:bottom="1440" w:gutter="0" w:footer="0" w:header="0"/>
          <w:type w:val="continuous"/>
        </w:sectPr>
      </w:pPr>
    </w:p>
    <w:bookmarkStart w:id="25" w:name="page26"/>
    <w:bookmarkEnd w:id="25"/>
    <w:p>
      <w:pPr>
        <w:ind w:right="160"/>
        <w:spacing w:after="0" w:line="262" w:lineRule="auto"/>
        <w:rPr>
          <w:sz w:val="20"/>
          <w:szCs w:val="20"/>
          <w:color w:val="auto"/>
        </w:rPr>
      </w:pPr>
      <w:r>
        <w:rPr>
          <w:rFonts w:ascii="Arial" w:cs="Arial" w:eastAsia="Arial" w:hAnsi="Arial"/>
          <w:sz w:val="18"/>
          <w:szCs w:val="18"/>
          <w:color w:val="auto"/>
        </w:rPr>
        <w:t>included in both our Directors' Deferral Plan and in the Amended and Restated 2002 Lilly Stock Plan being considered by shareholders at this year’s annual shareholders meeting.</w:t>
      </w:r>
    </w:p>
    <w:p>
      <w:pPr>
        <w:spacing w:after="0" w:line="174" w:lineRule="exact"/>
        <w:rPr>
          <w:sz w:val="20"/>
          <w:szCs w:val="20"/>
          <w:color w:val="auto"/>
        </w:rPr>
      </w:pPr>
    </w:p>
    <w:p>
      <w:pPr>
        <w:ind w:right="260"/>
        <w:spacing w:after="0" w:line="269" w:lineRule="auto"/>
        <w:rPr>
          <w:sz w:val="20"/>
          <w:szCs w:val="20"/>
          <w:color w:val="auto"/>
        </w:rPr>
      </w:pPr>
      <w:r>
        <w:rPr>
          <w:rFonts w:ascii="Arial" w:cs="Arial" w:eastAsia="Arial" w:hAnsi="Arial"/>
          <w:sz w:val="18"/>
          <w:szCs w:val="18"/>
          <w:b w:val="1"/>
          <w:bCs w:val="1"/>
          <w:u w:val="single" w:color="auto"/>
          <w:color w:val="auto"/>
        </w:rPr>
        <w:t>Lilly Directors’ Deferral Plan</w:t>
      </w:r>
      <w:r>
        <w:rPr>
          <w:rFonts w:ascii="Arial" w:cs="Arial" w:eastAsia="Arial" w:hAnsi="Arial"/>
          <w:sz w:val="18"/>
          <w:szCs w:val="18"/>
          <w:color w:val="auto"/>
        </w:rPr>
        <w:t>: The Lilly Directors' Deferral Plan allows non-employee directors to defer receipt of all or part of their cash</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until after their service on the board has ended. Each director can choose to invest the amounts deferred in one or both of the following two accounts:</w:t>
      </w:r>
    </w:p>
    <w:p>
      <w:pPr>
        <w:spacing w:after="0" w:line="16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b w:val="1"/>
          <w:bCs w:val="1"/>
          <w:i w:val="1"/>
          <w:iCs w:val="1"/>
          <w:color w:val="auto"/>
        </w:rPr>
        <w:t xml:space="preserve">Deferred Stock Account. </w:t>
      </w:r>
      <w:r>
        <w:rPr>
          <w:rFonts w:ascii="Arial" w:cs="Arial" w:eastAsia="Arial" w:hAnsi="Arial"/>
          <w:sz w:val="18"/>
          <w:szCs w:val="18"/>
          <w:color w:val="auto"/>
        </w:rPr>
        <w:t>This account allows the director, in effect, to invest his or her deferred cash compensation in company stock. Funds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this account are credited as hypothetical shares of company stock based on the closing stock price on pre-set monthly dates. In addition, the annual stock compensation award as described above is also credited to this account. The number of shares credited is calculated by dividing the $160,000 annual compensation figure by the closing stock price on a pre-set annual date. Hypothetical dividends are “reinvested” in additional shares based on the market price of the stock on the date dividends are paid. Actual shares are issued on the second January following the director's departure from board service.</w:t>
      </w:r>
    </w:p>
    <w:p>
      <w:pPr>
        <w:spacing w:after="0" w:line="183"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b w:val="1"/>
          <w:bCs w:val="1"/>
          <w:i w:val="1"/>
          <w:iCs w:val="1"/>
          <w:color w:val="auto"/>
        </w:rPr>
        <w:t>Deferred Compensation Account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Funds in this account earn interest each year at a rate of 120 percent of the applicable federal long-term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rate, compounded monthly, as established the preceding December by the U.S. Treasury Department under Section 1274(d) of the Internal Revenue Code of 1986 (the Internal Revenue Code). The aggregate amount of interest that accrued in 2017 for the participating directors was $140,541, at a rate of 2.7 percent. The rate for 2018 is 3.1 percent.</w:t>
      </w:r>
    </w:p>
    <w:p>
      <w:pPr>
        <w:spacing w:after="0" w:line="199"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Both accounts may generally only be paid in a lump sum or in annual installments for up to 10 years, beginning the second January following the director’s departure from board service. Amounts in the deferred stock account are paid in shares of company stock.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2017 Compensation for Non-Employee Directors</w:t>
      </w:r>
    </w:p>
    <w:p>
      <w:pPr>
        <w:spacing w:after="0" w:line="363"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2000" w:type="dxa"/>
            <w:vAlign w:val="bottom"/>
            <w:tcBorders>
              <w:top w:val="single" w:sz="8" w:color="auto"/>
              <w:left w:val="single" w:sz="8" w:color="auto"/>
              <w:right w:val="single" w:sz="8" w:color="auto"/>
            </w:tcBorders>
            <w:shd w:val="clear" w:color="auto" w:fill="E5E5E5"/>
          </w:tcPr>
          <w:p>
            <w:pPr>
              <w:spacing w:after="0"/>
              <w:rPr>
                <w:sz w:val="16"/>
                <w:szCs w:val="16"/>
                <w:color w:val="auto"/>
              </w:rPr>
            </w:pPr>
          </w:p>
        </w:tc>
        <w:tc>
          <w:tcPr>
            <w:tcW w:w="1600" w:type="dxa"/>
            <w:vAlign w:val="bottom"/>
            <w:tcBorders>
              <w:top w:val="single" w:sz="8" w:color="auto"/>
              <w:right w:val="single" w:sz="8" w:color="auto"/>
            </w:tcBorders>
            <w:shd w:val="clear" w:color="auto" w:fill="DDDDDD"/>
          </w:tcPr>
          <w:p>
            <w:pPr>
              <w:spacing w:after="0"/>
              <w:rPr>
                <w:sz w:val="16"/>
                <w:szCs w:val="16"/>
                <w:color w:val="auto"/>
              </w:rPr>
            </w:pPr>
          </w:p>
        </w:tc>
        <w:tc>
          <w:tcPr>
            <w:tcW w:w="1460" w:type="dxa"/>
            <w:vAlign w:val="bottom"/>
            <w:tcBorders>
              <w:top w:val="single" w:sz="8" w:color="auto"/>
              <w:right w:val="single" w:sz="8" w:color="auto"/>
            </w:tcBorders>
            <w:shd w:val="clear" w:color="auto" w:fill="DDDDDD"/>
          </w:tcPr>
          <w:p>
            <w:pPr>
              <w:spacing w:after="0"/>
              <w:rPr>
                <w:sz w:val="16"/>
                <w:szCs w:val="16"/>
                <w:color w:val="auto"/>
              </w:rPr>
            </w:pPr>
          </w:p>
        </w:tc>
        <w:tc>
          <w:tcPr>
            <w:tcW w:w="1460" w:type="dxa"/>
            <w:vAlign w:val="bottom"/>
            <w:tcBorders>
              <w:top w:val="single" w:sz="8" w:color="auto"/>
              <w:right w:val="single" w:sz="8" w:color="auto"/>
            </w:tcBorders>
            <w:shd w:val="clear" w:color="auto" w:fill="DDDDDD"/>
          </w:tcPr>
          <w:p>
            <w:pPr>
              <w:jc w:val="right"/>
              <w:ind w:right="388"/>
              <w:spacing w:after="0"/>
              <w:rPr>
                <w:sz w:val="20"/>
                <w:szCs w:val="20"/>
                <w:color w:val="auto"/>
              </w:rPr>
            </w:pPr>
            <w:r>
              <w:rPr>
                <w:rFonts w:ascii="Arial" w:cs="Arial" w:eastAsia="Arial" w:hAnsi="Arial"/>
                <w:sz w:val="14"/>
                <w:szCs w:val="14"/>
                <w:b w:val="1"/>
                <w:bCs w:val="1"/>
                <w:color w:val="auto"/>
              </w:rPr>
              <w:t>All Other</w:t>
            </w:r>
          </w:p>
        </w:tc>
        <w:tc>
          <w:tcPr>
            <w:tcW w:w="1480" w:type="dxa"/>
            <w:vAlign w:val="bottom"/>
            <w:tcBorders>
              <w:top w:val="single" w:sz="8" w:color="auto"/>
              <w:right w:val="single" w:sz="8" w:color="auto"/>
            </w:tcBorders>
            <w:shd w:val="clear" w:color="auto" w:fill="DDDDDD"/>
          </w:tcPr>
          <w:p>
            <w:pPr>
              <w:spacing w:after="0"/>
              <w:rPr>
                <w:sz w:val="16"/>
                <w:szCs w:val="16"/>
                <w:color w:val="auto"/>
              </w:rPr>
            </w:pPr>
          </w:p>
        </w:tc>
      </w:tr>
      <w:tr>
        <w:trPr>
          <w:trHeight w:val="162"/>
        </w:trPr>
        <w:tc>
          <w:tcPr>
            <w:tcW w:w="2000" w:type="dxa"/>
            <w:vAlign w:val="bottom"/>
            <w:tcBorders>
              <w:left w:val="single" w:sz="8" w:color="auto"/>
              <w:right w:val="single" w:sz="8" w:color="auto"/>
            </w:tcBorders>
            <w:shd w:val="clear" w:color="auto" w:fill="E5E5E5"/>
          </w:tcPr>
          <w:p>
            <w:pPr>
              <w:spacing w:after="0"/>
              <w:rPr>
                <w:sz w:val="14"/>
                <w:szCs w:val="14"/>
                <w:color w:val="auto"/>
              </w:rPr>
            </w:pPr>
          </w:p>
        </w:tc>
        <w:tc>
          <w:tcPr>
            <w:tcW w:w="1600" w:type="dxa"/>
            <w:vAlign w:val="bottom"/>
            <w:tcBorders>
              <w:right w:val="single" w:sz="8" w:color="auto"/>
            </w:tcBorders>
            <w:shd w:val="clear" w:color="auto" w:fill="DDDDDD"/>
          </w:tcPr>
          <w:p>
            <w:pPr>
              <w:jc w:val="right"/>
              <w:ind w:right="308"/>
              <w:spacing w:after="0"/>
              <w:rPr>
                <w:sz w:val="20"/>
                <w:szCs w:val="20"/>
                <w:color w:val="auto"/>
              </w:rPr>
            </w:pPr>
            <w:r>
              <w:rPr>
                <w:rFonts w:ascii="Arial" w:cs="Arial" w:eastAsia="Arial" w:hAnsi="Arial"/>
                <w:sz w:val="14"/>
                <w:szCs w:val="14"/>
                <w:b w:val="1"/>
                <w:bCs w:val="1"/>
                <w:color w:val="auto"/>
              </w:rPr>
              <w:t>Fees Earned</w:t>
            </w:r>
          </w:p>
        </w:tc>
        <w:tc>
          <w:tcPr>
            <w:tcW w:w="1460" w:type="dxa"/>
            <w:vAlign w:val="bottom"/>
            <w:tcBorders>
              <w:right w:val="single" w:sz="8" w:color="auto"/>
            </w:tcBorders>
            <w:shd w:val="clear" w:color="auto" w:fill="DDDDDD"/>
          </w:tcPr>
          <w:p>
            <w:pPr>
              <w:spacing w:after="0"/>
              <w:rPr>
                <w:sz w:val="14"/>
                <w:szCs w:val="14"/>
                <w:color w:val="auto"/>
              </w:rPr>
            </w:pPr>
          </w:p>
        </w:tc>
        <w:tc>
          <w:tcPr>
            <w:tcW w:w="1460" w:type="dxa"/>
            <w:vAlign w:val="bottom"/>
            <w:tcBorders>
              <w:right w:val="single" w:sz="8" w:color="auto"/>
            </w:tcBorders>
            <w:shd w:val="clear" w:color="auto" w:fill="DDDDDD"/>
          </w:tcPr>
          <w:p>
            <w:pPr>
              <w:jc w:val="right"/>
              <w:ind w:right="188"/>
              <w:spacing w:after="0"/>
              <w:rPr>
                <w:sz w:val="20"/>
                <w:szCs w:val="20"/>
                <w:color w:val="auto"/>
              </w:rPr>
            </w:pPr>
            <w:r>
              <w:rPr>
                <w:rFonts w:ascii="Arial" w:cs="Arial" w:eastAsia="Arial" w:hAnsi="Arial"/>
                <w:sz w:val="14"/>
                <w:szCs w:val="14"/>
                <w:b w:val="1"/>
                <w:bCs w:val="1"/>
                <w:color w:val="auto"/>
              </w:rPr>
              <w:t>Compensation</w:t>
            </w:r>
          </w:p>
        </w:tc>
        <w:tc>
          <w:tcPr>
            <w:tcW w:w="1480" w:type="dxa"/>
            <w:vAlign w:val="bottom"/>
            <w:tcBorders>
              <w:right w:val="single" w:sz="8" w:color="auto"/>
            </w:tcBorders>
            <w:shd w:val="clear" w:color="auto" w:fill="DDDDDD"/>
          </w:tcPr>
          <w:p>
            <w:pPr>
              <w:spacing w:after="0"/>
              <w:rPr>
                <w:sz w:val="14"/>
                <w:szCs w:val="14"/>
                <w:color w:val="auto"/>
              </w:rPr>
            </w:pPr>
          </w:p>
        </w:tc>
      </w:tr>
      <w:tr>
        <w:trPr>
          <w:trHeight w:val="202"/>
        </w:trPr>
        <w:tc>
          <w:tcPr>
            <w:tcW w:w="2000" w:type="dxa"/>
            <w:vAlign w:val="bottom"/>
            <w:tcBorders>
              <w:left w:val="single" w:sz="8" w:color="auto"/>
              <w:bottom w:val="single" w:sz="8" w:color="auto"/>
              <w:right w:val="single" w:sz="8" w:color="auto"/>
            </w:tcBorders>
            <w:shd w:val="clear" w:color="auto" w:fill="E5E5E5"/>
          </w:tcPr>
          <w:p>
            <w:pPr>
              <w:ind w:left="40"/>
              <w:spacing w:after="0"/>
              <w:rPr>
                <w:sz w:val="20"/>
                <w:szCs w:val="20"/>
                <w:color w:val="auto"/>
              </w:rPr>
            </w:pPr>
            <w:r>
              <w:rPr>
                <w:rFonts w:ascii="Arial" w:cs="Arial" w:eastAsia="Arial" w:hAnsi="Arial"/>
                <w:sz w:val="14"/>
                <w:szCs w:val="14"/>
                <w:b w:val="1"/>
                <w:bCs w:val="1"/>
                <w:color w:val="auto"/>
              </w:rPr>
              <w:t>Name</w:t>
            </w:r>
          </w:p>
        </w:tc>
        <w:tc>
          <w:tcPr>
            <w:tcW w:w="1600" w:type="dxa"/>
            <w:vAlign w:val="bottom"/>
            <w:tcBorders>
              <w:bottom w:val="single" w:sz="8" w:color="auto"/>
              <w:right w:val="single" w:sz="8" w:color="auto"/>
            </w:tcBorders>
            <w:shd w:val="clear" w:color="auto" w:fill="DDDDDD"/>
          </w:tcPr>
          <w:p>
            <w:pPr>
              <w:jc w:val="right"/>
              <w:ind w:right="108"/>
              <w:spacing w:after="0"/>
              <w:rPr>
                <w:sz w:val="20"/>
                <w:szCs w:val="20"/>
                <w:color w:val="auto"/>
              </w:rPr>
            </w:pPr>
            <w:r>
              <w:rPr>
                <w:rFonts w:ascii="Arial" w:cs="Arial" w:eastAsia="Arial" w:hAnsi="Arial"/>
                <w:sz w:val="14"/>
                <w:szCs w:val="14"/>
                <w:b w:val="1"/>
                <w:bCs w:val="1"/>
                <w:color w:val="auto"/>
              </w:rPr>
              <w:t>or Paid in Cash ($)</w:t>
            </w:r>
          </w:p>
        </w:tc>
        <w:tc>
          <w:tcPr>
            <w:tcW w:w="1460" w:type="dxa"/>
            <w:vAlign w:val="bottom"/>
            <w:tcBorders>
              <w:bottom w:val="single" w:sz="8" w:color="auto"/>
              <w:right w:val="single" w:sz="8" w:color="auto"/>
            </w:tcBorders>
            <w:shd w:val="clear" w:color="auto" w:fill="DDDDDD"/>
          </w:tcPr>
          <w:p>
            <w:pPr>
              <w:jc w:val="right"/>
              <w:ind w:right="68"/>
              <w:spacing w:after="0"/>
              <w:rPr>
                <w:sz w:val="20"/>
                <w:szCs w:val="20"/>
                <w:color w:val="auto"/>
              </w:rPr>
            </w:pPr>
            <w:r>
              <w:rPr>
                <w:rFonts w:ascii="Arial" w:cs="Arial" w:eastAsia="Arial" w:hAnsi="Arial"/>
                <w:sz w:val="14"/>
                <w:szCs w:val="14"/>
                <w:b w:val="1"/>
                <w:bCs w:val="1"/>
                <w:color w:val="auto"/>
              </w:rPr>
              <w:t>Stock Awards ($)</w:t>
            </w:r>
            <w:r>
              <w:rPr>
                <w:rFonts w:ascii="Arial" w:cs="Arial" w:eastAsia="Arial" w:hAnsi="Arial"/>
                <w:sz w:val="17"/>
                <w:szCs w:val="17"/>
                <w:b w:val="1"/>
                <w:bCs w:val="1"/>
                <w:color w:val="auto"/>
                <w:vertAlign w:val="superscript"/>
              </w:rPr>
              <w:t>1</w:t>
            </w:r>
          </w:p>
        </w:tc>
        <w:tc>
          <w:tcPr>
            <w:tcW w:w="1460" w:type="dxa"/>
            <w:vAlign w:val="bottom"/>
            <w:tcBorders>
              <w:bottom w:val="single" w:sz="8" w:color="auto"/>
              <w:right w:val="single" w:sz="8" w:color="auto"/>
            </w:tcBorders>
            <w:shd w:val="clear" w:color="auto" w:fill="DDDDDD"/>
          </w:tcPr>
          <w:p>
            <w:pPr>
              <w:jc w:val="right"/>
              <w:ind w:right="48"/>
              <w:spacing w:after="0"/>
              <w:rPr>
                <w:sz w:val="20"/>
                <w:szCs w:val="20"/>
                <w:color w:val="auto"/>
              </w:rPr>
            </w:pPr>
            <w:r>
              <w:rPr>
                <w:rFonts w:ascii="Arial" w:cs="Arial" w:eastAsia="Arial" w:hAnsi="Arial"/>
                <w:sz w:val="14"/>
                <w:szCs w:val="14"/>
                <w:b w:val="1"/>
                <w:bCs w:val="1"/>
                <w:color w:val="auto"/>
              </w:rPr>
              <w:t>and Payments ($)</w:t>
            </w:r>
            <w:r>
              <w:rPr>
                <w:rFonts w:ascii="Arial" w:cs="Arial" w:eastAsia="Arial" w:hAnsi="Arial"/>
                <w:sz w:val="17"/>
                <w:szCs w:val="17"/>
                <w:b w:val="1"/>
                <w:bCs w:val="1"/>
                <w:color w:val="auto"/>
                <w:vertAlign w:val="superscript"/>
              </w:rPr>
              <w:t>2</w:t>
            </w:r>
          </w:p>
        </w:tc>
        <w:tc>
          <w:tcPr>
            <w:tcW w:w="1480" w:type="dxa"/>
            <w:vAlign w:val="bottom"/>
            <w:tcBorders>
              <w:bottom w:val="single" w:sz="8" w:color="auto"/>
              <w:right w:val="single" w:sz="8" w:color="auto"/>
            </w:tcBorders>
            <w:shd w:val="clear" w:color="auto" w:fill="DDDDDD"/>
          </w:tcPr>
          <w:p>
            <w:pPr>
              <w:jc w:val="right"/>
              <w:ind w:right="388"/>
              <w:spacing w:after="0"/>
              <w:rPr>
                <w:sz w:val="20"/>
                <w:szCs w:val="20"/>
                <w:color w:val="auto"/>
              </w:rPr>
            </w:pPr>
            <w:r>
              <w:rPr>
                <w:rFonts w:ascii="Arial" w:cs="Arial" w:eastAsia="Arial" w:hAnsi="Arial"/>
                <w:sz w:val="14"/>
                <w:szCs w:val="14"/>
                <w:b w:val="1"/>
                <w:bCs w:val="1"/>
                <w:color w:val="auto"/>
              </w:rPr>
              <w:t>Total ($)</w:t>
            </w:r>
            <w:r>
              <w:rPr>
                <w:rFonts w:ascii="Arial" w:cs="Arial" w:eastAsia="Arial" w:hAnsi="Arial"/>
                <w:sz w:val="17"/>
                <w:szCs w:val="17"/>
                <w:b w:val="1"/>
                <w:bCs w:val="1"/>
                <w:color w:val="auto"/>
                <w:vertAlign w:val="superscript"/>
              </w:rPr>
              <w:t>3</w:t>
            </w:r>
          </w:p>
        </w:tc>
      </w:tr>
      <w:tr>
        <w:trPr>
          <w:trHeight w:val="258"/>
        </w:trPr>
        <w:tc>
          <w:tcPr>
            <w:tcW w:w="20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Mr. Alvarez</w:t>
            </w:r>
          </w:p>
        </w:tc>
        <w:tc>
          <w:tcPr>
            <w:tcW w:w="1600" w:type="dxa"/>
            <w:vAlign w:val="bottom"/>
            <w:tcBorders>
              <w:bottom w:val="single" w:sz="8" w:color="auto"/>
              <w:right w:val="single" w:sz="8" w:color="auto"/>
            </w:tcBorders>
          </w:tcPr>
          <w:p>
            <w:pPr>
              <w:jc w:val="right"/>
              <w:ind w:right="328"/>
              <w:spacing w:after="0"/>
              <w:rPr>
                <w:sz w:val="20"/>
                <w:szCs w:val="20"/>
                <w:color w:val="auto"/>
              </w:rPr>
            </w:pPr>
            <w:r>
              <w:rPr>
                <w:rFonts w:ascii="Arial" w:cs="Arial" w:eastAsia="Arial" w:hAnsi="Arial"/>
                <w:sz w:val="14"/>
                <w:szCs w:val="14"/>
                <w:color w:val="auto"/>
              </w:rPr>
              <w:t>$131,000</w:t>
            </w:r>
          </w:p>
        </w:tc>
        <w:tc>
          <w:tcPr>
            <w:tcW w:w="1460" w:type="dxa"/>
            <w:vAlign w:val="bottom"/>
            <w:tcBorders>
              <w:bottom w:val="single" w:sz="8" w:color="auto"/>
              <w:right w:val="single" w:sz="8" w:color="auto"/>
            </w:tcBorders>
          </w:tcPr>
          <w:p>
            <w:pPr>
              <w:jc w:val="right"/>
              <w:ind w:right="328"/>
              <w:spacing w:after="0"/>
              <w:rPr>
                <w:sz w:val="20"/>
                <w:szCs w:val="20"/>
                <w:color w:val="auto"/>
              </w:rPr>
            </w:pPr>
            <w:r>
              <w:rPr>
                <w:rFonts w:ascii="Arial" w:cs="Arial" w:eastAsia="Arial" w:hAnsi="Arial"/>
                <w:sz w:val="14"/>
                <w:szCs w:val="14"/>
                <w:color w:val="auto"/>
              </w:rPr>
              <w:t>$160,000</w:t>
            </w:r>
          </w:p>
        </w:tc>
        <w:tc>
          <w:tcPr>
            <w:tcW w:w="1460" w:type="dxa"/>
            <w:vAlign w:val="bottom"/>
            <w:tcBorders>
              <w:bottom w:val="single" w:sz="8" w:color="auto"/>
              <w:right w:val="single" w:sz="8" w:color="auto"/>
            </w:tcBorders>
          </w:tcPr>
          <w:p>
            <w:pPr>
              <w:jc w:val="right"/>
              <w:ind w:right="328"/>
              <w:spacing w:after="0"/>
              <w:rPr>
                <w:sz w:val="20"/>
                <w:szCs w:val="20"/>
                <w:color w:val="auto"/>
              </w:rPr>
            </w:pPr>
            <w:r>
              <w:rPr>
                <w:rFonts w:ascii="Arial" w:cs="Arial" w:eastAsia="Arial" w:hAnsi="Arial"/>
                <w:sz w:val="14"/>
                <w:szCs w:val="14"/>
                <w:color w:val="auto"/>
              </w:rPr>
              <w:t>$0</w:t>
            </w:r>
          </w:p>
        </w:tc>
        <w:tc>
          <w:tcPr>
            <w:tcW w:w="1480" w:type="dxa"/>
            <w:vAlign w:val="bottom"/>
            <w:tcBorders>
              <w:bottom w:val="single" w:sz="8" w:color="auto"/>
              <w:right w:val="single" w:sz="8" w:color="auto"/>
            </w:tcBorders>
          </w:tcPr>
          <w:p>
            <w:pPr>
              <w:jc w:val="right"/>
              <w:ind w:right="348"/>
              <w:spacing w:after="0"/>
              <w:rPr>
                <w:sz w:val="20"/>
                <w:szCs w:val="20"/>
                <w:color w:val="auto"/>
              </w:rPr>
            </w:pPr>
            <w:r>
              <w:rPr>
                <w:rFonts w:ascii="Arial" w:cs="Arial" w:eastAsia="Arial" w:hAnsi="Arial"/>
                <w:sz w:val="14"/>
                <w:szCs w:val="14"/>
                <w:color w:val="auto"/>
              </w:rPr>
              <w:t>$291,000</w:t>
            </w:r>
          </w:p>
        </w:tc>
      </w:tr>
      <w:tr>
        <w:trPr>
          <w:trHeight w:val="264"/>
        </w:trPr>
        <w:tc>
          <w:tcPr>
            <w:tcW w:w="20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Dr. Baicker</w:t>
            </w:r>
          </w:p>
        </w:tc>
        <w:tc>
          <w:tcPr>
            <w:tcW w:w="1600" w:type="dxa"/>
            <w:vAlign w:val="bottom"/>
            <w:tcBorders>
              <w:bottom w:val="single" w:sz="8" w:color="auto"/>
              <w:right w:val="single" w:sz="8" w:color="auto"/>
            </w:tcBorders>
          </w:tcPr>
          <w:p>
            <w:pPr>
              <w:jc w:val="right"/>
              <w:ind w:right="328"/>
              <w:spacing w:after="0"/>
              <w:rPr>
                <w:sz w:val="20"/>
                <w:szCs w:val="20"/>
                <w:color w:val="auto"/>
              </w:rPr>
            </w:pPr>
            <w:r>
              <w:rPr>
                <w:rFonts w:ascii="Arial" w:cs="Arial" w:eastAsia="Arial" w:hAnsi="Arial"/>
                <w:sz w:val="14"/>
                <w:szCs w:val="14"/>
                <w:color w:val="auto"/>
              </w:rPr>
              <w:t>$119,000</w:t>
            </w:r>
          </w:p>
        </w:tc>
        <w:tc>
          <w:tcPr>
            <w:tcW w:w="1460" w:type="dxa"/>
            <w:vAlign w:val="bottom"/>
            <w:tcBorders>
              <w:bottom w:val="single" w:sz="8" w:color="auto"/>
              <w:right w:val="single" w:sz="8" w:color="auto"/>
            </w:tcBorders>
          </w:tcPr>
          <w:p>
            <w:pPr>
              <w:jc w:val="right"/>
              <w:ind w:right="328"/>
              <w:spacing w:after="0"/>
              <w:rPr>
                <w:sz w:val="20"/>
                <w:szCs w:val="20"/>
                <w:color w:val="auto"/>
              </w:rPr>
            </w:pPr>
            <w:r>
              <w:rPr>
                <w:rFonts w:ascii="Arial" w:cs="Arial" w:eastAsia="Arial" w:hAnsi="Arial"/>
                <w:sz w:val="14"/>
                <w:szCs w:val="14"/>
                <w:color w:val="auto"/>
              </w:rPr>
              <w:t>$160,000</w:t>
            </w:r>
          </w:p>
        </w:tc>
        <w:tc>
          <w:tcPr>
            <w:tcW w:w="1460" w:type="dxa"/>
            <w:vAlign w:val="bottom"/>
            <w:tcBorders>
              <w:bottom w:val="single" w:sz="8" w:color="auto"/>
              <w:right w:val="single" w:sz="8" w:color="auto"/>
            </w:tcBorders>
          </w:tcPr>
          <w:p>
            <w:pPr>
              <w:jc w:val="right"/>
              <w:ind w:right="328"/>
              <w:spacing w:after="0"/>
              <w:rPr>
                <w:sz w:val="20"/>
                <w:szCs w:val="20"/>
                <w:color w:val="auto"/>
              </w:rPr>
            </w:pPr>
            <w:r>
              <w:rPr>
                <w:rFonts w:ascii="Arial" w:cs="Arial" w:eastAsia="Arial" w:hAnsi="Arial"/>
                <w:sz w:val="14"/>
                <w:szCs w:val="14"/>
                <w:color w:val="auto"/>
              </w:rPr>
              <w:t>$0</w:t>
            </w:r>
          </w:p>
        </w:tc>
        <w:tc>
          <w:tcPr>
            <w:tcW w:w="1480" w:type="dxa"/>
            <w:vAlign w:val="bottom"/>
            <w:tcBorders>
              <w:bottom w:val="single" w:sz="8" w:color="auto"/>
              <w:right w:val="single" w:sz="8" w:color="auto"/>
            </w:tcBorders>
          </w:tcPr>
          <w:p>
            <w:pPr>
              <w:jc w:val="right"/>
              <w:ind w:right="348"/>
              <w:spacing w:after="0"/>
              <w:rPr>
                <w:sz w:val="20"/>
                <w:szCs w:val="20"/>
                <w:color w:val="auto"/>
              </w:rPr>
            </w:pPr>
            <w:r>
              <w:rPr>
                <w:rFonts w:ascii="Arial" w:cs="Arial" w:eastAsia="Arial" w:hAnsi="Arial"/>
                <w:sz w:val="14"/>
                <w:szCs w:val="14"/>
                <w:color w:val="auto"/>
              </w:rPr>
              <w:t>$279,000</w:t>
            </w:r>
          </w:p>
        </w:tc>
      </w:tr>
      <w:tr>
        <w:trPr>
          <w:trHeight w:val="264"/>
        </w:trPr>
        <w:tc>
          <w:tcPr>
            <w:tcW w:w="20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Dr. Bertozzi</w:t>
            </w:r>
          </w:p>
        </w:tc>
        <w:tc>
          <w:tcPr>
            <w:tcW w:w="1600" w:type="dxa"/>
            <w:vAlign w:val="bottom"/>
            <w:tcBorders>
              <w:bottom w:val="single" w:sz="8" w:color="auto"/>
              <w:right w:val="single" w:sz="8" w:color="auto"/>
            </w:tcBorders>
          </w:tcPr>
          <w:p>
            <w:pPr>
              <w:jc w:val="right"/>
              <w:ind w:right="328"/>
              <w:spacing w:after="0"/>
              <w:rPr>
                <w:sz w:val="20"/>
                <w:szCs w:val="20"/>
                <w:color w:val="auto"/>
              </w:rPr>
            </w:pPr>
            <w:r>
              <w:rPr>
                <w:rFonts w:ascii="Arial" w:cs="Arial" w:eastAsia="Arial" w:hAnsi="Arial"/>
                <w:sz w:val="14"/>
                <w:szCs w:val="14"/>
                <w:color w:val="auto"/>
              </w:rPr>
              <w:t>$109,083</w:t>
            </w:r>
          </w:p>
        </w:tc>
        <w:tc>
          <w:tcPr>
            <w:tcW w:w="1460" w:type="dxa"/>
            <w:vAlign w:val="bottom"/>
            <w:tcBorders>
              <w:bottom w:val="single" w:sz="8" w:color="auto"/>
              <w:right w:val="single" w:sz="8" w:color="auto"/>
            </w:tcBorders>
          </w:tcPr>
          <w:p>
            <w:pPr>
              <w:jc w:val="right"/>
              <w:ind w:right="328"/>
              <w:spacing w:after="0"/>
              <w:rPr>
                <w:sz w:val="20"/>
                <w:szCs w:val="20"/>
                <w:color w:val="auto"/>
              </w:rPr>
            </w:pPr>
            <w:r>
              <w:rPr>
                <w:rFonts w:ascii="Arial" w:cs="Arial" w:eastAsia="Arial" w:hAnsi="Arial"/>
                <w:sz w:val="14"/>
                <w:szCs w:val="14"/>
                <w:color w:val="auto"/>
              </w:rPr>
              <w:t>$146,667</w:t>
            </w:r>
          </w:p>
        </w:tc>
        <w:tc>
          <w:tcPr>
            <w:tcW w:w="1460" w:type="dxa"/>
            <w:vAlign w:val="bottom"/>
            <w:tcBorders>
              <w:bottom w:val="single" w:sz="8" w:color="auto"/>
              <w:right w:val="single" w:sz="8" w:color="auto"/>
            </w:tcBorders>
          </w:tcPr>
          <w:p>
            <w:pPr>
              <w:jc w:val="right"/>
              <w:ind w:right="328"/>
              <w:spacing w:after="0"/>
              <w:rPr>
                <w:sz w:val="20"/>
                <w:szCs w:val="20"/>
                <w:color w:val="auto"/>
              </w:rPr>
            </w:pPr>
            <w:r>
              <w:rPr>
                <w:rFonts w:ascii="Arial" w:cs="Arial" w:eastAsia="Arial" w:hAnsi="Arial"/>
                <w:sz w:val="14"/>
                <w:szCs w:val="14"/>
                <w:color w:val="auto"/>
              </w:rPr>
              <w:t>$0</w:t>
            </w:r>
          </w:p>
        </w:tc>
        <w:tc>
          <w:tcPr>
            <w:tcW w:w="1480" w:type="dxa"/>
            <w:vAlign w:val="bottom"/>
            <w:tcBorders>
              <w:bottom w:val="single" w:sz="8" w:color="auto"/>
              <w:right w:val="single" w:sz="8" w:color="auto"/>
            </w:tcBorders>
          </w:tcPr>
          <w:p>
            <w:pPr>
              <w:jc w:val="right"/>
              <w:ind w:right="348"/>
              <w:spacing w:after="0"/>
              <w:rPr>
                <w:sz w:val="20"/>
                <w:szCs w:val="20"/>
                <w:color w:val="auto"/>
              </w:rPr>
            </w:pPr>
            <w:r>
              <w:rPr>
                <w:rFonts w:ascii="Arial" w:cs="Arial" w:eastAsia="Arial" w:hAnsi="Arial"/>
                <w:sz w:val="14"/>
                <w:szCs w:val="14"/>
                <w:color w:val="auto"/>
              </w:rPr>
              <w:t>$255,750</w:t>
            </w:r>
          </w:p>
        </w:tc>
      </w:tr>
      <w:tr>
        <w:trPr>
          <w:trHeight w:val="264"/>
        </w:trPr>
        <w:tc>
          <w:tcPr>
            <w:tcW w:w="20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Mr. Eskew</w:t>
            </w:r>
          </w:p>
        </w:tc>
        <w:tc>
          <w:tcPr>
            <w:tcW w:w="1600" w:type="dxa"/>
            <w:vAlign w:val="bottom"/>
            <w:tcBorders>
              <w:bottom w:val="single" w:sz="8" w:color="auto"/>
              <w:right w:val="single" w:sz="8" w:color="auto"/>
            </w:tcBorders>
          </w:tcPr>
          <w:p>
            <w:pPr>
              <w:jc w:val="right"/>
              <w:ind w:right="328"/>
              <w:spacing w:after="0"/>
              <w:rPr>
                <w:sz w:val="20"/>
                <w:szCs w:val="20"/>
                <w:color w:val="auto"/>
              </w:rPr>
            </w:pPr>
            <w:r>
              <w:rPr>
                <w:rFonts w:ascii="Arial" w:cs="Arial" w:eastAsia="Arial" w:hAnsi="Arial"/>
                <w:sz w:val="14"/>
                <w:szCs w:val="14"/>
                <w:color w:val="auto"/>
              </w:rPr>
              <w:t>$140,000</w:t>
            </w:r>
          </w:p>
        </w:tc>
        <w:tc>
          <w:tcPr>
            <w:tcW w:w="1460" w:type="dxa"/>
            <w:vAlign w:val="bottom"/>
            <w:tcBorders>
              <w:bottom w:val="single" w:sz="8" w:color="auto"/>
              <w:right w:val="single" w:sz="8" w:color="auto"/>
            </w:tcBorders>
          </w:tcPr>
          <w:p>
            <w:pPr>
              <w:jc w:val="right"/>
              <w:ind w:right="328"/>
              <w:spacing w:after="0"/>
              <w:rPr>
                <w:sz w:val="20"/>
                <w:szCs w:val="20"/>
                <w:color w:val="auto"/>
              </w:rPr>
            </w:pPr>
            <w:r>
              <w:rPr>
                <w:rFonts w:ascii="Arial" w:cs="Arial" w:eastAsia="Arial" w:hAnsi="Arial"/>
                <w:sz w:val="14"/>
                <w:szCs w:val="14"/>
                <w:color w:val="auto"/>
              </w:rPr>
              <w:t>$160,000</w:t>
            </w:r>
          </w:p>
        </w:tc>
        <w:tc>
          <w:tcPr>
            <w:tcW w:w="1460" w:type="dxa"/>
            <w:vAlign w:val="bottom"/>
            <w:tcBorders>
              <w:bottom w:val="single" w:sz="8" w:color="auto"/>
              <w:right w:val="single" w:sz="8" w:color="auto"/>
            </w:tcBorders>
          </w:tcPr>
          <w:p>
            <w:pPr>
              <w:jc w:val="right"/>
              <w:ind w:right="328"/>
              <w:spacing w:after="0"/>
              <w:rPr>
                <w:sz w:val="20"/>
                <w:szCs w:val="20"/>
                <w:color w:val="auto"/>
              </w:rPr>
            </w:pPr>
            <w:r>
              <w:rPr>
                <w:rFonts w:ascii="Arial" w:cs="Arial" w:eastAsia="Arial" w:hAnsi="Arial"/>
                <w:sz w:val="14"/>
                <w:szCs w:val="14"/>
                <w:color w:val="auto"/>
              </w:rPr>
              <w:t>$0</w:t>
            </w:r>
          </w:p>
        </w:tc>
        <w:tc>
          <w:tcPr>
            <w:tcW w:w="1480" w:type="dxa"/>
            <w:vAlign w:val="bottom"/>
            <w:tcBorders>
              <w:bottom w:val="single" w:sz="8" w:color="auto"/>
              <w:right w:val="single" w:sz="8" w:color="auto"/>
            </w:tcBorders>
          </w:tcPr>
          <w:p>
            <w:pPr>
              <w:jc w:val="right"/>
              <w:ind w:right="348"/>
              <w:spacing w:after="0"/>
              <w:rPr>
                <w:sz w:val="20"/>
                <w:szCs w:val="20"/>
                <w:color w:val="auto"/>
              </w:rPr>
            </w:pPr>
            <w:r>
              <w:rPr>
                <w:rFonts w:ascii="Arial" w:cs="Arial" w:eastAsia="Arial" w:hAnsi="Arial"/>
                <w:sz w:val="14"/>
                <w:szCs w:val="14"/>
                <w:color w:val="auto"/>
              </w:rPr>
              <w:t>$300,000</w:t>
            </w:r>
          </w:p>
        </w:tc>
      </w:tr>
      <w:tr>
        <w:trPr>
          <w:trHeight w:val="264"/>
        </w:trPr>
        <w:tc>
          <w:tcPr>
            <w:tcW w:w="20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Mr. Fyrwald</w:t>
            </w:r>
          </w:p>
        </w:tc>
        <w:tc>
          <w:tcPr>
            <w:tcW w:w="1600" w:type="dxa"/>
            <w:vAlign w:val="bottom"/>
            <w:tcBorders>
              <w:bottom w:val="single" w:sz="8" w:color="auto"/>
              <w:right w:val="single" w:sz="8" w:color="auto"/>
            </w:tcBorders>
          </w:tcPr>
          <w:p>
            <w:pPr>
              <w:jc w:val="right"/>
              <w:ind w:right="328"/>
              <w:spacing w:after="0"/>
              <w:rPr>
                <w:sz w:val="20"/>
                <w:szCs w:val="20"/>
                <w:color w:val="auto"/>
              </w:rPr>
            </w:pPr>
            <w:r>
              <w:rPr>
                <w:rFonts w:ascii="Arial" w:cs="Arial" w:eastAsia="Arial" w:hAnsi="Arial"/>
                <w:sz w:val="14"/>
                <w:szCs w:val="14"/>
                <w:color w:val="auto"/>
              </w:rPr>
              <w:t>$131,000</w:t>
            </w:r>
          </w:p>
        </w:tc>
        <w:tc>
          <w:tcPr>
            <w:tcW w:w="1460" w:type="dxa"/>
            <w:vAlign w:val="bottom"/>
            <w:tcBorders>
              <w:bottom w:val="single" w:sz="8" w:color="auto"/>
              <w:right w:val="single" w:sz="8" w:color="auto"/>
            </w:tcBorders>
          </w:tcPr>
          <w:p>
            <w:pPr>
              <w:jc w:val="right"/>
              <w:ind w:right="328"/>
              <w:spacing w:after="0"/>
              <w:rPr>
                <w:sz w:val="20"/>
                <w:szCs w:val="20"/>
                <w:color w:val="auto"/>
              </w:rPr>
            </w:pPr>
            <w:r>
              <w:rPr>
                <w:rFonts w:ascii="Arial" w:cs="Arial" w:eastAsia="Arial" w:hAnsi="Arial"/>
                <w:sz w:val="14"/>
                <w:szCs w:val="14"/>
                <w:color w:val="auto"/>
              </w:rPr>
              <w:t>$160,000</w:t>
            </w:r>
          </w:p>
        </w:tc>
        <w:tc>
          <w:tcPr>
            <w:tcW w:w="1460" w:type="dxa"/>
            <w:vAlign w:val="bottom"/>
            <w:tcBorders>
              <w:bottom w:val="single" w:sz="8" w:color="auto"/>
              <w:right w:val="single" w:sz="8" w:color="auto"/>
            </w:tcBorders>
          </w:tcPr>
          <w:p>
            <w:pPr>
              <w:jc w:val="right"/>
              <w:ind w:right="328"/>
              <w:spacing w:after="0"/>
              <w:rPr>
                <w:sz w:val="20"/>
                <w:szCs w:val="20"/>
                <w:color w:val="auto"/>
              </w:rPr>
            </w:pPr>
            <w:r>
              <w:rPr>
                <w:rFonts w:ascii="Arial" w:cs="Arial" w:eastAsia="Arial" w:hAnsi="Arial"/>
                <w:sz w:val="14"/>
                <w:szCs w:val="14"/>
                <w:color w:val="auto"/>
              </w:rPr>
              <w:t>$17,000</w:t>
            </w:r>
          </w:p>
        </w:tc>
        <w:tc>
          <w:tcPr>
            <w:tcW w:w="1480" w:type="dxa"/>
            <w:vAlign w:val="bottom"/>
            <w:tcBorders>
              <w:bottom w:val="single" w:sz="8" w:color="auto"/>
              <w:right w:val="single" w:sz="8" w:color="auto"/>
            </w:tcBorders>
          </w:tcPr>
          <w:p>
            <w:pPr>
              <w:jc w:val="right"/>
              <w:ind w:right="348"/>
              <w:spacing w:after="0"/>
              <w:rPr>
                <w:sz w:val="20"/>
                <w:szCs w:val="20"/>
                <w:color w:val="auto"/>
              </w:rPr>
            </w:pPr>
            <w:r>
              <w:rPr>
                <w:rFonts w:ascii="Arial" w:cs="Arial" w:eastAsia="Arial" w:hAnsi="Arial"/>
                <w:sz w:val="14"/>
                <w:szCs w:val="14"/>
                <w:color w:val="auto"/>
              </w:rPr>
              <w:t>$308,000</w:t>
            </w:r>
          </w:p>
        </w:tc>
      </w:tr>
      <w:tr>
        <w:trPr>
          <w:trHeight w:val="264"/>
        </w:trPr>
        <w:tc>
          <w:tcPr>
            <w:tcW w:w="20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Mr. Hoover</w:t>
            </w:r>
          </w:p>
        </w:tc>
        <w:tc>
          <w:tcPr>
            <w:tcW w:w="1600" w:type="dxa"/>
            <w:vAlign w:val="bottom"/>
            <w:tcBorders>
              <w:bottom w:val="single" w:sz="8" w:color="auto"/>
              <w:right w:val="single" w:sz="8" w:color="auto"/>
            </w:tcBorders>
          </w:tcPr>
          <w:p>
            <w:pPr>
              <w:jc w:val="right"/>
              <w:ind w:right="328"/>
              <w:spacing w:after="0"/>
              <w:rPr>
                <w:sz w:val="20"/>
                <w:szCs w:val="20"/>
                <w:color w:val="auto"/>
              </w:rPr>
            </w:pPr>
            <w:r>
              <w:rPr>
                <w:rFonts w:ascii="Arial" w:cs="Arial" w:eastAsia="Arial" w:hAnsi="Arial"/>
                <w:sz w:val="14"/>
                <w:szCs w:val="14"/>
                <w:color w:val="auto"/>
              </w:rPr>
              <w:t>$128,000</w:t>
            </w:r>
          </w:p>
        </w:tc>
        <w:tc>
          <w:tcPr>
            <w:tcW w:w="1460" w:type="dxa"/>
            <w:vAlign w:val="bottom"/>
            <w:tcBorders>
              <w:bottom w:val="single" w:sz="8" w:color="auto"/>
              <w:right w:val="single" w:sz="8" w:color="auto"/>
            </w:tcBorders>
          </w:tcPr>
          <w:p>
            <w:pPr>
              <w:jc w:val="right"/>
              <w:ind w:right="328"/>
              <w:spacing w:after="0"/>
              <w:rPr>
                <w:sz w:val="20"/>
                <w:szCs w:val="20"/>
                <w:color w:val="auto"/>
              </w:rPr>
            </w:pPr>
            <w:r>
              <w:rPr>
                <w:rFonts w:ascii="Arial" w:cs="Arial" w:eastAsia="Arial" w:hAnsi="Arial"/>
                <w:sz w:val="14"/>
                <w:szCs w:val="14"/>
                <w:color w:val="auto"/>
              </w:rPr>
              <w:t>$160,000</w:t>
            </w:r>
          </w:p>
        </w:tc>
        <w:tc>
          <w:tcPr>
            <w:tcW w:w="1460" w:type="dxa"/>
            <w:vAlign w:val="bottom"/>
            <w:tcBorders>
              <w:bottom w:val="single" w:sz="8" w:color="auto"/>
              <w:right w:val="single" w:sz="8" w:color="auto"/>
            </w:tcBorders>
          </w:tcPr>
          <w:p>
            <w:pPr>
              <w:jc w:val="right"/>
              <w:ind w:right="328"/>
              <w:spacing w:after="0"/>
              <w:rPr>
                <w:sz w:val="20"/>
                <w:szCs w:val="20"/>
                <w:color w:val="auto"/>
              </w:rPr>
            </w:pPr>
            <w:r>
              <w:rPr>
                <w:rFonts w:ascii="Arial" w:cs="Arial" w:eastAsia="Arial" w:hAnsi="Arial"/>
                <w:sz w:val="14"/>
                <w:szCs w:val="14"/>
                <w:color w:val="auto"/>
              </w:rPr>
              <w:t>$0</w:t>
            </w:r>
          </w:p>
        </w:tc>
        <w:tc>
          <w:tcPr>
            <w:tcW w:w="1480" w:type="dxa"/>
            <w:vAlign w:val="bottom"/>
            <w:tcBorders>
              <w:bottom w:val="single" w:sz="8" w:color="auto"/>
              <w:right w:val="single" w:sz="8" w:color="auto"/>
            </w:tcBorders>
          </w:tcPr>
          <w:p>
            <w:pPr>
              <w:jc w:val="right"/>
              <w:ind w:right="348"/>
              <w:spacing w:after="0"/>
              <w:rPr>
                <w:sz w:val="20"/>
                <w:szCs w:val="20"/>
                <w:color w:val="auto"/>
              </w:rPr>
            </w:pPr>
            <w:r>
              <w:rPr>
                <w:rFonts w:ascii="Arial" w:cs="Arial" w:eastAsia="Arial" w:hAnsi="Arial"/>
                <w:sz w:val="14"/>
                <w:szCs w:val="14"/>
                <w:color w:val="auto"/>
              </w:rPr>
              <w:t>$288,000</w:t>
            </w:r>
          </w:p>
        </w:tc>
      </w:tr>
      <w:tr>
        <w:trPr>
          <w:trHeight w:val="264"/>
        </w:trPr>
        <w:tc>
          <w:tcPr>
            <w:tcW w:w="20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Mr. Jackson</w:t>
            </w:r>
          </w:p>
        </w:tc>
        <w:tc>
          <w:tcPr>
            <w:tcW w:w="1600" w:type="dxa"/>
            <w:vAlign w:val="bottom"/>
            <w:tcBorders>
              <w:bottom w:val="single" w:sz="8" w:color="auto"/>
              <w:right w:val="single" w:sz="8" w:color="auto"/>
            </w:tcBorders>
          </w:tcPr>
          <w:p>
            <w:pPr>
              <w:jc w:val="right"/>
              <w:ind w:right="328"/>
              <w:spacing w:after="0"/>
              <w:rPr>
                <w:sz w:val="20"/>
                <w:szCs w:val="20"/>
                <w:color w:val="auto"/>
              </w:rPr>
            </w:pPr>
            <w:r>
              <w:rPr>
                <w:rFonts w:ascii="Arial" w:cs="Arial" w:eastAsia="Arial" w:hAnsi="Arial"/>
                <w:sz w:val="14"/>
                <w:szCs w:val="14"/>
                <w:color w:val="auto"/>
              </w:rPr>
              <w:t>$119,000</w:t>
            </w:r>
          </w:p>
        </w:tc>
        <w:tc>
          <w:tcPr>
            <w:tcW w:w="1460" w:type="dxa"/>
            <w:vAlign w:val="bottom"/>
            <w:tcBorders>
              <w:bottom w:val="single" w:sz="8" w:color="auto"/>
              <w:right w:val="single" w:sz="8" w:color="auto"/>
            </w:tcBorders>
          </w:tcPr>
          <w:p>
            <w:pPr>
              <w:jc w:val="right"/>
              <w:ind w:right="328"/>
              <w:spacing w:after="0"/>
              <w:rPr>
                <w:sz w:val="20"/>
                <w:szCs w:val="20"/>
                <w:color w:val="auto"/>
              </w:rPr>
            </w:pPr>
            <w:r>
              <w:rPr>
                <w:rFonts w:ascii="Arial" w:cs="Arial" w:eastAsia="Arial" w:hAnsi="Arial"/>
                <w:sz w:val="14"/>
                <w:szCs w:val="14"/>
                <w:color w:val="auto"/>
              </w:rPr>
              <w:t>$160,000</w:t>
            </w:r>
          </w:p>
        </w:tc>
        <w:tc>
          <w:tcPr>
            <w:tcW w:w="1460" w:type="dxa"/>
            <w:vAlign w:val="bottom"/>
            <w:tcBorders>
              <w:bottom w:val="single" w:sz="8" w:color="auto"/>
              <w:right w:val="single" w:sz="8" w:color="auto"/>
            </w:tcBorders>
          </w:tcPr>
          <w:p>
            <w:pPr>
              <w:jc w:val="right"/>
              <w:ind w:right="328"/>
              <w:spacing w:after="0"/>
              <w:rPr>
                <w:sz w:val="20"/>
                <w:szCs w:val="20"/>
                <w:color w:val="auto"/>
              </w:rPr>
            </w:pPr>
            <w:r>
              <w:rPr>
                <w:rFonts w:ascii="Arial" w:cs="Arial" w:eastAsia="Arial" w:hAnsi="Arial"/>
                <w:sz w:val="14"/>
                <w:szCs w:val="14"/>
                <w:color w:val="auto"/>
              </w:rPr>
              <w:t>$0</w:t>
            </w:r>
          </w:p>
        </w:tc>
        <w:tc>
          <w:tcPr>
            <w:tcW w:w="1480" w:type="dxa"/>
            <w:vAlign w:val="bottom"/>
            <w:tcBorders>
              <w:bottom w:val="single" w:sz="8" w:color="auto"/>
              <w:right w:val="single" w:sz="8" w:color="auto"/>
            </w:tcBorders>
          </w:tcPr>
          <w:p>
            <w:pPr>
              <w:jc w:val="right"/>
              <w:ind w:right="348"/>
              <w:spacing w:after="0"/>
              <w:rPr>
                <w:sz w:val="20"/>
                <w:szCs w:val="20"/>
                <w:color w:val="auto"/>
              </w:rPr>
            </w:pPr>
            <w:r>
              <w:rPr>
                <w:rFonts w:ascii="Arial" w:cs="Arial" w:eastAsia="Arial" w:hAnsi="Arial"/>
                <w:sz w:val="14"/>
                <w:szCs w:val="14"/>
                <w:color w:val="auto"/>
              </w:rPr>
              <w:t>$279,000</w:t>
            </w:r>
          </w:p>
        </w:tc>
      </w:tr>
      <w:tr>
        <w:trPr>
          <w:trHeight w:val="264"/>
        </w:trPr>
        <w:tc>
          <w:tcPr>
            <w:tcW w:w="20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Dr. Kaelin</w:t>
            </w:r>
          </w:p>
        </w:tc>
        <w:tc>
          <w:tcPr>
            <w:tcW w:w="1600" w:type="dxa"/>
            <w:vAlign w:val="bottom"/>
            <w:tcBorders>
              <w:bottom w:val="single" w:sz="8" w:color="auto"/>
              <w:right w:val="single" w:sz="8" w:color="auto"/>
            </w:tcBorders>
          </w:tcPr>
          <w:p>
            <w:pPr>
              <w:jc w:val="right"/>
              <w:ind w:right="328"/>
              <w:spacing w:after="0"/>
              <w:rPr>
                <w:sz w:val="20"/>
                <w:szCs w:val="20"/>
                <w:color w:val="auto"/>
              </w:rPr>
            </w:pPr>
            <w:r>
              <w:rPr>
                <w:rFonts w:ascii="Arial" w:cs="Arial" w:eastAsia="Arial" w:hAnsi="Arial"/>
                <w:sz w:val="14"/>
                <w:szCs w:val="14"/>
                <w:color w:val="auto"/>
              </w:rPr>
              <w:t>$134,000</w:t>
            </w:r>
          </w:p>
        </w:tc>
        <w:tc>
          <w:tcPr>
            <w:tcW w:w="1460" w:type="dxa"/>
            <w:vAlign w:val="bottom"/>
            <w:tcBorders>
              <w:bottom w:val="single" w:sz="8" w:color="auto"/>
              <w:right w:val="single" w:sz="8" w:color="auto"/>
            </w:tcBorders>
          </w:tcPr>
          <w:p>
            <w:pPr>
              <w:jc w:val="right"/>
              <w:ind w:right="328"/>
              <w:spacing w:after="0"/>
              <w:rPr>
                <w:sz w:val="20"/>
                <w:szCs w:val="20"/>
                <w:color w:val="auto"/>
              </w:rPr>
            </w:pPr>
            <w:r>
              <w:rPr>
                <w:rFonts w:ascii="Arial" w:cs="Arial" w:eastAsia="Arial" w:hAnsi="Arial"/>
                <w:sz w:val="14"/>
                <w:szCs w:val="14"/>
                <w:color w:val="auto"/>
              </w:rPr>
              <w:t>$160,000</w:t>
            </w:r>
          </w:p>
        </w:tc>
        <w:tc>
          <w:tcPr>
            <w:tcW w:w="1460" w:type="dxa"/>
            <w:vAlign w:val="bottom"/>
            <w:tcBorders>
              <w:bottom w:val="single" w:sz="8" w:color="auto"/>
              <w:right w:val="single" w:sz="8" w:color="auto"/>
            </w:tcBorders>
          </w:tcPr>
          <w:p>
            <w:pPr>
              <w:jc w:val="right"/>
              <w:ind w:right="328"/>
              <w:spacing w:after="0"/>
              <w:rPr>
                <w:sz w:val="20"/>
                <w:szCs w:val="20"/>
                <w:color w:val="auto"/>
              </w:rPr>
            </w:pPr>
            <w:r>
              <w:rPr>
                <w:rFonts w:ascii="Arial" w:cs="Arial" w:eastAsia="Arial" w:hAnsi="Arial"/>
                <w:sz w:val="14"/>
                <w:szCs w:val="14"/>
                <w:color w:val="auto"/>
              </w:rPr>
              <w:t>$13,500</w:t>
            </w:r>
          </w:p>
        </w:tc>
        <w:tc>
          <w:tcPr>
            <w:tcW w:w="1480" w:type="dxa"/>
            <w:vAlign w:val="bottom"/>
            <w:tcBorders>
              <w:bottom w:val="single" w:sz="8" w:color="auto"/>
              <w:right w:val="single" w:sz="8" w:color="auto"/>
            </w:tcBorders>
          </w:tcPr>
          <w:p>
            <w:pPr>
              <w:jc w:val="right"/>
              <w:ind w:right="348"/>
              <w:spacing w:after="0"/>
              <w:rPr>
                <w:sz w:val="20"/>
                <w:szCs w:val="20"/>
                <w:color w:val="auto"/>
              </w:rPr>
            </w:pPr>
            <w:r>
              <w:rPr>
                <w:rFonts w:ascii="Arial" w:cs="Arial" w:eastAsia="Arial" w:hAnsi="Arial"/>
                <w:sz w:val="14"/>
                <w:szCs w:val="14"/>
                <w:color w:val="auto"/>
              </w:rPr>
              <w:t>$307,500</w:t>
            </w:r>
          </w:p>
        </w:tc>
      </w:tr>
      <w:tr>
        <w:trPr>
          <w:trHeight w:val="264"/>
        </w:trPr>
        <w:tc>
          <w:tcPr>
            <w:tcW w:w="20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Mr. Luciano</w:t>
            </w:r>
          </w:p>
        </w:tc>
        <w:tc>
          <w:tcPr>
            <w:tcW w:w="1600" w:type="dxa"/>
            <w:vAlign w:val="bottom"/>
            <w:tcBorders>
              <w:bottom w:val="single" w:sz="8" w:color="auto"/>
              <w:right w:val="single" w:sz="8" w:color="auto"/>
            </w:tcBorders>
          </w:tcPr>
          <w:p>
            <w:pPr>
              <w:jc w:val="right"/>
              <w:ind w:right="328"/>
              <w:spacing w:after="0"/>
              <w:rPr>
                <w:sz w:val="20"/>
                <w:szCs w:val="20"/>
                <w:color w:val="auto"/>
              </w:rPr>
            </w:pPr>
            <w:r>
              <w:rPr>
                <w:rFonts w:ascii="Arial" w:cs="Arial" w:eastAsia="Arial" w:hAnsi="Arial"/>
                <w:sz w:val="14"/>
                <w:szCs w:val="14"/>
                <w:color w:val="auto"/>
              </w:rPr>
              <w:t>$116,000</w:t>
            </w:r>
          </w:p>
        </w:tc>
        <w:tc>
          <w:tcPr>
            <w:tcW w:w="1460" w:type="dxa"/>
            <w:vAlign w:val="bottom"/>
            <w:tcBorders>
              <w:bottom w:val="single" w:sz="8" w:color="auto"/>
              <w:right w:val="single" w:sz="8" w:color="auto"/>
            </w:tcBorders>
          </w:tcPr>
          <w:p>
            <w:pPr>
              <w:jc w:val="right"/>
              <w:ind w:right="328"/>
              <w:spacing w:after="0"/>
              <w:rPr>
                <w:sz w:val="20"/>
                <w:szCs w:val="20"/>
                <w:color w:val="auto"/>
              </w:rPr>
            </w:pPr>
            <w:r>
              <w:rPr>
                <w:rFonts w:ascii="Arial" w:cs="Arial" w:eastAsia="Arial" w:hAnsi="Arial"/>
                <w:sz w:val="14"/>
                <w:szCs w:val="14"/>
                <w:color w:val="auto"/>
              </w:rPr>
              <w:t>$160,000</w:t>
            </w:r>
          </w:p>
        </w:tc>
        <w:tc>
          <w:tcPr>
            <w:tcW w:w="1460" w:type="dxa"/>
            <w:vAlign w:val="bottom"/>
            <w:tcBorders>
              <w:bottom w:val="single" w:sz="8" w:color="auto"/>
              <w:right w:val="single" w:sz="8" w:color="auto"/>
            </w:tcBorders>
          </w:tcPr>
          <w:p>
            <w:pPr>
              <w:jc w:val="right"/>
              <w:ind w:right="328"/>
              <w:spacing w:after="0"/>
              <w:rPr>
                <w:sz w:val="20"/>
                <w:szCs w:val="20"/>
                <w:color w:val="auto"/>
              </w:rPr>
            </w:pPr>
            <w:r>
              <w:rPr>
                <w:rFonts w:ascii="Arial" w:cs="Arial" w:eastAsia="Arial" w:hAnsi="Arial"/>
                <w:sz w:val="14"/>
                <w:szCs w:val="14"/>
                <w:color w:val="auto"/>
              </w:rPr>
              <w:t>$0</w:t>
            </w:r>
          </w:p>
        </w:tc>
        <w:tc>
          <w:tcPr>
            <w:tcW w:w="1480" w:type="dxa"/>
            <w:vAlign w:val="bottom"/>
            <w:tcBorders>
              <w:bottom w:val="single" w:sz="8" w:color="auto"/>
              <w:right w:val="single" w:sz="8" w:color="auto"/>
            </w:tcBorders>
          </w:tcPr>
          <w:p>
            <w:pPr>
              <w:jc w:val="right"/>
              <w:ind w:right="348"/>
              <w:spacing w:after="0"/>
              <w:rPr>
                <w:sz w:val="20"/>
                <w:szCs w:val="20"/>
                <w:color w:val="auto"/>
              </w:rPr>
            </w:pPr>
            <w:r>
              <w:rPr>
                <w:rFonts w:ascii="Arial" w:cs="Arial" w:eastAsia="Arial" w:hAnsi="Arial"/>
                <w:sz w:val="14"/>
                <w:szCs w:val="14"/>
                <w:color w:val="auto"/>
              </w:rPr>
              <w:t>$276,000</w:t>
            </w:r>
          </w:p>
        </w:tc>
      </w:tr>
      <w:tr>
        <w:trPr>
          <w:trHeight w:val="264"/>
        </w:trPr>
        <w:tc>
          <w:tcPr>
            <w:tcW w:w="20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Ms. Marram</w:t>
            </w:r>
          </w:p>
        </w:tc>
        <w:tc>
          <w:tcPr>
            <w:tcW w:w="1600" w:type="dxa"/>
            <w:vAlign w:val="bottom"/>
            <w:tcBorders>
              <w:bottom w:val="single" w:sz="8" w:color="auto"/>
              <w:right w:val="single" w:sz="8" w:color="auto"/>
            </w:tcBorders>
          </w:tcPr>
          <w:p>
            <w:pPr>
              <w:jc w:val="right"/>
              <w:ind w:right="328"/>
              <w:spacing w:after="0"/>
              <w:rPr>
                <w:sz w:val="20"/>
                <w:szCs w:val="20"/>
                <w:color w:val="auto"/>
              </w:rPr>
            </w:pPr>
            <w:r>
              <w:rPr>
                <w:rFonts w:ascii="Arial" w:cs="Arial" w:eastAsia="Arial" w:hAnsi="Arial"/>
                <w:sz w:val="14"/>
                <w:szCs w:val="14"/>
                <w:color w:val="auto"/>
              </w:rPr>
              <w:t>$158,000</w:t>
            </w:r>
          </w:p>
        </w:tc>
        <w:tc>
          <w:tcPr>
            <w:tcW w:w="1460" w:type="dxa"/>
            <w:vAlign w:val="bottom"/>
            <w:tcBorders>
              <w:bottom w:val="single" w:sz="8" w:color="auto"/>
              <w:right w:val="single" w:sz="8" w:color="auto"/>
            </w:tcBorders>
          </w:tcPr>
          <w:p>
            <w:pPr>
              <w:jc w:val="right"/>
              <w:ind w:right="328"/>
              <w:spacing w:after="0"/>
              <w:rPr>
                <w:sz w:val="20"/>
                <w:szCs w:val="20"/>
                <w:color w:val="auto"/>
              </w:rPr>
            </w:pPr>
            <w:r>
              <w:rPr>
                <w:rFonts w:ascii="Arial" w:cs="Arial" w:eastAsia="Arial" w:hAnsi="Arial"/>
                <w:sz w:val="14"/>
                <w:szCs w:val="14"/>
                <w:color w:val="auto"/>
              </w:rPr>
              <w:t>$160,000</w:t>
            </w:r>
          </w:p>
        </w:tc>
        <w:tc>
          <w:tcPr>
            <w:tcW w:w="1460" w:type="dxa"/>
            <w:vAlign w:val="bottom"/>
            <w:tcBorders>
              <w:bottom w:val="single" w:sz="8" w:color="auto"/>
              <w:right w:val="single" w:sz="8" w:color="auto"/>
            </w:tcBorders>
          </w:tcPr>
          <w:p>
            <w:pPr>
              <w:jc w:val="right"/>
              <w:ind w:right="328"/>
              <w:spacing w:after="0"/>
              <w:rPr>
                <w:sz w:val="20"/>
                <w:szCs w:val="20"/>
                <w:color w:val="auto"/>
              </w:rPr>
            </w:pPr>
            <w:r>
              <w:rPr>
                <w:rFonts w:ascii="Arial" w:cs="Arial" w:eastAsia="Arial" w:hAnsi="Arial"/>
                <w:sz w:val="14"/>
                <w:szCs w:val="14"/>
                <w:color w:val="auto"/>
              </w:rPr>
              <w:t>$30,000</w:t>
            </w:r>
          </w:p>
        </w:tc>
        <w:tc>
          <w:tcPr>
            <w:tcW w:w="1480" w:type="dxa"/>
            <w:vAlign w:val="bottom"/>
            <w:tcBorders>
              <w:bottom w:val="single" w:sz="8" w:color="auto"/>
              <w:right w:val="single" w:sz="8" w:color="auto"/>
            </w:tcBorders>
          </w:tcPr>
          <w:p>
            <w:pPr>
              <w:jc w:val="right"/>
              <w:ind w:right="348"/>
              <w:spacing w:after="0"/>
              <w:rPr>
                <w:sz w:val="20"/>
                <w:szCs w:val="20"/>
                <w:color w:val="auto"/>
              </w:rPr>
            </w:pPr>
            <w:r>
              <w:rPr>
                <w:rFonts w:ascii="Arial" w:cs="Arial" w:eastAsia="Arial" w:hAnsi="Arial"/>
                <w:sz w:val="14"/>
                <w:szCs w:val="14"/>
                <w:color w:val="auto"/>
              </w:rPr>
              <w:t>$348,000</w:t>
            </w:r>
          </w:p>
        </w:tc>
      </w:tr>
      <w:tr>
        <w:trPr>
          <w:trHeight w:val="264"/>
        </w:trPr>
        <w:tc>
          <w:tcPr>
            <w:tcW w:w="20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Dr. Runge</w:t>
            </w:r>
          </w:p>
        </w:tc>
        <w:tc>
          <w:tcPr>
            <w:tcW w:w="1600" w:type="dxa"/>
            <w:vAlign w:val="bottom"/>
            <w:tcBorders>
              <w:bottom w:val="single" w:sz="8" w:color="auto"/>
              <w:right w:val="single" w:sz="8" w:color="auto"/>
            </w:tcBorders>
          </w:tcPr>
          <w:p>
            <w:pPr>
              <w:jc w:val="right"/>
              <w:ind w:right="328"/>
              <w:spacing w:after="0"/>
              <w:rPr>
                <w:sz w:val="20"/>
                <w:szCs w:val="20"/>
                <w:color w:val="auto"/>
              </w:rPr>
            </w:pPr>
            <w:r>
              <w:rPr>
                <w:rFonts w:ascii="Arial" w:cs="Arial" w:eastAsia="Arial" w:hAnsi="Arial"/>
                <w:sz w:val="14"/>
                <w:szCs w:val="14"/>
                <w:color w:val="auto"/>
              </w:rPr>
              <w:t>$119,000</w:t>
            </w:r>
          </w:p>
        </w:tc>
        <w:tc>
          <w:tcPr>
            <w:tcW w:w="1460" w:type="dxa"/>
            <w:vAlign w:val="bottom"/>
            <w:tcBorders>
              <w:bottom w:val="single" w:sz="8" w:color="auto"/>
              <w:right w:val="single" w:sz="8" w:color="auto"/>
            </w:tcBorders>
          </w:tcPr>
          <w:p>
            <w:pPr>
              <w:jc w:val="right"/>
              <w:ind w:right="328"/>
              <w:spacing w:after="0"/>
              <w:rPr>
                <w:sz w:val="20"/>
                <w:szCs w:val="20"/>
                <w:color w:val="auto"/>
              </w:rPr>
            </w:pPr>
            <w:r>
              <w:rPr>
                <w:rFonts w:ascii="Arial" w:cs="Arial" w:eastAsia="Arial" w:hAnsi="Arial"/>
                <w:sz w:val="14"/>
                <w:szCs w:val="14"/>
                <w:color w:val="auto"/>
              </w:rPr>
              <w:t>$160,000</w:t>
            </w:r>
          </w:p>
        </w:tc>
        <w:tc>
          <w:tcPr>
            <w:tcW w:w="1460" w:type="dxa"/>
            <w:vAlign w:val="bottom"/>
            <w:tcBorders>
              <w:bottom w:val="single" w:sz="8" w:color="auto"/>
              <w:right w:val="single" w:sz="8" w:color="auto"/>
            </w:tcBorders>
          </w:tcPr>
          <w:p>
            <w:pPr>
              <w:jc w:val="right"/>
              <w:ind w:right="328"/>
              <w:spacing w:after="0"/>
              <w:rPr>
                <w:sz w:val="20"/>
                <w:szCs w:val="20"/>
                <w:color w:val="auto"/>
              </w:rPr>
            </w:pPr>
            <w:r>
              <w:rPr>
                <w:rFonts w:ascii="Arial" w:cs="Arial" w:eastAsia="Arial" w:hAnsi="Arial"/>
                <w:sz w:val="14"/>
                <w:szCs w:val="14"/>
                <w:color w:val="auto"/>
              </w:rPr>
              <w:t>$0</w:t>
            </w:r>
          </w:p>
        </w:tc>
        <w:tc>
          <w:tcPr>
            <w:tcW w:w="1480" w:type="dxa"/>
            <w:vAlign w:val="bottom"/>
            <w:tcBorders>
              <w:bottom w:val="single" w:sz="8" w:color="auto"/>
              <w:right w:val="single" w:sz="8" w:color="auto"/>
            </w:tcBorders>
          </w:tcPr>
          <w:p>
            <w:pPr>
              <w:jc w:val="right"/>
              <w:ind w:right="348"/>
              <w:spacing w:after="0"/>
              <w:rPr>
                <w:sz w:val="20"/>
                <w:szCs w:val="20"/>
                <w:color w:val="auto"/>
              </w:rPr>
            </w:pPr>
            <w:r>
              <w:rPr>
                <w:rFonts w:ascii="Arial" w:cs="Arial" w:eastAsia="Arial" w:hAnsi="Arial"/>
                <w:sz w:val="14"/>
                <w:szCs w:val="14"/>
                <w:color w:val="auto"/>
              </w:rPr>
              <w:t>$279,000</w:t>
            </w:r>
          </w:p>
        </w:tc>
      </w:tr>
      <w:tr>
        <w:trPr>
          <w:trHeight w:val="264"/>
        </w:trPr>
        <w:tc>
          <w:tcPr>
            <w:tcW w:w="20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Ms. Seifert</w:t>
            </w:r>
          </w:p>
        </w:tc>
        <w:tc>
          <w:tcPr>
            <w:tcW w:w="1600" w:type="dxa"/>
            <w:vAlign w:val="bottom"/>
            <w:tcBorders>
              <w:bottom w:val="single" w:sz="8" w:color="auto"/>
              <w:right w:val="single" w:sz="8" w:color="auto"/>
            </w:tcBorders>
          </w:tcPr>
          <w:p>
            <w:pPr>
              <w:jc w:val="right"/>
              <w:ind w:right="328"/>
              <w:spacing w:after="0"/>
              <w:rPr>
                <w:sz w:val="20"/>
                <w:szCs w:val="20"/>
                <w:color w:val="auto"/>
              </w:rPr>
            </w:pPr>
            <w:r>
              <w:rPr>
                <w:rFonts w:ascii="Arial" w:cs="Arial" w:eastAsia="Arial" w:hAnsi="Arial"/>
                <w:sz w:val="14"/>
                <w:szCs w:val="14"/>
                <w:color w:val="auto"/>
              </w:rPr>
              <w:t>$119,000</w:t>
            </w:r>
          </w:p>
        </w:tc>
        <w:tc>
          <w:tcPr>
            <w:tcW w:w="1460" w:type="dxa"/>
            <w:vAlign w:val="bottom"/>
            <w:tcBorders>
              <w:bottom w:val="single" w:sz="8" w:color="auto"/>
              <w:right w:val="single" w:sz="8" w:color="auto"/>
            </w:tcBorders>
          </w:tcPr>
          <w:p>
            <w:pPr>
              <w:jc w:val="right"/>
              <w:ind w:right="328"/>
              <w:spacing w:after="0"/>
              <w:rPr>
                <w:sz w:val="20"/>
                <w:szCs w:val="20"/>
                <w:color w:val="auto"/>
              </w:rPr>
            </w:pPr>
            <w:r>
              <w:rPr>
                <w:rFonts w:ascii="Arial" w:cs="Arial" w:eastAsia="Arial" w:hAnsi="Arial"/>
                <w:sz w:val="14"/>
                <w:szCs w:val="14"/>
                <w:color w:val="auto"/>
              </w:rPr>
              <w:t>$160,000</w:t>
            </w:r>
          </w:p>
        </w:tc>
        <w:tc>
          <w:tcPr>
            <w:tcW w:w="1460" w:type="dxa"/>
            <w:vAlign w:val="bottom"/>
            <w:tcBorders>
              <w:bottom w:val="single" w:sz="8" w:color="auto"/>
              <w:right w:val="single" w:sz="8" w:color="auto"/>
            </w:tcBorders>
          </w:tcPr>
          <w:p>
            <w:pPr>
              <w:jc w:val="right"/>
              <w:ind w:right="328"/>
              <w:spacing w:after="0"/>
              <w:rPr>
                <w:sz w:val="20"/>
                <w:szCs w:val="20"/>
                <w:color w:val="auto"/>
              </w:rPr>
            </w:pPr>
            <w:r>
              <w:rPr>
                <w:rFonts w:ascii="Arial" w:cs="Arial" w:eastAsia="Arial" w:hAnsi="Arial"/>
                <w:sz w:val="14"/>
                <w:szCs w:val="14"/>
                <w:color w:val="auto"/>
              </w:rPr>
              <w:t>$24,000</w:t>
            </w:r>
          </w:p>
        </w:tc>
        <w:tc>
          <w:tcPr>
            <w:tcW w:w="1480" w:type="dxa"/>
            <w:vAlign w:val="bottom"/>
            <w:tcBorders>
              <w:bottom w:val="single" w:sz="8" w:color="auto"/>
              <w:right w:val="single" w:sz="8" w:color="auto"/>
            </w:tcBorders>
          </w:tcPr>
          <w:p>
            <w:pPr>
              <w:jc w:val="right"/>
              <w:ind w:right="348"/>
              <w:spacing w:after="0"/>
              <w:rPr>
                <w:sz w:val="20"/>
                <w:szCs w:val="20"/>
                <w:color w:val="auto"/>
              </w:rPr>
            </w:pPr>
            <w:r>
              <w:rPr>
                <w:rFonts w:ascii="Arial" w:cs="Arial" w:eastAsia="Arial" w:hAnsi="Arial"/>
                <w:sz w:val="14"/>
                <w:szCs w:val="14"/>
                <w:color w:val="auto"/>
              </w:rPr>
              <w:t>$303,000</w:t>
            </w:r>
          </w:p>
        </w:tc>
      </w:tr>
      <w:tr>
        <w:trPr>
          <w:trHeight w:val="277"/>
        </w:trPr>
        <w:tc>
          <w:tcPr>
            <w:tcW w:w="20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Mr. Tai</w:t>
            </w:r>
          </w:p>
        </w:tc>
        <w:tc>
          <w:tcPr>
            <w:tcW w:w="1600" w:type="dxa"/>
            <w:vAlign w:val="bottom"/>
            <w:tcBorders>
              <w:bottom w:val="single" w:sz="8" w:color="auto"/>
              <w:right w:val="single" w:sz="8" w:color="auto"/>
            </w:tcBorders>
          </w:tcPr>
          <w:p>
            <w:pPr>
              <w:jc w:val="right"/>
              <w:ind w:right="328"/>
              <w:spacing w:after="0"/>
              <w:rPr>
                <w:sz w:val="20"/>
                <w:szCs w:val="20"/>
                <w:color w:val="auto"/>
              </w:rPr>
            </w:pPr>
            <w:r>
              <w:rPr>
                <w:rFonts w:ascii="Arial" w:cs="Arial" w:eastAsia="Arial" w:hAnsi="Arial"/>
                <w:sz w:val="14"/>
                <w:szCs w:val="14"/>
                <w:color w:val="auto"/>
              </w:rPr>
              <w:t>$119,000</w:t>
            </w:r>
          </w:p>
        </w:tc>
        <w:tc>
          <w:tcPr>
            <w:tcW w:w="1460" w:type="dxa"/>
            <w:vAlign w:val="bottom"/>
            <w:tcBorders>
              <w:bottom w:val="single" w:sz="8" w:color="auto"/>
              <w:right w:val="single" w:sz="8" w:color="auto"/>
            </w:tcBorders>
          </w:tcPr>
          <w:p>
            <w:pPr>
              <w:jc w:val="right"/>
              <w:ind w:right="328"/>
              <w:spacing w:after="0"/>
              <w:rPr>
                <w:sz w:val="20"/>
                <w:szCs w:val="20"/>
                <w:color w:val="auto"/>
              </w:rPr>
            </w:pPr>
            <w:r>
              <w:rPr>
                <w:rFonts w:ascii="Arial" w:cs="Arial" w:eastAsia="Arial" w:hAnsi="Arial"/>
                <w:sz w:val="14"/>
                <w:szCs w:val="14"/>
                <w:color w:val="auto"/>
              </w:rPr>
              <w:t>$160,000</w:t>
            </w:r>
          </w:p>
        </w:tc>
        <w:tc>
          <w:tcPr>
            <w:tcW w:w="1460" w:type="dxa"/>
            <w:vAlign w:val="bottom"/>
            <w:tcBorders>
              <w:bottom w:val="single" w:sz="8" w:color="auto"/>
              <w:right w:val="single" w:sz="8" w:color="auto"/>
            </w:tcBorders>
          </w:tcPr>
          <w:p>
            <w:pPr>
              <w:jc w:val="right"/>
              <w:ind w:right="328"/>
              <w:spacing w:after="0"/>
              <w:rPr>
                <w:sz w:val="20"/>
                <w:szCs w:val="20"/>
                <w:color w:val="auto"/>
              </w:rPr>
            </w:pPr>
            <w:r>
              <w:rPr>
                <w:rFonts w:ascii="Arial" w:cs="Arial" w:eastAsia="Arial" w:hAnsi="Arial"/>
                <w:sz w:val="14"/>
                <w:szCs w:val="14"/>
                <w:color w:val="auto"/>
              </w:rPr>
              <w:t>$30,000</w:t>
            </w:r>
          </w:p>
        </w:tc>
        <w:tc>
          <w:tcPr>
            <w:tcW w:w="1480" w:type="dxa"/>
            <w:vAlign w:val="bottom"/>
            <w:tcBorders>
              <w:bottom w:val="single" w:sz="8" w:color="auto"/>
              <w:right w:val="single" w:sz="8" w:color="auto"/>
            </w:tcBorders>
          </w:tcPr>
          <w:p>
            <w:pPr>
              <w:jc w:val="right"/>
              <w:ind w:right="348"/>
              <w:spacing w:after="0"/>
              <w:rPr>
                <w:sz w:val="20"/>
                <w:szCs w:val="20"/>
                <w:color w:val="auto"/>
              </w:rPr>
            </w:pPr>
            <w:r>
              <w:rPr>
                <w:rFonts w:ascii="Arial" w:cs="Arial" w:eastAsia="Arial" w:hAnsi="Arial"/>
                <w:sz w:val="14"/>
                <w:szCs w:val="14"/>
                <w:color w:val="auto"/>
              </w:rPr>
              <w:t>$309,000</w:t>
            </w:r>
          </w:p>
        </w:tc>
      </w:tr>
      <w:tr>
        <w:trPr>
          <w:trHeight w:val="264"/>
        </w:trPr>
        <w:tc>
          <w:tcPr>
            <w:tcW w:w="20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color w:val="auto"/>
              </w:rPr>
              <w:t>Retired</w:t>
            </w:r>
          </w:p>
        </w:tc>
        <w:tc>
          <w:tcPr>
            <w:tcW w:w="160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spacing w:after="0"/>
              <w:rPr>
                <w:sz w:val="22"/>
                <w:szCs w:val="22"/>
                <w:color w:val="auto"/>
              </w:rPr>
            </w:pPr>
          </w:p>
        </w:tc>
        <w:tc>
          <w:tcPr>
            <w:tcW w:w="1480" w:type="dxa"/>
            <w:vAlign w:val="bottom"/>
            <w:tcBorders>
              <w:bottom w:val="single" w:sz="8" w:color="auto"/>
              <w:right w:val="single" w:sz="8" w:color="auto"/>
            </w:tcBorders>
          </w:tcPr>
          <w:p>
            <w:pPr>
              <w:spacing w:after="0"/>
              <w:rPr>
                <w:sz w:val="22"/>
                <w:szCs w:val="22"/>
                <w:color w:val="auto"/>
              </w:rPr>
            </w:pPr>
          </w:p>
        </w:tc>
      </w:tr>
      <w:tr>
        <w:trPr>
          <w:trHeight w:val="264"/>
        </w:trPr>
        <w:tc>
          <w:tcPr>
            <w:tcW w:w="20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Dr. Lechleiter</w:t>
            </w:r>
          </w:p>
        </w:tc>
        <w:tc>
          <w:tcPr>
            <w:tcW w:w="1600" w:type="dxa"/>
            <w:vAlign w:val="bottom"/>
            <w:tcBorders>
              <w:bottom w:val="single" w:sz="8" w:color="auto"/>
              <w:right w:val="single" w:sz="8" w:color="auto"/>
            </w:tcBorders>
          </w:tcPr>
          <w:p>
            <w:pPr>
              <w:jc w:val="right"/>
              <w:ind w:right="328"/>
              <w:spacing w:after="0"/>
              <w:rPr>
                <w:sz w:val="20"/>
                <w:szCs w:val="20"/>
                <w:color w:val="auto"/>
              </w:rPr>
            </w:pPr>
            <w:r>
              <w:rPr>
                <w:rFonts w:ascii="Arial" w:cs="Arial" w:eastAsia="Arial" w:hAnsi="Arial"/>
                <w:sz w:val="14"/>
                <w:szCs w:val="14"/>
                <w:color w:val="auto"/>
              </w:rPr>
              <w:t>$129,167</w:t>
            </w:r>
          </w:p>
        </w:tc>
        <w:tc>
          <w:tcPr>
            <w:tcW w:w="1460" w:type="dxa"/>
            <w:vAlign w:val="bottom"/>
            <w:tcBorders>
              <w:bottom w:val="single" w:sz="8" w:color="auto"/>
              <w:right w:val="single" w:sz="8" w:color="auto"/>
            </w:tcBorders>
          </w:tcPr>
          <w:p>
            <w:pPr>
              <w:jc w:val="right"/>
              <w:ind w:right="328"/>
              <w:spacing w:after="0"/>
              <w:rPr>
                <w:sz w:val="20"/>
                <w:szCs w:val="20"/>
                <w:color w:val="auto"/>
              </w:rPr>
            </w:pPr>
            <w:r>
              <w:rPr>
                <w:rFonts w:ascii="Arial" w:cs="Arial" w:eastAsia="Arial" w:hAnsi="Arial"/>
                <w:sz w:val="14"/>
                <w:szCs w:val="14"/>
                <w:color w:val="auto"/>
              </w:rPr>
              <w:t>$66,667</w:t>
            </w:r>
          </w:p>
        </w:tc>
        <w:tc>
          <w:tcPr>
            <w:tcW w:w="1460" w:type="dxa"/>
            <w:vAlign w:val="bottom"/>
            <w:tcBorders>
              <w:bottom w:val="single" w:sz="8" w:color="auto"/>
              <w:right w:val="single" w:sz="8" w:color="auto"/>
            </w:tcBorders>
          </w:tcPr>
          <w:p>
            <w:pPr>
              <w:jc w:val="right"/>
              <w:ind w:right="328"/>
              <w:spacing w:after="0"/>
              <w:rPr>
                <w:sz w:val="20"/>
                <w:szCs w:val="20"/>
                <w:color w:val="auto"/>
              </w:rPr>
            </w:pPr>
            <w:r>
              <w:rPr>
                <w:rFonts w:ascii="Arial" w:cs="Arial" w:eastAsia="Arial" w:hAnsi="Arial"/>
                <w:sz w:val="14"/>
                <w:szCs w:val="14"/>
                <w:color w:val="auto"/>
              </w:rPr>
              <w:t>$10,000</w:t>
            </w:r>
          </w:p>
        </w:tc>
        <w:tc>
          <w:tcPr>
            <w:tcW w:w="1480" w:type="dxa"/>
            <w:vAlign w:val="bottom"/>
            <w:tcBorders>
              <w:bottom w:val="single" w:sz="8" w:color="auto"/>
              <w:right w:val="single" w:sz="8" w:color="auto"/>
            </w:tcBorders>
          </w:tcPr>
          <w:p>
            <w:pPr>
              <w:jc w:val="right"/>
              <w:ind w:right="348"/>
              <w:spacing w:after="0"/>
              <w:rPr>
                <w:sz w:val="20"/>
                <w:szCs w:val="20"/>
                <w:color w:val="auto"/>
              </w:rPr>
            </w:pPr>
            <w:r>
              <w:rPr>
                <w:rFonts w:ascii="Arial" w:cs="Arial" w:eastAsia="Arial" w:hAnsi="Arial"/>
                <w:sz w:val="14"/>
                <w:szCs w:val="14"/>
                <w:color w:val="auto"/>
              </w:rPr>
              <w:t>$205,834</w:t>
            </w:r>
          </w:p>
        </w:tc>
      </w:tr>
      <w:tr>
        <w:trPr>
          <w:trHeight w:val="264"/>
        </w:trPr>
        <w:tc>
          <w:tcPr>
            <w:tcW w:w="20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Dr. Prendergast</w:t>
            </w:r>
          </w:p>
        </w:tc>
        <w:tc>
          <w:tcPr>
            <w:tcW w:w="1600" w:type="dxa"/>
            <w:vAlign w:val="bottom"/>
            <w:tcBorders>
              <w:bottom w:val="single" w:sz="8" w:color="auto"/>
              <w:right w:val="single" w:sz="8" w:color="auto"/>
            </w:tcBorders>
          </w:tcPr>
          <w:p>
            <w:pPr>
              <w:jc w:val="right"/>
              <w:ind w:right="328"/>
              <w:spacing w:after="0"/>
              <w:rPr>
                <w:sz w:val="20"/>
                <w:szCs w:val="20"/>
                <w:color w:val="auto"/>
              </w:rPr>
            </w:pPr>
            <w:r>
              <w:rPr>
                <w:rFonts w:ascii="Arial" w:cs="Arial" w:eastAsia="Arial" w:hAnsi="Arial"/>
                <w:sz w:val="14"/>
                <w:szCs w:val="14"/>
                <w:color w:val="auto"/>
              </w:rPr>
              <w:t>$49,583</w:t>
            </w:r>
          </w:p>
        </w:tc>
        <w:tc>
          <w:tcPr>
            <w:tcW w:w="1460" w:type="dxa"/>
            <w:vAlign w:val="bottom"/>
            <w:tcBorders>
              <w:bottom w:val="single" w:sz="8" w:color="auto"/>
              <w:right w:val="single" w:sz="8" w:color="auto"/>
            </w:tcBorders>
          </w:tcPr>
          <w:p>
            <w:pPr>
              <w:jc w:val="right"/>
              <w:ind w:right="328"/>
              <w:spacing w:after="0"/>
              <w:rPr>
                <w:sz w:val="20"/>
                <w:szCs w:val="20"/>
                <w:color w:val="auto"/>
              </w:rPr>
            </w:pPr>
            <w:r>
              <w:rPr>
                <w:rFonts w:ascii="Arial" w:cs="Arial" w:eastAsia="Arial" w:hAnsi="Arial"/>
                <w:sz w:val="14"/>
                <w:szCs w:val="14"/>
                <w:color w:val="auto"/>
              </w:rPr>
              <w:t>$66,667</w:t>
            </w:r>
          </w:p>
        </w:tc>
        <w:tc>
          <w:tcPr>
            <w:tcW w:w="1460" w:type="dxa"/>
            <w:vAlign w:val="bottom"/>
            <w:tcBorders>
              <w:bottom w:val="single" w:sz="8" w:color="auto"/>
              <w:right w:val="single" w:sz="8" w:color="auto"/>
            </w:tcBorders>
          </w:tcPr>
          <w:p>
            <w:pPr>
              <w:jc w:val="right"/>
              <w:ind w:right="328"/>
              <w:spacing w:after="0"/>
              <w:rPr>
                <w:sz w:val="20"/>
                <w:szCs w:val="20"/>
                <w:color w:val="auto"/>
              </w:rPr>
            </w:pPr>
            <w:r>
              <w:rPr>
                <w:rFonts w:ascii="Arial" w:cs="Arial" w:eastAsia="Arial" w:hAnsi="Arial"/>
                <w:sz w:val="14"/>
                <w:szCs w:val="14"/>
                <w:color w:val="auto"/>
              </w:rPr>
              <w:t>$0</w:t>
            </w:r>
          </w:p>
        </w:tc>
        <w:tc>
          <w:tcPr>
            <w:tcW w:w="1480" w:type="dxa"/>
            <w:vAlign w:val="bottom"/>
            <w:tcBorders>
              <w:bottom w:val="single" w:sz="8" w:color="auto"/>
              <w:right w:val="single" w:sz="8" w:color="auto"/>
            </w:tcBorders>
          </w:tcPr>
          <w:p>
            <w:pPr>
              <w:jc w:val="right"/>
              <w:ind w:right="348"/>
              <w:spacing w:after="0"/>
              <w:rPr>
                <w:sz w:val="20"/>
                <w:szCs w:val="20"/>
                <w:color w:val="auto"/>
              </w:rPr>
            </w:pPr>
            <w:r>
              <w:rPr>
                <w:rFonts w:ascii="Arial" w:cs="Arial" w:eastAsia="Arial" w:hAnsi="Arial"/>
                <w:sz w:val="14"/>
                <w:szCs w:val="14"/>
                <w:color w:val="auto"/>
              </w:rPr>
              <w:t>$116,250</w:t>
            </w:r>
          </w:p>
        </w:tc>
      </w:tr>
    </w:tbl>
    <w:p>
      <w:pPr>
        <w:spacing w:after="0" w:line="215" w:lineRule="exact"/>
        <w:rPr>
          <w:sz w:val="20"/>
          <w:szCs w:val="20"/>
          <w:color w:val="auto"/>
        </w:rPr>
      </w:pPr>
    </w:p>
    <w:p>
      <w:pPr>
        <w:ind w:left="120" w:right="240" w:hanging="112"/>
        <w:spacing w:after="0"/>
        <w:tabs>
          <w:tab w:leader="none" w:pos="102" w:val="left"/>
        </w:tabs>
        <w:numPr>
          <w:ilvl w:val="0"/>
          <w:numId w:val="32"/>
        </w:numPr>
        <w:rPr>
          <w:rFonts w:ascii="Arial" w:cs="Arial" w:eastAsia="Arial" w:hAnsi="Arial"/>
          <w:sz w:val="22"/>
          <w:szCs w:val="22"/>
          <w:color w:val="auto"/>
          <w:vertAlign w:val="superscript"/>
        </w:rPr>
      </w:pPr>
      <w:r>
        <w:rPr>
          <w:rFonts w:ascii="Arial" w:cs="Arial" w:eastAsia="Arial" w:hAnsi="Arial"/>
          <w:sz w:val="18"/>
          <w:szCs w:val="18"/>
          <w:color w:val="auto"/>
        </w:rPr>
        <w:t>Each non-employee director received an award of stock valued at $160,000 (approximately 1,924 shares), except Dr. Lechleiter and Dr. Prendergast, who retired from the board in May 2017, and Dr. Bertozzi, who joined the board in February 2017, who received a pro-rated award for a partial year of service. This stock award and all prior stock awards are fully vested; however, the shares are not issued until the second January following the director's departure from board service, as described above under “Lilly Directors’ Deferral Plan.” The column shows the grant date fair value for each director’s stock award computed in</w:t>
      </w:r>
    </w:p>
    <w:p>
      <w:pPr>
        <w:spacing w:after="0" w:line="2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P22</w:t>
      </w:r>
    </w:p>
    <w:p>
      <w:pPr>
        <w:sectPr>
          <w:pgSz w:w="11900" w:h="16838" w:orient="portrait"/>
          <w:cols w:equalWidth="0" w:num="1">
            <w:col w:w="11420"/>
          </w:cols>
          <w:pgMar w:left="240" w:top="598" w:right="239" w:bottom="1440" w:gutter="0" w:footer="0" w:header="0"/>
        </w:sectPr>
      </w:pPr>
    </w:p>
    <w:bookmarkStart w:id="26" w:name="page27"/>
    <w:bookmarkEnd w:id="26"/>
    <w:p>
      <w:pPr>
        <w:ind w:left="120" w:right="100"/>
        <w:spacing w:after="0" w:line="254" w:lineRule="auto"/>
        <w:rPr>
          <w:sz w:val="20"/>
          <w:szCs w:val="20"/>
          <w:color w:val="auto"/>
        </w:rPr>
      </w:pPr>
      <w:r>
        <w:rPr>
          <w:rFonts w:ascii="Arial" w:cs="Arial" w:eastAsia="Arial" w:hAnsi="Arial"/>
          <w:sz w:val="18"/>
          <w:szCs w:val="18"/>
          <w:color w:val="auto"/>
        </w:rPr>
        <w:t xml:space="preserve">accordance with FASB ASC Topic 718, based on the closing stock price on the grant date. See </w:t>
      </w:r>
      <w:r>
        <w:rPr>
          <w:rFonts w:ascii="Arial" w:cs="Arial" w:eastAsia="Arial" w:hAnsi="Arial"/>
          <w:sz w:val="18"/>
          <w:szCs w:val="18"/>
          <w:u w:val="single" w:color="auto"/>
          <w:color w:val="auto"/>
        </w:rPr>
        <w:t>Note 11</w:t>
      </w:r>
      <w:r>
        <w:rPr>
          <w:rFonts w:ascii="Arial" w:cs="Arial" w:eastAsia="Arial" w:hAnsi="Arial"/>
          <w:sz w:val="18"/>
          <w:szCs w:val="18"/>
          <w:color w:val="auto"/>
        </w:rPr>
        <w:t xml:space="preserve"> of the consolidated financial statements in the company’s Annual Report on Form 10-K for the fiscal year ended December 31, 2017 for additional detail regarding assumptions underlying the valuation of equity awards. Aggregate outstanding stock awards are shown in the “Common Stock Ownership by Directors and Executive Officers” table in the “Stock Units Not Distributable Within 60 Days” column.</w:t>
      </w:r>
    </w:p>
    <w:p>
      <w:pPr>
        <w:spacing w:after="0" w:line="204" w:lineRule="exact"/>
        <w:rPr>
          <w:sz w:val="20"/>
          <w:szCs w:val="20"/>
          <w:color w:val="auto"/>
        </w:rPr>
      </w:pPr>
    </w:p>
    <w:p>
      <w:pPr>
        <w:ind w:left="120" w:right="20" w:hanging="112"/>
        <w:spacing w:after="0" w:line="242" w:lineRule="auto"/>
        <w:tabs>
          <w:tab w:leader="none" w:pos="120" w:val="left"/>
        </w:tabs>
        <w:numPr>
          <w:ilvl w:val="0"/>
          <w:numId w:val="33"/>
        </w:numPr>
        <w:rPr>
          <w:rFonts w:ascii="Arial" w:cs="Arial" w:eastAsia="Arial" w:hAnsi="Arial"/>
          <w:sz w:val="22"/>
          <w:szCs w:val="22"/>
          <w:color w:val="auto"/>
          <w:vertAlign w:val="superscript"/>
        </w:rPr>
      </w:pPr>
      <w:r>
        <w:rPr>
          <w:rFonts w:ascii="Arial" w:cs="Arial" w:eastAsia="Arial" w:hAnsi="Arial"/>
          <w:sz w:val="18"/>
          <w:szCs w:val="18"/>
          <w:color w:val="auto"/>
        </w:rPr>
        <w:t>This column consists of amounts donated by the Eli Lilly and Company Foundation, Inc. ("Foundation") under its matching gift program, which is generally available to U.S. employees as well as non-employee directors. Under this program, the Foundation matched 100 percent of charitable donations over $25 made to eligible charities, up to a maximum of $30,000 per year for each individual. The Foundation matched these donations via payments made directly to the recipient charity. The amounts for Dr. Kaelin, Ms. Marram, Ms. Seifert, and Mr. Tai include matching contributions for donations made at the end of 2016 (Dr. Kaelin - $13,500; Ms. Marram - $8,000; Ms. Seifert - $21,750, and Mr. Tai - $30,000), for which the matching contribution was not paid until 2017.</w:t>
      </w:r>
    </w:p>
    <w:p>
      <w:pPr>
        <w:spacing w:after="0" w:line="124" w:lineRule="exact"/>
        <w:rPr>
          <w:sz w:val="20"/>
          <w:szCs w:val="20"/>
          <w:color w:val="auto"/>
        </w:rPr>
      </w:pPr>
    </w:p>
    <w:p>
      <w:pPr>
        <w:ind w:left="120" w:hanging="112"/>
        <w:spacing w:after="0"/>
        <w:tabs>
          <w:tab w:leader="none" w:pos="120" w:val="left"/>
        </w:tabs>
        <w:numPr>
          <w:ilvl w:val="0"/>
          <w:numId w:val="34"/>
        </w:numPr>
        <w:rPr>
          <w:rFonts w:ascii="Arial" w:cs="Arial" w:eastAsia="Arial" w:hAnsi="Arial"/>
          <w:sz w:val="22"/>
          <w:szCs w:val="22"/>
          <w:color w:val="auto"/>
          <w:vertAlign w:val="superscript"/>
        </w:rPr>
      </w:pPr>
      <w:r>
        <w:rPr>
          <w:rFonts w:ascii="Arial" w:cs="Arial" w:eastAsia="Arial" w:hAnsi="Arial"/>
          <w:sz w:val="18"/>
          <w:szCs w:val="18"/>
          <w:color w:val="auto"/>
        </w:rPr>
        <w:t>Directors do not participate in a company pension plan or non-equity incentive plan.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2018 Director Compensation</w:t>
      </w:r>
    </w:p>
    <w:p>
      <w:pPr>
        <w:spacing w:after="0" w:line="85"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In 2017, the Directors and Corporate Governance Committee reviewed the company’s compensation for independent directors, including a peer group analysis. As a result of this analysis, the committee recommended, and the board approved an increase in the annual stock award for non-employee directors from $160,000 to $175,000 (but retained the cap of 7,500 shares) to be effective starting with the 2018 stock award. The increase reflected a market increase in total director compensation, which the committee proposed as an increase to equity rather than cash compensation. In addition, the committee recommended, and the board approved, an increase to the lead independent director's retainer from $30,000 to $35,000 to reflect increased expectations for the role over time. All other director compensation remains unchanged from 2017.</w:t>
      </w:r>
    </w:p>
    <w:p>
      <w:pPr>
        <w:spacing w:after="0" w:line="4" w:lineRule="exact"/>
        <w:rPr>
          <w:sz w:val="20"/>
          <w:szCs w:val="20"/>
          <w:color w:val="auto"/>
        </w:rPr>
      </w:pPr>
    </w:p>
    <w:p>
      <w:pPr>
        <w:spacing w:after="0"/>
        <w:rPr>
          <w:sz w:val="20"/>
          <w:szCs w:val="20"/>
          <w:color w:val="auto"/>
        </w:rPr>
      </w:pPr>
      <w:r>
        <w:rPr>
          <w:rFonts w:ascii="Arial" w:cs="Arial" w:eastAsia="Arial" w:hAnsi="Arial"/>
          <w:sz w:val="25"/>
          <w:szCs w:val="25"/>
          <w:b w:val="1"/>
          <w:bCs w:val="1"/>
          <w:color w:val="FF0000"/>
        </w:rPr>
        <w:t>Director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720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The board annually determines the independence of directors based on a review by the Directors and</w:t>
      </w:r>
    </w:p>
    <w:p>
      <w:pPr>
        <w:spacing w:after="0" w:line="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Corporate Governance Committee. No director is considered independent unless the board has determined that he or she has no material relationship with the company, either directly or as a partner, significant shareholder, or officer of an organization that has a material relationship with the company. Material relationships can include commercial, industrial, banking, consulting, legal, accounting, charitable, and familial relationships, among others. To evaluate the materiality of any such relationship, the board has adopted categorical independence standards consistent with the New York Stock Exchange (NYSE) listing standards, except that the “look-back period” for determining whether a director’s prior relationship(s) with the company impairs independence is extended from three to four years.</w:t>
      </w:r>
    </w:p>
    <w:p>
      <w:pPr>
        <w:spacing w:after="0" w:line="155"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The company's process for determining director independence is set forth in our Standards for Director Independence, which can be found on our website at https://www.lilly.com/who-we-are/governance, along with our Corporate Governance Guidelines.</w:t>
      </w:r>
    </w:p>
    <w:p>
      <w:pPr>
        <w:spacing w:after="0" w:line="14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On the recommendation of the Directors and Corporate Governance Committee, the board determined that each current non-employee director is independent. Prior to expiration of his board term in 2017, the board reached the same conclusion regarding Dr. Prendergast, and determined that the members of each committee also meet our independence standards. The board determined that none of the non-employee directors, has had during the last four years (i) any of the relationships identified in the company’s categorical independence standards or (ii) any other material relationship with the company that would compromise his or her independence. The table that follows includes a description of categories or types of transactions, relationships, or arrangements the board considered in reaching its determinations.</w:t>
      </w: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P23</w:t>
      </w:r>
    </w:p>
    <w:p>
      <w:pPr>
        <w:sectPr>
          <w:pgSz w:w="11900" w:h="16838" w:orient="portrait"/>
          <w:cols w:equalWidth="0" w:num="1">
            <w:col w:w="11420"/>
          </w:cols>
          <w:pgMar w:left="240" w:top="598" w:right="239" w:bottom="1440" w:gutter="0" w:footer="0" w:header="0"/>
        </w:sectPr>
      </w:pPr>
    </w:p>
    <w:bookmarkStart w:id="27" w:name="page28"/>
    <w:bookmarkEnd w:id="27"/>
    <w:tbl>
      <w:tblPr>
        <w:tblLayout w:type="fixed"/>
        <w:tblInd w:w="10" w:type="dxa"/>
        <w:tblCellMar>
          <w:top w:w="0" w:type="dxa"/>
          <w:left w:w="0" w:type="dxa"/>
          <w:bottom w:w="0" w:type="dxa"/>
          <w:right w:w="0" w:type="dxa"/>
        </w:tblCellMar>
      </w:tblPr>
      <w:tr>
        <w:trPr>
          <w:trHeight w:val="189"/>
        </w:trPr>
        <w:tc>
          <w:tcPr>
            <w:tcW w:w="1280" w:type="dxa"/>
            <w:vAlign w:val="bottom"/>
            <w:tcBorders>
              <w:top w:val="single" w:sz="8" w:color="auto"/>
              <w:left w:val="single" w:sz="8" w:color="auto"/>
              <w:right w:val="single" w:sz="8" w:color="auto"/>
            </w:tcBorders>
            <w:shd w:val="clear" w:color="auto" w:fill="E5E5E5"/>
          </w:tcPr>
          <w:p>
            <w:pPr>
              <w:spacing w:after="0"/>
              <w:rPr>
                <w:sz w:val="16"/>
                <w:szCs w:val="16"/>
                <w:color w:val="auto"/>
              </w:rPr>
            </w:pPr>
          </w:p>
        </w:tc>
        <w:tc>
          <w:tcPr>
            <w:tcW w:w="1120" w:type="dxa"/>
            <w:vAlign w:val="bottom"/>
            <w:tcBorders>
              <w:top w:val="single" w:sz="8" w:color="auto"/>
              <w:right w:val="single" w:sz="8" w:color="auto"/>
            </w:tcBorders>
            <w:shd w:val="clear" w:color="auto" w:fill="E5E5E5"/>
          </w:tcPr>
          <w:p>
            <w:pPr>
              <w:spacing w:after="0"/>
              <w:rPr>
                <w:sz w:val="16"/>
                <w:szCs w:val="16"/>
                <w:color w:val="auto"/>
              </w:rPr>
            </w:pPr>
          </w:p>
        </w:tc>
        <w:tc>
          <w:tcPr>
            <w:tcW w:w="960" w:type="dxa"/>
            <w:vAlign w:val="bottom"/>
            <w:tcBorders>
              <w:top w:val="single" w:sz="8" w:color="auto"/>
              <w:right w:val="single" w:sz="8" w:color="auto"/>
            </w:tcBorders>
            <w:shd w:val="clear" w:color="auto" w:fill="E5E5E5"/>
          </w:tcPr>
          <w:p>
            <w:pPr>
              <w:spacing w:after="0"/>
              <w:rPr>
                <w:sz w:val="16"/>
                <w:szCs w:val="16"/>
                <w:color w:val="auto"/>
              </w:rPr>
            </w:pPr>
          </w:p>
        </w:tc>
        <w:tc>
          <w:tcPr>
            <w:tcW w:w="1140" w:type="dxa"/>
            <w:vAlign w:val="bottom"/>
            <w:tcBorders>
              <w:top w:val="single" w:sz="8" w:color="auto"/>
              <w:right w:val="single" w:sz="8" w:color="auto"/>
            </w:tcBorders>
            <w:shd w:val="clear" w:color="auto" w:fill="E5E5E5"/>
          </w:tcPr>
          <w:p>
            <w:pPr>
              <w:spacing w:after="0"/>
              <w:rPr>
                <w:sz w:val="16"/>
                <w:szCs w:val="16"/>
                <w:color w:val="auto"/>
              </w:rPr>
            </w:pPr>
          </w:p>
        </w:tc>
        <w:tc>
          <w:tcPr>
            <w:tcW w:w="2620" w:type="dxa"/>
            <w:vAlign w:val="bottom"/>
            <w:tcBorders>
              <w:top w:val="single" w:sz="8" w:color="auto"/>
              <w:right w:val="single" w:sz="8" w:color="auto"/>
            </w:tcBorders>
            <w:shd w:val="clear" w:color="auto" w:fill="E5E5E5"/>
          </w:tcPr>
          <w:p>
            <w:pPr>
              <w:spacing w:after="0"/>
              <w:rPr>
                <w:sz w:val="16"/>
                <w:szCs w:val="16"/>
                <w:color w:val="auto"/>
              </w:rPr>
            </w:pPr>
          </w:p>
        </w:tc>
        <w:tc>
          <w:tcPr>
            <w:tcW w:w="1660" w:type="dxa"/>
            <w:vAlign w:val="bottom"/>
            <w:tcBorders>
              <w:top w:val="single" w:sz="8" w:color="auto"/>
              <w:right w:val="single" w:sz="8" w:color="auto"/>
            </w:tcBorders>
            <w:shd w:val="clear" w:color="auto" w:fill="E5E5E5"/>
          </w:tcPr>
          <w:p>
            <w:pPr>
              <w:jc w:val="center"/>
              <w:spacing w:after="0"/>
              <w:rPr>
                <w:sz w:val="20"/>
                <w:szCs w:val="20"/>
                <w:color w:val="auto"/>
              </w:rPr>
            </w:pPr>
            <w:r>
              <w:rPr>
                <w:rFonts w:ascii="Arial" w:cs="Arial" w:eastAsia="Arial" w:hAnsi="Arial"/>
                <w:sz w:val="14"/>
                <w:szCs w:val="14"/>
                <w:b w:val="1"/>
                <w:bCs w:val="1"/>
                <w:color w:val="auto"/>
              </w:rPr>
              <w:t>2017 Aggregate</w:t>
            </w:r>
          </w:p>
        </w:tc>
        <w:tc>
          <w:tcPr>
            <w:tcW w:w="0" w:type="dxa"/>
            <w:vAlign w:val="bottom"/>
          </w:tcPr>
          <w:p>
            <w:pPr>
              <w:spacing w:after="0"/>
              <w:rPr>
                <w:sz w:val="1"/>
                <w:szCs w:val="1"/>
                <w:color w:val="auto"/>
              </w:rPr>
            </w:pPr>
          </w:p>
        </w:tc>
      </w:tr>
      <w:tr>
        <w:trPr>
          <w:trHeight w:val="162"/>
        </w:trPr>
        <w:tc>
          <w:tcPr>
            <w:tcW w:w="1280" w:type="dxa"/>
            <w:vAlign w:val="bottom"/>
            <w:tcBorders>
              <w:left w:val="single" w:sz="8" w:color="auto"/>
              <w:right w:val="single" w:sz="8" w:color="auto"/>
            </w:tcBorders>
            <w:shd w:val="clear" w:color="auto" w:fill="E5E5E5"/>
          </w:tcPr>
          <w:p>
            <w:pPr>
              <w:spacing w:after="0"/>
              <w:rPr>
                <w:sz w:val="14"/>
                <w:szCs w:val="14"/>
                <w:color w:val="auto"/>
              </w:rPr>
            </w:pPr>
          </w:p>
        </w:tc>
        <w:tc>
          <w:tcPr>
            <w:tcW w:w="1120" w:type="dxa"/>
            <w:vAlign w:val="bottom"/>
            <w:tcBorders>
              <w:right w:val="single" w:sz="8" w:color="auto"/>
            </w:tcBorders>
            <w:shd w:val="clear" w:color="auto" w:fill="E5E5E5"/>
          </w:tcPr>
          <w:p>
            <w:pPr>
              <w:spacing w:after="0"/>
              <w:rPr>
                <w:sz w:val="14"/>
                <w:szCs w:val="14"/>
                <w:color w:val="auto"/>
              </w:rPr>
            </w:pPr>
          </w:p>
        </w:tc>
        <w:tc>
          <w:tcPr>
            <w:tcW w:w="960" w:type="dxa"/>
            <w:vAlign w:val="bottom"/>
            <w:tcBorders>
              <w:right w:val="single" w:sz="8" w:color="auto"/>
            </w:tcBorders>
            <w:shd w:val="clear" w:color="auto" w:fill="E5E5E5"/>
          </w:tcPr>
          <w:p>
            <w:pPr>
              <w:spacing w:after="0"/>
              <w:rPr>
                <w:sz w:val="14"/>
                <w:szCs w:val="14"/>
                <w:color w:val="auto"/>
              </w:rPr>
            </w:pPr>
          </w:p>
        </w:tc>
        <w:tc>
          <w:tcPr>
            <w:tcW w:w="1140" w:type="dxa"/>
            <w:vAlign w:val="bottom"/>
            <w:tcBorders>
              <w:right w:val="single" w:sz="8" w:color="auto"/>
            </w:tcBorders>
            <w:shd w:val="clear" w:color="auto" w:fill="E5E5E5"/>
          </w:tcPr>
          <w:p>
            <w:pPr>
              <w:ind w:left="280"/>
              <w:spacing w:after="0"/>
              <w:rPr>
                <w:sz w:val="20"/>
                <w:szCs w:val="20"/>
                <w:color w:val="auto"/>
              </w:rPr>
            </w:pPr>
            <w:r>
              <w:rPr>
                <w:rFonts w:ascii="Arial" w:cs="Arial" w:eastAsia="Arial" w:hAnsi="Arial"/>
                <w:sz w:val="14"/>
                <w:szCs w:val="14"/>
                <w:b w:val="1"/>
                <w:bCs w:val="1"/>
                <w:color w:val="auto"/>
              </w:rPr>
              <w:t>Director</w:t>
            </w:r>
          </w:p>
        </w:tc>
        <w:tc>
          <w:tcPr>
            <w:tcW w:w="2620" w:type="dxa"/>
            <w:vAlign w:val="bottom"/>
            <w:tcBorders>
              <w:right w:val="single" w:sz="8" w:color="auto"/>
            </w:tcBorders>
            <w:shd w:val="clear" w:color="auto" w:fill="E5E5E5"/>
          </w:tcPr>
          <w:p>
            <w:pPr>
              <w:jc w:val="center"/>
              <w:spacing w:after="0"/>
              <w:rPr>
                <w:sz w:val="20"/>
                <w:szCs w:val="20"/>
                <w:color w:val="auto"/>
              </w:rPr>
            </w:pPr>
            <w:r>
              <w:rPr>
                <w:rFonts w:ascii="Arial" w:cs="Arial" w:eastAsia="Arial" w:hAnsi="Arial"/>
                <w:sz w:val="14"/>
                <w:szCs w:val="14"/>
                <w:b w:val="1"/>
                <w:bCs w:val="1"/>
                <w:color w:val="auto"/>
              </w:rPr>
              <w:t>Primary Type of Transaction/</w:t>
            </w:r>
          </w:p>
        </w:tc>
        <w:tc>
          <w:tcPr>
            <w:tcW w:w="1660" w:type="dxa"/>
            <w:vAlign w:val="bottom"/>
            <w:tcBorders>
              <w:right w:val="single" w:sz="8" w:color="auto"/>
            </w:tcBorders>
            <w:shd w:val="clear" w:color="auto" w:fill="E5E5E5"/>
          </w:tcPr>
          <w:p>
            <w:pPr>
              <w:jc w:val="center"/>
              <w:spacing w:after="0"/>
              <w:rPr>
                <w:sz w:val="20"/>
                <w:szCs w:val="20"/>
                <w:color w:val="auto"/>
              </w:rPr>
            </w:pPr>
            <w:r>
              <w:rPr>
                <w:rFonts w:ascii="Arial" w:cs="Arial" w:eastAsia="Arial" w:hAnsi="Arial"/>
                <w:sz w:val="14"/>
                <w:szCs w:val="14"/>
                <w:b w:val="1"/>
                <w:bCs w:val="1"/>
                <w:color w:val="auto"/>
              </w:rPr>
              <w:t>Percentage of</w:t>
            </w:r>
          </w:p>
        </w:tc>
        <w:tc>
          <w:tcPr>
            <w:tcW w:w="0" w:type="dxa"/>
            <w:vAlign w:val="bottom"/>
          </w:tcPr>
          <w:p>
            <w:pPr>
              <w:spacing w:after="0"/>
              <w:rPr>
                <w:sz w:val="1"/>
                <w:szCs w:val="1"/>
                <w:color w:val="auto"/>
              </w:rPr>
            </w:pPr>
          </w:p>
        </w:tc>
      </w:tr>
      <w:tr>
        <w:trPr>
          <w:trHeight w:val="162"/>
        </w:trPr>
        <w:tc>
          <w:tcPr>
            <w:tcW w:w="1280" w:type="dxa"/>
            <w:vAlign w:val="bottom"/>
            <w:tcBorders>
              <w:left w:val="single" w:sz="8" w:color="auto"/>
              <w:right w:val="single" w:sz="8" w:color="auto"/>
            </w:tcBorders>
            <w:shd w:val="clear" w:color="auto" w:fill="E5E5E5"/>
          </w:tcPr>
          <w:p>
            <w:pPr>
              <w:spacing w:after="0"/>
              <w:rPr>
                <w:sz w:val="14"/>
                <w:szCs w:val="14"/>
                <w:color w:val="auto"/>
              </w:rPr>
            </w:pPr>
          </w:p>
        </w:tc>
        <w:tc>
          <w:tcPr>
            <w:tcW w:w="1120" w:type="dxa"/>
            <w:vAlign w:val="bottom"/>
            <w:tcBorders>
              <w:right w:val="single" w:sz="8" w:color="auto"/>
            </w:tcBorders>
            <w:shd w:val="clear" w:color="auto" w:fill="E5E5E5"/>
          </w:tcPr>
          <w:p>
            <w:pPr>
              <w:spacing w:after="0"/>
              <w:rPr>
                <w:sz w:val="14"/>
                <w:szCs w:val="14"/>
                <w:color w:val="auto"/>
              </w:rPr>
            </w:pPr>
          </w:p>
        </w:tc>
        <w:tc>
          <w:tcPr>
            <w:tcW w:w="960" w:type="dxa"/>
            <w:vAlign w:val="bottom"/>
            <w:tcBorders>
              <w:right w:val="single" w:sz="8" w:color="auto"/>
            </w:tcBorders>
            <w:shd w:val="clear" w:color="auto" w:fill="E5E5E5"/>
          </w:tcPr>
          <w:p>
            <w:pPr>
              <w:ind w:left="220"/>
              <w:spacing w:after="0"/>
              <w:rPr>
                <w:sz w:val="20"/>
                <w:szCs w:val="20"/>
                <w:color w:val="auto"/>
              </w:rPr>
            </w:pPr>
            <w:r>
              <w:rPr>
                <w:rFonts w:ascii="Arial" w:cs="Arial" w:eastAsia="Arial" w:hAnsi="Arial"/>
                <w:sz w:val="14"/>
                <w:szCs w:val="14"/>
                <w:b w:val="1"/>
                <w:bCs w:val="1"/>
                <w:color w:val="auto"/>
              </w:rPr>
              <w:t>Type of</w:t>
            </w:r>
          </w:p>
        </w:tc>
        <w:tc>
          <w:tcPr>
            <w:tcW w:w="1140" w:type="dxa"/>
            <w:vAlign w:val="bottom"/>
            <w:tcBorders>
              <w:right w:val="single" w:sz="8" w:color="auto"/>
            </w:tcBorders>
            <w:shd w:val="clear" w:color="auto" w:fill="E5E5E5"/>
          </w:tcPr>
          <w:p>
            <w:pPr>
              <w:ind w:left="40"/>
              <w:spacing w:after="0"/>
              <w:rPr>
                <w:sz w:val="20"/>
                <w:szCs w:val="20"/>
                <w:color w:val="auto"/>
              </w:rPr>
            </w:pPr>
            <w:r>
              <w:rPr>
                <w:rFonts w:ascii="Arial" w:cs="Arial" w:eastAsia="Arial" w:hAnsi="Arial"/>
                <w:sz w:val="14"/>
                <w:szCs w:val="14"/>
                <w:b w:val="1"/>
                <w:bCs w:val="1"/>
                <w:color w:val="auto"/>
              </w:rPr>
              <w:t>Relationship to</w:t>
            </w:r>
          </w:p>
        </w:tc>
        <w:tc>
          <w:tcPr>
            <w:tcW w:w="2620" w:type="dxa"/>
            <w:vAlign w:val="bottom"/>
            <w:tcBorders>
              <w:right w:val="single" w:sz="8" w:color="auto"/>
            </w:tcBorders>
            <w:shd w:val="clear" w:color="auto" w:fill="E5E5E5"/>
          </w:tcPr>
          <w:p>
            <w:pPr>
              <w:jc w:val="center"/>
              <w:spacing w:after="0"/>
              <w:rPr>
                <w:sz w:val="20"/>
                <w:szCs w:val="20"/>
                <w:color w:val="auto"/>
              </w:rPr>
            </w:pPr>
            <w:r>
              <w:rPr>
                <w:rFonts w:ascii="Arial" w:cs="Arial" w:eastAsia="Arial" w:hAnsi="Arial"/>
                <w:sz w:val="14"/>
                <w:szCs w:val="14"/>
                <w:b w:val="1"/>
                <w:bCs w:val="1"/>
                <w:color w:val="auto"/>
              </w:rPr>
              <w:t>Relationship/ Arrangement between</w:t>
            </w:r>
          </w:p>
        </w:tc>
        <w:tc>
          <w:tcPr>
            <w:tcW w:w="1660" w:type="dxa"/>
            <w:vAlign w:val="bottom"/>
            <w:tcBorders>
              <w:right w:val="single" w:sz="8" w:color="auto"/>
            </w:tcBorders>
            <w:shd w:val="clear" w:color="auto" w:fill="E5E5E5"/>
          </w:tcPr>
          <w:p>
            <w:pPr>
              <w:jc w:val="center"/>
              <w:spacing w:after="0"/>
              <w:rPr>
                <w:sz w:val="20"/>
                <w:szCs w:val="20"/>
                <w:color w:val="auto"/>
              </w:rPr>
            </w:pPr>
            <w:r>
              <w:rPr>
                <w:rFonts w:ascii="Arial" w:cs="Arial" w:eastAsia="Arial" w:hAnsi="Arial"/>
                <w:sz w:val="14"/>
                <w:szCs w:val="14"/>
                <w:b w:val="1"/>
                <w:bCs w:val="1"/>
                <w:color w:val="auto"/>
              </w:rPr>
              <w:t>Organization's</w:t>
            </w:r>
          </w:p>
        </w:tc>
        <w:tc>
          <w:tcPr>
            <w:tcW w:w="0" w:type="dxa"/>
            <w:vAlign w:val="bottom"/>
          </w:tcPr>
          <w:p>
            <w:pPr>
              <w:spacing w:after="0"/>
              <w:rPr>
                <w:sz w:val="1"/>
                <w:szCs w:val="1"/>
                <w:color w:val="auto"/>
              </w:rPr>
            </w:pPr>
          </w:p>
        </w:tc>
      </w:tr>
      <w:tr>
        <w:trPr>
          <w:trHeight w:val="196"/>
        </w:trPr>
        <w:tc>
          <w:tcPr>
            <w:tcW w:w="1280" w:type="dxa"/>
            <w:vAlign w:val="bottom"/>
            <w:tcBorders>
              <w:left w:val="single" w:sz="8" w:color="auto"/>
              <w:bottom w:val="single" w:sz="8" w:color="auto"/>
              <w:right w:val="single" w:sz="8" w:color="auto"/>
            </w:tcBorders>
            <w:shd w:val="clear" w:color="auto" w:fill="E5E5E5"/>
          </w:tcPr>
          <w:p>
            <w:pPr>
              <w:ind w:left="360"/>
              <w:spacing w:after="0"/>
              <w:rPr>
                <w:sz w:val="20"/>
                <w:szCs w:val="20"/>
                <w:color w:val="auto"/>
              </w:rPr>
            </w:pPr>
            <w:r>
              <w:rPr>
                <w:rFonts w:ascii="Arial" w:cs="Arial" w:eastAsia="Arial" w:hAnsi="Arial"/>
                <w:sz w:val="14"/>
                <w:szCs w:val="14"/>
                <w:b w:val="1"/>
                <w:bCs w:val="1"/>
                <w:color w:val="auto"/>
              </w:rPr>
              <w:t>Director</w:t>
            </w:r>
          </w:p>
        </w:tc>
        <w:tc>
          <w:tcPr>
            <w:tcW w:w="1120" w:type="dxa"/>
            <w:vAlign w:val="bottom"/>
            <w:tcBorders>
              <w:bottom w:val="single" w:sz="8" w:color="auto"/>
              <w:right w:val="single" w:sz="8" w:color="auto"/>
            </w:tcBorders>
            <w:shd w:val="clear" w:color="auto" w:fill="E5E5E5"/>
          </w:tcPr>
          <w:p>
            <w:pPr>
              <w:ind w:left="100"/>
              <w:spacing w:after="0"/>
              <w:rPr>
                <w:sz w:val="20"/>
                <w:szCs w:val="20"/>
                <w:color w:val="auto"/>
              </w:rPr>
            </w:pPr>
            <w:r>
              <w:rPr>
                <w:rFonts w:ascii="Arial" w:cs="Arial" w:eastAsia="Arial" w:hAnsi="Arial"/>
                <w:sz w:val="14"/>
                <w:szCs w:val="14"/>
                <w:b w:val="1"/>
                <w:bCs w:val="1"/>
                <w:color w:val="auto"/>
              </w:rPr>
              <w:t>Organization</w:t>
            </w:r>
          </w:p>
        </w:tc>
        <w:tc>
          <w:tcPr>
            <w:tcW w:w="960" w:type="dxa"/>
            <w:vAlign w:val="bottom"/>
            <w:tcBorders>
              <w:bottom w:val="single" w:sz="8" w:color="auto"/>
              <w:right w:val="single" w:sz="8" w:color="auto"/>
            </w:tcBorders>
            <w:shd w:val="clear" w:color="auto" w:fill="E5E5E5"/>
          </w:tcPr>
          <w:p>
            <w:pPr>
              <w:ind w:left="40"/>
              <w:spacing w:after="0"/>
              <w:rPr>
                <w:sz w:val="20"/>
                <w:szCs w:val="20"/>
                <w:color w:val="auto"/>
              </w:rPr>
            </w:pPr>
            <w:r>
              <w:rPr>
                <w:rFonts w:ascii="Arial" w:cs="Arial" w:eastAsia="Arial" w:hAnsi="Arial"/>
                <w:sz w:val="14"/>
                <w:szCs w:val="14"/>
                <w:b w:val="1"/>
                <w:bCs w:val="1"/>
                <w:color w:val="auto"/>
              </w:rPr>
              <w:t>Organization</w:t>
            </w:r>
          </w:p>
        </w:tc>
        <w:tc>
          <w:tcPr>
            <w:tcW w:w="1140" w:type="dxa"/>
            <w:vAlign w:val="bottom"/>
            <w:tcBorders>
              <w:bottom w:val="single" w:sz="8" w:color="auto"/>
              <w:right w:val="single" w:sz="8" w:color="auto"/>
            </w:tcBorders>
            <w:shd w:val="clear" w:color="auto" w:fill="E5E5E5"/>
          </w:tcPr>
          <w:p>
            <w:pPr>
              <w:ind w:left="120"/>
              <w:spacing w:after="0"/>
              <w:rPr>
                <w:sz w:val="20"/>
                <w:szCs w:val="20"/>
                <w:color w:val="auto"/>
              </w:rPr>
            </w:pPr>
            <w:r>
              <w:rPr>
                <w:rFonts w:ascii="Arial" w:cs="Arial" w:eastAsia="Arial" w:hAnsi="Arial"/>
                <w:sz w:val="14"/>
                <w:szCs w:val="14"/>
                <w:b w:val="1"/>
                <w:bCs w:val="1"/>
                <w:color w:val="auto"/>
              </w:rPr>
              <w:t>Organization</w:t>
            </w:r>
          </w:p>
        </w:tc>
        <w:tc>
          <w:tcPr>
            <w:tcW w:w="2620" w:type="dxa"/>
            <w:vAlign w:val="bottom"/>
            <w:tcBorders>
              <w:bottom w:val="single" w:sz="8" w:color="auto"/>
              <w:right w:val="single" w:sz="8" w:color="auto"/>
            </w:tcBorders>
            <w:shd w:val="clear" w:color="auto" w:fill="E5E5E5"/>
          </w:tcPr>
          <w:p>
            <w:pPr>
              <w:jc w:val="center"/>
              <w:spacing w:after="0"/>
              <w:rPr>
                <w:sz w:val="20"/>
                <w:szCs w:val="20"/>
                <w:color w:val="auto"/>
              </w:rPr>
            </w:pPr>
            <w:r>
              <w:rPr>
                <w:rFonts w:ascii="Arial" w:cs="Arial" w:eastAsia="Arial" w:hAnsi="Arial"/>
                <w:sz w:val="14"/>
                <w:szCs w:val="14"/>
                <w:b w:val="1"/>
                <w:bCs w:val="1"/>
                <w:color w:val="auto"/>
              </w:rPr>
              <w:t>Lilly and Organization</w:t>
            </w:r>
          </w:p>
        </w:tc>
        <w:tc>
          <w:tcPr>
            <w:tcW w:w="1660" w:type="dxa"/>
            <w:vAlign w:val="bottom"/>
            <w:tcBorders>
              <w:bottom w:val="single" w:sz="8" w:color="auto"/>
              <w:right w:val="single" w:sz="8" w:color="auto"/>
            </w:tcBorders>
            <w:shd w:val="clear" w:color="auto" w:fill="E5E5E5"/>
          </w:tcPr>
          <w:p>
            <w:pPr>
              <w:jc w:val="center"/>
              <w:spacing w:after="0"/>
              <w:rPr>
                <w:sz w:val="20"/>
                <w:szCs w:val="20"/>
                <w:color w:val="auto"/>
              </w:rPr>
            </w:pPr>
            <w:r>
              <w:rPr>
                <w:rFonts w:ascii="Arial" w:cs="Arial" w:eastAsia="Arial" w:hAnsi="Arial"/>
                <w:sz w:val="14"/>
                <w:szCs w:val="14"/>
                <w:b w:val="1"/>
                <w:bCs w:val="1"/>
                <w:color w:val="auto"/>
              </w:rPr>
              <w:t>Revenue</w:t>
            </w:r>
          </w:p>
        </w:tc>
        <w:tc>
          <w:tcPr>
            <w:tcW w:w="0" w:type="dxa"/>
            <w:vAlign w:val="bottom"/>
          </w:tcPr>
          <w:p>
            <w:pPr>
              <w:spacing w:after="0"/>
              <w:rPr>
                <w:sz w:val="1"/>
                <w:szCs w:val="1"/>
                <w:color w:val="auto"/>
              </w:rPr>
            </w:pPr>
          </w:p>
        </w:tc>
      </w:tr>
      <w:tr>
        <w:trPr>
          <w:trHeight w:val="193"/>
        </w:trPr>
        <w:tc>
          <w:tcPr>
            <w:tcW w:w="1280" w:type="dxa"/>
            <w:vAlign w:val="bottom"/>
            <w:tcBorders>
              <w:left w:val="single" w:sz="8" w:color="auto"/>
              <w:right w:val="single" w:sz="8" w:color="auto"/>
            </w:tcBorders>
          </w:tcPr>
          <w:p>
            <w:pPr>
              <w:spacing w:after="0"/>
              <w:rPr>
                <w:sz w:val="16"/>
                <w:szCs w:val="16"/>
                <w:color w:val="auto"/>
              </w:rPr>
            </w:pPr>
          </w:p>
        </w:tc>
        <w:tc>
          <w:tcPr>
            <w:tcW w:w="11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University of</w:t>
            </w:r>
          </w:p>
        </w:tc>
        <w:tc>
          <w:tcPr>
            <w:tcW w:w="9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Educational</w:t>
            </w:r>
          </w:p>
        </w:tc>
        <w:tc>
          <w:tcPr>
            <w:tcW w:w="1140" w:type="dxa"/>
            <w:vAlign w:val="bottom"/>
            <w:tcBorders>
              <w:right w:val="single" w:sz="8" w:color="auto"/>
            </w:tcBorders>
          </w:tcPr>
          <w:p>
            <w:pPr>
              <w:spacing w:after="0"/>
              <w:rPr>
                <w:sz w:val="16"/>
                <w:szCs w:val="16"/>
                <w:color w:val="auto"/>
              </w:rPr>
            </w:pPr>
          </w:p>
        </w:tc>
        <w:tc>
          <w:tcPr>
            <w:tcW w:w="2620" w:type="dxa"/>
            <w:vAlign w:val="bottom"/>
            <w:tcBorders>
              <w:right w:val="single" w:sz="8" w:color="auto"/>
            </w:tcBorders>
          </w:tcPr>
          <w:p>
            <w:pPr>
              <w:spacing w:after="0"/>
              <w:rPr>
                <w:sz w:val="16"/>
                <w:szCs w:val="16"/>
                <w:color w:val="auto"/>
              </w:rPr>
            </w:pPr>
          </w:p>
        </w:tc>
        <w:tc>
          <w:tcPr>
            <w:tcW w:w="16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12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Dr. Baicker</w:t>
            </w:r>
          </w:p>
        </w:tc>
        <w:tc>
          <w:tcPr>
            <w:tcW w:w="1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Chicago</w:t>
            </w:r>
          </w:p>
        </w:tc>
        <w:tc>
          <w:tcPr>
            <w:tcW w:w="9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Institution</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Employee</w:t>
            </w:r>
          </w:p>
        </w:tc>
        <w:tc>
          <w:tcPr>
            <w:tcW w:w="2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Research grants</w:t>
            </w:r>
          </w:p>
        </w:tc>
        <w:tc>
          <w:tcPr>
            <w:tcW w:w="16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Less than 0.1 percent</w:t>
            </w:r>
          </w:p>
        </w:tc>
        <w:tc>
          <w:tcPr>
            <w:tcW w:w="0" w:type="dxa"/>
            <w:vAlign w:val="bottom"/>
          </w:tcPr>
          <w:p>
            <w:pPr>
              <w:spacing w:after="0"/>
              <w:rPr>
                <w:sz w:val="1"/>
                <w:szCs w:val="1"/>
                <w:color w:val="auto"/>
              </w:rPr>
            </w:pPr>
          </w:p>
        </w:tc>
      </w:tr>
      <w:tr>
        <w:trPr>
          <w:trHeight w:val="193"/>
        </w:trPr>
        <w:tc>
          <w:tcPr>
            <w:tcW w:w="1280" w:type="dxa"/>
            <w:vAlign w:val="bottom"/>
            <w:tcBorders>
              <w:left w:val="single" w:sz="8" w:color="auto"/>
              <w:right w:val="single" w:sz="8" w:color="auto"/>
            </w:tcBorders>
          </w:tcPr>
          <w:p>
            <w:pPr>
              <w:spacing w:after="0"/>
              <w:rPr>
                <w:sz w:val="16"/>
                <w:szCs w:val="16"/>
                <w:color w:val="auto"/>
              </w:rPr>
            </w:pPr>
          </w:p>
        </w:tc>
        <w:tc>
          <w:tcPr>
            <w:tcW w:w="11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Stanford</w:t>
            </w:r>
          </w:p>
        </w:tc>
        <w:tc>
          <w:tcPr>
            <w:tcW w:w="9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Educational</w:t>
            </w:r>
          </w:p>
        </w:tc>
        <w:tc>
          <w:tcPr>
            <w:tcW w:w="1140" w:type="dxa"/>
            <w:vAlign w:val="bottom"/>
            <w:tcBorders>
              <w:right w:val="single" w:sz="8" w:color="auto"/>
            </w:tcBorders>
          </w:tcPr>
          <w:p>
            <w:pPr>
              <w:spacing w:after="0"/>
              <w:rPr>
                <w:sz w:val="16"/>
                <w:szCs w:val="16"/>
                <w:color w:val="auto"/>
              </w:rPr>
            </w:pPr>
          </w:p>
        </w:tc>
        <w:tc>
          <w:tcPr>
            <w:tcW w:w="2620" w:type="dxa"/>
            <w:vAlign w:val="bottom"/>
            <w:tcBorders>
              <w:right w:val="single" w:sz="8" w:color="auto"/>
            </w:tcBorders>
          </w:tcPr>
          <w:p>
            <w:pPr>
              <w:spacing w:after="0"/>
              <w:rPr>
                <w:sz w:val="16"/>
                <w:szCs w:val="16"/>
                <w:color w:val="auto"/>
              </w:rPr>
            </w:pPr>
          </w:p>
        </w:tc>
        <w:tc>
          <w:tcPr>
            <w:tcW w:w="16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12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Dr. Bertozzi</w:t>
            </w:r>
          </w:p>
        </w:tc>
        <w:tc>
          <w:tcPr>
            <w:tcW w:w="1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University</w:t>
            </w:r>
          </w:p>
        </w:tc>
        <w:tc>
          <w:tcPr>
            <w:tcW w:w="9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Institution</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Employee</w:t>
            </w:r>
          </w:p>
        </w:tc>
        <w:tc>
          <w:tcPr>
            <w:tcW w:w="2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Research grants</w:t>
            </w:r>
          </w:p>
        </w:tc>
        <w:tc>
          <w:tcPr>
            <w:tcW w:w="16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Less than 0.1 percent</w:t>
            </w:r>
          </w:p>
        </w:tc>
        <w:tc>
          <w:tcPr>
            <w:tcW w:w="0" w:type="dxa"/>
            <w:vAlign w:val="bottom"/>
          </w:tcPr>
          <w:p>
            <w:pPr>
              <w:spacing w:after="0"/>
              <w:rPr>
                <w:sz w:val="1"/>
                <w:szCs w:val="1"/>
                <w:color w:val="auto"/>
              </w:rPr>
            </w:pPr>
          </w:p>
        </w:tc>
      </w:tr>
      <w:tr>
        <w:trPr>
          <w:trHeight w:val="193"/>
        </w:trPr>
        <w:tc>
          <w:tcPr>
            <w:tcW w:w="1280" w:type="dxa"/>
            <w:vAlign w:val="bottom"/>
            <w:tcBorders>
              <w:left w:val="single" w:sz="8" w:color="auto"/>
              <w:right w:val="single" w:sz="8" w:color="auto"/>
            </w:tcBorders>
          </w:tcPr>
          <w:p>
            <w:pPr>
              <w:spacing w:after="0"/>
              <w:rPr>
                <w:sz w:val="16"/>
                <w:szCs w:val="16"/>
                <w:color w:val="auto"/>
              </w:rPr>
            </w:pPr>
          </w:p>
        </w:tc>
        <w:tc>
          <w:tcPr>
            <w:tcW w:w="11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Syngenta</w:t>
            </w:r>
          </w:p>
        </w:tc>
        <w:tc>
          <w:tcPr>
            <w:tcW w:w="9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For-profit</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Executive</w:t>
            </w:r>
          </w:p>
        </w:tc>
        <w:tc>
          <w:tcPr>
            <w:tcW w:w="2620" w:type="dxa"/>
            <w:vAlign w:val="bottom"/>
            <w:tcBorders>
              <w:right w:val="single" w:sz="8" w:color="auto"/>
            </w:tcBorders>
          </w:tcPr>
          <w:p>
            <w:pPr>
              <w:spacing w:after="0"/>
              <w:rPr>
                <w:sz w:val="16"/>
                <w:szCs w:val="16"/>
                <w:color w:val="auto"/>
              </w:rPr>
            </w:pPr>
          </w:p>
        </w:tc>
        <w:tc>
          <w:tcPr>
            <w:tcW w:w="16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12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Mr. Fyrwald</w:t>
            </w:r>
          </w:p>
        </w:tc>
        <w:tc>
          <w:tcPr>
            <w:tcW w:w="1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International AG</w:t>
            </w:r>
          </w:p>
        </w:tc>
        <w:tc>
          <w:tcPr>
            <w:tcW w:w="9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Corporation</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Officer</w:t>
            </w:r>
          </w:p>
        </w:tc>
        <w:tc>
          <w:tcPr>
            <w:tcW w:w="2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Purchase of products</w:t>
            </w:r>
          </w:p>
        </w:tc>
        <w:tc>
          <w:tcPr>
            <w:tcW w:w="16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Less than 0.1 percent</w:t>
            </w:r>
          </w:p>
        </w:tc>
        <w:tc>
          <w:tcPr>
            <w:tcW w:w="0" w:type="dxa"/>
            <w:vAlign w:val="bottom"/>
          </w:tcPr>
          <w:p>
            <w:pPr>
              <w:spacing w:after="0"/>
              <w:rPr>
                <w:sz w:val="1"/>
                <w:szCs w:val="1"/>
                <w:color w:val="auto"/>
              </w:rPr>
            </w:pPr>
          </w:p>
        </w:tc>
      </w:tr>
      <w:tr>
        <w:trPr>
          <w:trHeight w:val="193"/>
        </w:trPr>
        <w:tc>
          <w:tcPr>
            <w:tcW w:w="1280" w:type="dxa"/>
            <w:vAlign w:val="bottom"/>
            <w:tcBorders>
              <w:left w:val="single" w:sz="8" w:color="auto"/>
              <w:right w:val="single" w:sz="8" w:color="auto"/>
            </w:tcBorders>
          </w:tcPr>
          <w:p>
            <w:pPr>
              <w:spacing w:after="0"/>
              <w:rPr>
                <w:sz w:val="16"/>
                <w:szCs w:val="16"/>
                <w:color w:val="auto"/>
              </w:rPr>
            </w:pPr>
          </w:p>
        </w:tc>
        <w:tc>
          <w:tcPr>
            <w:tcW w:w="11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Nielsen</w:t>
            </w:r>
          </w:p>
        </w:tc>
        <w:tc>
          <w:tcPr>
            <w:tcW w:w="9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For-profit</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Executive</w:t>
            </w:r>
          </w:p>
        </w:tc>
        <w:tc>
          <w:tcPr>
            <w:tcW w:w="2620" w:type="dxa"/>
            <w:vAlign w:val="bottom"/>
            <w:tcBorders>
              <w:right w:val="single" w:sz="8" w:color="auto"/>
            </w:tcBorders>
          </w:tcPr>
          <w:p>
            <w:pPr>
              <w:spacing w:after="0"/>
              <w:rPr>
                <w:sz w:val="16"/>
                <w:szCs w:val="16"/>
                <w:color w:val="auto"/>
              </w:rPr>
            </w:pPr>
          </w:p>
        </w:tc>
        <w:tc>
          <w:tcPr>
            <w:tcW w:w="16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12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Mr. Jackson</w:t>
            </w:r>
          </w:p>
        </w:tc>
        <w:tc>
          <w:tcPr>
            <w:tcW w:w="1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Holdings plc</w:t>
            </w:r>
          </w:p>
        </w:tc>
        <w:tc>
          <w:tcPr>
            <w:tcW w:w="9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Corporation</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Officer</w:t>
            </w:r>
          </w:p>
        </w:tc>
        <w:tc>
          <w:tcPr>
            <w:tcW w:w="2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Purchase of products</w:t>
            </w:r>
          </w:p>
        </w:tc>
        <w:tc>
          <w:tcPr>
            <w:tcW w:w="16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Less than 0.1 percent</w:t>
            </w:r>
          </w:p>
        </w:tc>
        <w:tc>
          <w:tcPr>
            <w:tcW w:w="0" w:type="dxa"/>
            <w:vAlign w:val="bottom"/>
          </w:tcPr>
          <w:p>
            <w:pPr>
              <w:spacing w:after="0"/>
              <w:rPr>
                <w:sz w:val="1"/>
                <w:szCs w:val="1"/>
                <w:color w:val="auto"/>
              </w:rPr>
            </w:pPr>
          </w:p>
        </w:tc>
      </w:tr>
      <w:tr>
        <w:trPr>
          <w:trHeight w:val="193"/>
        </w:trPr>
        <w:tc>
          <w:tcPr>
            <w:tcW w:w="1280" w:type="dxa"/>
            <w:vAlign w:val="bottom"/>
            <w:tcBorders>
              <w:left w:val="single" w:sz="8" w:color="auto"/>
              <w:right w:val="single" w:sz="8" w:color="auto"/>
            </w:tcBorders>
          </w:tcPr>
          <w:p>
            <w:pPr>
              <w:spacing w:after="0"/>
              <w:rPr>
                <w:sz w:val="16"/>
                <w:szCs w:val="16"/>
                <w:color w:val="auto"/>
              </w:rPr>
            </w:pPr>
          </w:p>
        </w:tc>
        <w:tc>
          <w:tcPr>
            <w:tcW w:w="11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Harvard</w:t>
            </w:r>
          </w:p>
        </w:tc>
        <w:tc>
          <w:tcPr>
            <w:tcW w:w="9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Educational</w:t>
            </w:r>
          </w:p>
        </w:tc>
        <w:tc>
          <w:tcPr>
            <w:tcW w:w="1140" w:type="dxa"/>
            <w:vAlign w:val="bottom"/>
            <w:tcBorders>
              <w:right w:val="single" w:sz="8" w:color="auto"/>
            </w:tcBorders>
          </w:tcPr>
          <w:p>
            <w:pPr>
              <w:spacing w:after="0"/>
              <w:rPr>
                <w:sz w:val="16"/>
                <w:szCs w:val="16"/>
                <w:color w:val="auto"/>
              </w:rPr>
            </w:pPr>
          </w:p>
        </w:tc>
        <w:tc>
          <w:tcPr>
            <w:tcW w:w="2620" w:type="dxa"/>
            <w:vAlign w:val="bottom"/>
            <w:tcBorders>
              <w:right w:val="single" w:sz="8" w:color="auto"/>
            </w:tcBorders>
          </w:tcPr>
          <w:p>
            <w:pPr>
              <w:spacing w:after="0"/>
              <w:rPr>
                <w:sz w:val="16"/>
                <w:szCs w:val="16"/>
                <w:color w:val="auto"/>
              </w:rPr>
            </w:pPr>
          </w:p>
        </w:tc>
        <w:tc>
          <w:tcPr>
            <w:tcW w:w="16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1280" w:type="dxa"/>
            <w:vAlign w:val="bottom"/>
            <w:tcBorders>
              <w:left w:val="single" w:sz="8" w:color="auto"/>
              <w:right w:val="single" w:sz="8" w:color="auto"/>
            </w:tcBorders>
          </w:tcPr>
          <w:p>
            <w:pPr>
              <w:spacing w:after="0"/>
              <w:rPr>
                <w:sz w:val="15"/>
                <w:szCs w:val="15"/>
                <w:color w:val="auto"/>
              </w:rPr>
            </w:pPr>
          </w:p>
        </w:tc>
        <w:tc>
          <w:tcPr>
            <w:tcW w:w="1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University</w:t>
            </w:r>
          </w:p>
        </w:tc>
        <w:tc>
          <w:tcPr>
            <w:tcW w:w="9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Institution</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Employee</w:t>
            </w:r>
          </w:p>
        </w:tc>
        <w:tc>
          <w:tcPr>
            <w:tcW w:w="2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Research grants</w:t>
            </w:r>
          </w:p>
        </w:tc>
        <w:tc>
          <w:tcPr>
            <w:tcW w:w="16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Less than 0.1 percent</w:t>
            </w:r>
          </w:p>
        </w:tc>
        <w:tc>
          <w:tcPr>
            <w:tcW w:w="0" w:type="dxa"/>
            <w:vAlign w:val="bottom"/>
          </w:tcPr>
          <w:p>
            <w:pPr>
              <w:spacing w:after="0"/>
              <w:rPr>
                <w:sz w:val="1"/>
                <w:szCs w:val="1"/>
                <w:color w:val="auto"/>
              </w:rPr>
            </w:pPr>
          </w:p>
        </w:tc>
      </w:tr>
      <w:tr>
        <w:trPr>
          <w:trHeight w:val="193"/>
        </w:trPr>
        <w:tc>
          <w:tcPr>
            <w:tcW w:w="1280" w:type="dxa"/>
            <w:vAlign w:val="bottom"/>
            <w:tcBorders>
              <w:left w:val="single" w:sz="8" w:color="auto"/>
              <w:right w:val="single" w:sz="8" w:color="auto"/>
            </w:tcBorders>
          </w:tcPr>
          <w:p>
            <w:pPr>
              <w:spacing w:after="0"/>
              <w:rPr>
                <w:sz w:val="16"/>
                <w:szCs w:val="16"/>
                <w:color w:val="auto"/>
              </w:rPr>
            </w:pPr>
          </w:p>
        </w:tc>
        <w:tc>
          <w:tcPr>
            <w:tcW w:w="11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Brigham and</w:t>
            </w:r>
          </w:p>
        </w:tc>
        <w:tc>
          <w:tcPr>
            <w:tcW w:w="96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2620" w:type="dxa"/>
            <w:vAlign w:val="bottom"/>
            <w:tcBorders>
              <w:right w:val="single" w:sz="8" w:color="auto"/>
            </w:tcBorders>
          </w:tcPr>
          <w:p>
            <w:pPr>
              <w:spacing w:after="0"/>
              <w:rPr>
                <w:sz w:val="16"/>
                <w:szCs w:val="16"/>
                <w:color w:val="auto"/>
              </w:rPr>
            </w:pPr>
          </w:p>
        </w:tc>
        <w:tc>
          <w:tcPr>
            <w:tcW w:w="16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Dr. Kaelin</w:t>
            </w:r>
          </w:p>
        </w:tc>
        <w:tc>
          <w:tcPr>
            <w:tcW w:w="11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Women's</w:t>
            </w:r>
          </w:p>
        </w:tc>
        <w:tc>
          <w:tcPr>
            <w:tcW w:w="9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Health Care</w:t>
            </w:r>
          </w:p>
        </w:tc>
        <w:tc>
          <w:tcPr>
            <w:tcW w:w="1140" w:type="dxa"/>
            <w:vAlign w:val="bottom"/>
            <w:tcBorders>
              <w:right w:val="single" w:sz="8" w:color="auto"/>
            </w:tcBorders>
          </w:tcPr>
          <w:p>
            <w:pPr>
              <w:spacing w:after="0"/>
              <w:rPr>
                <w:sz w:val="14"/>
                <w:szCs w:val="14"/>
                <w:color w:val="auto"/>
              </w:rPr>
            </w:pPr>
          </w:p>
        </w:tc>
        <w:tc>
          <w:tcPr>
            <w:tcW w:w="2620" w:type="dxa"/>
            <w:vAlign w:val="bottom"/>
            <w:tcBorders>
              <w:right w:val="single" w:sz="8" w:color="auto"/>
            </w:tcBorders>
          </w:tcPr>
          <w:p>
            <w:pPr>
              <w:spacing w:after="0"/>
              <w:rPr>
                <w:sz w:val="14"/>
                <w:szCs w:val="14"/>
                <w:color w:val="auto"/>
              </w:rPr>
            </w:pPr>
          </w:p>
        </w:tc>
        <w:tc>
          <w:tcPr>
            <w:tcW w:w="16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280" w:type="dxa"/>
            <w:vAlign w:val="bottom"/>
            <w:tcBorders>
              <w:left w:val="single" w:sz="8" w:color="auto"/>
              <w:right w:val="single" w:sz="8" w:color="auto"/>
            </w:tcBorders>
          </w:tcPr>
          <w:p>
            <w:pPr>
              <w:spacing w:after="0"/>
              <w:rPr>
                <w:sz w:val="15"/>
                <w:szCs w:val="15"/>
                <w:color w:val="auto"/>
              </w:rPr>
            </w:pPr>
          </w:p>
        </w:tc>
        <w:tc>
          <w:tcPr>
            <w:tcW w:w="1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Hospital</w:t>
            </w:r>
          </w:p>
        </w:tc>
        <w:tc>
          <w:tcPr>
            <w:tcW w:w="9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Institution</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Employee</w:t>
            </w:r>
          </w:p>
        </w:tc>
        <w:tc>
          <w:tcPr>
            <w:tcW w:w="2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Research grants</w:t>
            </w:r>
          </w:p>
        </w:tc>
        <w:tc>
          <w:tcPr>
            <w:tcW w:w="16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Less than 0.1 percent</w:t>
            </w:r>
          </w:p>
        </w:tc>
        <w:tc>
          <w:tcPr>
            <w:tcW w:w="0" w:type="dxa"/>
            <w:vAlign w:val="bottom"/>
          </w:tcPr>
          <w:p>
            <w:pPr>
              <w:spacing w:after="0"/>
              <w:rPr>
                <w:sz w:val="1"/>
                <w:szCs w:val="1"/>
                <w:color w:val="auto"/>
              </w:rPr>
            </w:pPr>
          </w:p>
        </w:tc>
      </w:tr>
      <w:tr>
        <w:trPr>
          <w:trHeight w:val="193"/>
        </w:trPr>
        <w:tc>
          <w:tcPr>
            <w:tcW w:w="1280" w:type="dxa"/>
            <w:vAlign w:val="bottom"/>
            <w:tcBorders>
              <w:left w:val="single" w:sz="8" w:color="auto"/>
              <w:right w:val="single" w:sz="8" w:color="auto"/>
            </w:tcBorders>
          </w:tcPr>
          <w:p>
            <w:pPr>
              <w:spacing w:after="0"/>
              <w:rPr>
                <w:sz w:val="16"/>
                <w:szCs w:val="16"/>
                <w:color w:val="auto"/>
              </w:rPr>
            </w:pPr>
          </w:p>
        </w:tc>
        <w:tc>
          <w:tcPr>
            <w:tcW w:w="11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Dana-Farber</w:t>
            </w:r>
          </w:p>
        </w:tc>
        <w:tc>
          <w:tcPr>
            <w:tcW w:w="9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Health Care</w:t>
            </w:r>
          </w:p>
        </w:tc>
        <w:tc>
          <w:tcPr>
            <w:tcW w:w="1140" w:type="dxa"/>
            <w:vAlign w:val="bottom"/>
            <w:tcBorders>
              <w:right w:val="single" w:sz="8" w:color="auto"/>
            </w:tcBorders>
          </w:tcPr>
          <w:p>
            <w:pPr>
              <w:spacing w:after="0"/>
              <w:rPr>
                <w:sz w:val="16"/>
                <w:szCs w:val="16"/>
                <w:color w:val="auto"/>
              </w:rPr>
            </w:pPr>
          </w:p>
        </w:tc>
        <w:tc>
          <w:tcPr>
            <w:tcW w:w="2620" w:type="dxa"/>
            <w:vAlign w:val="bottom"/>
            <w:tcBorders>
              <w:right w:val="single" w:sz="8" w:color="auto"/>
            </w:tcBorders>
          </w:tcPr>
          <w:p>
            <w:pPr>
              <w:spacing w:after="0"/>
              <w:rPr>
                <w:sz w:val="16"/>
                <w:szCs w:val="16"/>
                <w:color w:val="auto"/>
              </w:rPr>
            </w:pPr>
          </w:p>
        </w:tc>
        <w:tc>
          <w:tcPr>
            <w:tcW w:w="16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1280" w:type="dxa"/>
            <w:vAlign w:val="bottom"/>
            <w:tcBorders>
              <w:left w:val="single" w:sz="8" w:color="auto"/>
              <w:bottom w:val="single" w:sz="8" w:color="auto"/>
              <w:right w:val="single" w:sz="8" w:color="auto"/>
            </w:tcBorders>
          </w:tcPr>
          <w:p>
            <w:pPr>
              <w:spacing w:after="0"/>
              <w:rPr>
                <w:sz w:val="15"/>
                <w:szCs w:val="15"/>
                <w:color w:val="auto"/>
              </w:rPr>
            </w:pPr>
          </w:p>
        </w:tc>
        <w:tc>
          <w:tcPr>
            <w:tcW w:w="1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Cancer Institute</w:t>
            </w:r>
          </w:p>
        </w:tc>
        <w:tc>
          <w:tcPr>
            <w:tcW w:w="9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Institution</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Employee</w:t>
            </w:r>
          </w:p>
        </w:tc>
        <w:tc>
          <w:tcPr>
            <w:tcW w:w="2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Research grants</w:t>
            </w:r>
          </w:p>
        </w:tc>
        <w:tc>
          <w:tcPr>
            <w:tcW w:w="16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Less than 0.1 percent</w:t>
            </w:r>
          </w:p>
        </w:tc>
        <w:tc>
          <w:tcPr>
            <w:tcW w:w="0" w:type="dxa"/>
            <w:vAlign w:val="bottom"/>
          </w:tcPr>
          <w:p>
            <w:pPr>
              <w:spacing w:after="0"/>
              <w:rPr>
                <w:sz w:val="1"/>
                <w:szCs w:val="1"/>
                <w:color w:val="auto"/>
              </w:rPr>
            </w:pPr>
          </w:p>
        </w:tc>
      </w:tr>
      <w:tr>
        <w:trPr>
          <w:trHeight w:val="209"/>
        </w:trPr>
        <w:tc>
          <w:tcPr>
            <w:tcW w:w="1280" w:type="dxa"/>
            <w:vAlign w:val="bottom"/>
            <w:tcBorders>
              <w:left w:val="single" w:sz="8" w:color="auto"/>
              <w:right w:val="single" w:sz="8" w:color="auto"/>
            </w:tcBorders>
          </w:tcPr>
          <w:p>
            <w:pPr>
              <w:spacing w:after="0"/>
              <w:rPr>
                <w:sz w:val="18"/>
                <w:szCs w:val="18"/>
                <w:color w:val="auto"/>
              </w:rPr>
            </w:pPr>
          </w:p>
        </w:tc>
        <w:tc>
          <w:tcPr>
            <w:tcW w:w="11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Archer Daniels</w:t>
            </w:r>
          </w:p>
        </w:tc>
        <w:tc>
          <w:tcPr>
            <w:tcW w:w="9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For-profit</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Executive</w:t>
            </w:r>
          </w:p>
        </w:tc>
        <w:tc>
          <w:tcPr>
            <w:tcW w:w="2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Purchase of products</w:t>
            </w:r>
          </w:p>
        </w:tc>
        <w:tc>
          <w:tcPr>
            <w:tcW w:w="16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Less than 0.1 percent</w:t>
            </w:r>
          </w:p>
        </w:tc>
        <w:tc>
          <w:tcPr>
            <w:tcW w:w="0" w:type="dxa"/>
            <w:vAlign w:val="bottom"/>
          </w:tcPr>
          <w:p>
            <w:pPr>
              <w:spacing w:after="0"/>
              <w:rPr>
                <w:sz w:val="1"/>
                <w:szCs w:val="1"/>
                <w:color w:val="auto"/>
              </w:rPr>
            </w:pPr>
          </w:p>
        </w:tc>
      </w:tr>
      <w:tr>
        <w:trPr>
          <w:trHeight w:val="72"/>
        </w:trPr>
        <w:tc>
          <w:tcPr>
            <w:tcW w:w="12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Mr. Luciano</w:t>
            </w:r>
          </w:p>
        </w:tc>
        <w:tc>
          <w:tcPr>
            <w:tcW w:w="1120" w:type="dxa"/>
            <w:vAlign w:val="bottom"/>
            <w:tcBorders>
              <w:right w:val="single" w:sz="8" w:color="auto"/>
            </w:tcBorders>
            <w:vMerge w:val="continue"/>
          </w:tcPr>
          <w:p>
            <w:pPr>
              <w:spacing w:after="0"/>
              <w:rPr>
                <w:sz w:val="6"/>
                <w:szCs w:val="6"/>
                <w:color w:val="auto"/>
              </w:rPr>
            </w:pPr>
          </w:p>
        </w:tc>
        <w:tc>
          <w:tcPr>
            <w:tcW w:w="960" w:type="dxa"/>
            <w:vAlign w:val="bottom"/>
            <w:tcBorders>
              <w:right w:val="single" w:sz="8" w:color="auto"/>
            </w:tcBorders>
            <w:vMerge w:val="continue"/>
          </w:tcPr>
          <w:p>
            <w:pPr>
              <w:spacing w:after="0"/>
              <w:rPr>
                <w:sz w:val="6"/>
                <w:szCs w:val="6"/>
                <w:color w:val="auto"/>
              </w:rPr>
            </w:pPr>
          </w:p>
        </w:tc>
        <w:tc>
          <w:tcPr>
            <w:tcW w:w="1140" w:type="dxa"/>
            <w:vAlign w:val="bottom"/>
            <w:tcBorders>
              <w:right w:val="single" w:sz="8" w:color="auto"/>
            </w:tcBorders>
            <w:vMerge w:val="continue"/>
          </w:tcPr>
          <w:p>
            <w:pPr>
              <w:spacing w:after="0"/>
              <w:rPr>
                <w:sz w:val="6"/>
                <w:szCs w:val="6"/>
                <w:color w:val="auto"/>
              </w:rPr>
            </w:pPr>
          </w:p>
        </w:tc>
        <w:tc>
          <w:tcPr>
            <w:tcW w:w="2620" w:type="dxa"/>
            <w:vAlign w:val="bottom"/>
            <w:tcBorders>
              <w:right w:val="single" w:sz="8" w:color="auto"/>
            </w:tcBorders>
          </w:tcPr>
          <w:p>
            <w:pPr>
              <w:spacing w:after="0"/>
              <w:rPr>
                <w:sz w:val="6"/>
                <w:szCs w:val="6"/>
                <w:color w:val="auto"/>
              </w:rPr>
            </w:pPr>
          </w:p>
        </w:tc>
        <w:tc>
          <w:tcPr>
            <w:tcW w:w="16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Less than 0.1 percent of</w:t>
            </w:r>
          </w:p>
        </w:tc>
        <w:tc>
          <w:tcPr>
            <w:tcW w:w="0" w:type="dxa"/>
            <w:vAlign w:val="bottom"/>
          </w:tcPr>
          <w:p>
            <w:pPr>
              <w:spacing w:after="0"/>
              <w:rPr>
                <w:sz w:val="1"/>
                <w:szCs w:val="1"/>
                <w:color w:val="auto"/>
              </w:rPr>
            </w:pPr>
          </w:p>
        </w:tc>
      </w:tr>
      <w:tr>
        <w:trPr>
          <w:trHeight w:val="130"/>
        </w:trPr>
        <w:tc>
          <w:tcPr>
            <w:tcW w:w="1280" w:type="dxa"/>
            <w:vAlign w:val="bottom"/>
            <w:tcBorders>
              <w:left w:val="single" w:sz="8" w:color="auto"/>
              <w:right w:val="single" w:sz="8" w:color="auto"/>
            </w:tcBorders>
            <w:vMerge w:val="continue"/>
          </w:tcPr>
          <w:p>
            <w:pPr>
              <w:spacing w:after="0"/>
              <w:rPr>
                <w:sz w:val="11"/>
                <w:szCs w:val="11"/>
                <w:color w:val="auto"/>
              </w:rPr>
            </w:pPr>
          </w:p>
        </w:tc>
        <w:tc>
          <w:tcPr>
            <w:tcW w:w="1120" w:type="dxa"/>
            <w:vAlign w:val="bottom"/>
            <w:tcBorders>
              <w:right w:val="single" w:sz="8" w:color="auto"/>
            </w:tcBorders>
          </w:tcPr>
          <w:p>
            <w:pPr>
              <w:ind w:left="20"/>
              <w:spacing w:after="0" w:line="131" w:lineRule="exact"/>
              <w:rPr>
                <w:sz w:val="20"/>
                <w:szCs w:val="20"/>
                <w:color w:val="auto"/>
              </w:rPr>
            </w:pPr>
            <w:r>
              <w:rPr>
                <w:rFonts w:ascii="Arial" w:cs="Arial" w:eastAsia="Arial" w:hAnsi="Arial"/>
                <w:sz w:val="14"/>
                <w:szCs w:val="14"/>
                <w:color w:val="auto"/>
              </w:rPr>
              <w:t>Midland</w:t>
            </w:r>
          </w:p>
        </w:tc>
        <w:tc>
          <w:tcPr>
            <w:tcW w:w="960" w:type="dxa"/>
            <w:vAlign w:val="bottom"/>
            <w:tcBorders>
              <w:right w:val="single" w:sz="8" w:color="auto"/>
            </w:tcBorders>
          </w:tcPr>
          <w:p>
            <w:pPr>
              <w:ind w:left="20"/>
              <w:spacing w:after="0" w:line="131" w:lineRule="exact"/>
              <w:rPr>
                <w:sz w:val="20"/>
                <w:szCs w:val="20"/>
                <w:color w:val="auto"/>
              </w:rPr>
            </w:pPr>
            <w:r>
              <w:rPr>
                <w:rFonts w:ascii="Arial" w:cs="Arial" w:eastAsia="Arial" w:hAnsi="Arial"/>
                <w:sz w:val="14"/>
                <w:szCs w:val="14"/>
                <w:color w:val="auto"/>
              </w:rPr>
              <w:t>Corporation</w:t>
            </w:r>
          </w:p>
        </w:tc>
        <w:tc>
          <w:tcPr>
            <w:tcW w:w="1140" w:type="dxa"/>
            <w:vAlign w:val="bottom"/>
            <w:tcBorders>
              <w:right w:val="single" w:sz="8" w:color="auto"/>
            </w:tcBorders>
          </w:tcPr>
          <w:p>
            <w:pPr>
              <w:ind w:left="20"/>
              <w:spacing w:after="0" w:line="131" w:lineRule="exact"/>
              <w:rPr>
                <w:sz w:val="20"/>
                <w:szCs w:val="20"/>
                <w:color w:val="auto"/>
              </w:rPr>
            </w:pPr>
            <w:r>
              <w:rPr>
                <w:rFonts w:ascii="Arial" w:cs="Arial" w:eastAsia="Arial" w:hAnsi="Arial"/>
                <w:sz w:val="14"/>
                <w:szCs w:val="14"/>
                <w:color w:val="auto"/>
              </w:rPr>
              <w:t>Officer</w:t>
            </w:r>
          </w:p>
        </w:tc>
        <w:tc>
          <w:tcPr>
            <w:tcW w:w="26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Sale of products</w:t>
            </w:r>
          </w:p>
        </w:tc>
        <w:tc>
          <w:tcPr>
            <w:tcW w:w="16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1280" w:type="dxa"/>
            <w:vAlign w:val="bottom"/>
            <w:tcBorders>
              <w:left w:val="single" w:sz="8" w:color="auto"/>
              <w:bottom w:val="single" w:sz="8" w:color="auto"/>
              <w:right w:val="single" w:sz="8" w:color="auto"/>
            </w:tcBorders>
          </w:tcPr>
          <w:p>
            <w:pPr>
              <w:spacing w:after="0"/>
              <w:rPr>
                <w:sz w:val="15"/>
                <w:szCs w:val="15"/>
                <w:color w:val="auto"/>
              </w:rPr>
            </w:pPr>
          </w:p>
        </w:tc>
        <w:tc>
          <w:tcPr>
            <w:tcW w:w="1120" w:type="dxa"/>
            <w:vAlign w:val="bottom"/>
            <w:tcBorders>
              <w:bottom w:val="single" w:sz="8" w:color="auto"/>
              <w:right w:val="single" w:sz="8" w:color="auto"/>
            </w:tcBorders>
          </w:tcPr>
          <w:p>
            <w:pPr>
              <w:spacing w:after="0"/>
              <w:rPr>
                <w:sz w:val="15"/>
                <w:szCs w:val="15"/>
                <w:color w:val="auto"/>
              </w:rPr>
            </w:pPr>
          </w:p>
        </w:tc>
        <w:tc>
          <w:tcPr>
            <w:tcW w:w="960" w:type="dxa"/>
            <w:vAlign w:val="bottom"/>
            <w:tcBorders>
              <w:bottom w:val="single" w:sz="8" w:color="auto"/>
              <w:right w:val="single" w:sz="8" w:color="auto"/>
            </w:tcBorders>
          </w:tcPr>
          <w:p>
            <w:pPr>
              <w:spacing w:after="0"/>
              <w:rPr>
                <w:sz w:val="15"/>
                <w:szCs w:val="15"/>
                <w:color w:val="auto"/>
              </w:rPr>
            </w:pPr>
          </w:p>
        </w:tc>
        <w:tc>
          <w:tcPr>
            <w:tcW w:w="1140" w:type="dxa"/>
            <w:vAlign w:val="bottom"/>
            <w:tcBorders>
              <w:bottom w:val="single" w:sz="8" w:color="auto"/>
              <w:right w:val="single" w:sz="8" w:color="auto"/>
            </w:tcBorders>
          </w:tcPr>
          <w:p>
            <w:pPr>
              <w:spacing w:after="0"/>
              <w:rPr>
                <w:sz w:val="15"/>
                <w:szCs w:val="15"/>
                <w:color w:val="auto"/>
              </w:rPr>
            </w:pPr>
          </w:p>
        </w:tc>
        <w:tc>
          <w:tcPr>
            <w:tcW w:w="2620" w:type="dxa"/>
            <w:vAlign w:val="bottom"/>
            <w:tcBorders>
              <w:bottom w:val="single" w:sz="8" w:color="auto"/>
              <w:right w:val="single" w:sz="8" w:color="auto"/>
            </w:tcBorders>
            <w:vMerge w:val="continue"/>
          </w:tcPr>
          <w:p>
            <w:pPr>
              <w:spacing w:after="0"/>
              <w:rPr>
                <w:sz w:val="15"/>
                <w:szCs w:val="15"/>
                <w:color w:val="auto"/>
              </w:rPr>
            </w:pPr>
          </w:p>
        </w:tc>
        <w:tc>
          <w:tcPr>
            <w:tcW w:w="16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Lilly's revenue</w:t>
            </w:r>
          </w:p>
        </w:tc>
        <w:tc>
          <w:tcPr>
            <w:tcW w:w="0" w:type="dxa"/>
            <w:vAlign w:val="bottom"/>
          </w:tcPr>
          <w:p>
            <w:pPr>
              <w:spacing w:after="0"/>
              <w:rPr>
                <w:sz w:val="1"/>
                <w:szCs w:val="1"/>
                <w:color w:val="auto"/>
              </w:rPr>
            </w:pPr>
          </w:p>
        </w:tc>
      </w:tr>
      <w:tr>
        <w:trPr>
          <w:trHeight w:val="189"/>
        </w:trPr>
        <w:tc>
          <w:tcPr>
            <w:tcW w:w="1280" w:type="dxa"/>
            <w:vAlign w:val="bottom"/>
            <w:tcBorders>
              <w:left w:val="single" w:sz="8" w:color="auto"/>
              <w:right w:val="single" w:sz="8" w:color="auto"/>
            </w:tcBorders>
          </w:tcPr>
          <w:p>
            <w:pPr>
              <w:spacing w:after="0"/>
              <w:rPr>
                <w:sz w:val="16"/>
                <w:szCs w:val="16"/>
                <w:color w:val="auto"/>
              </w:rPr>
            </w:pPr>
          </w:p>
        </w:tc>
        <w:tc>
          <w:tcPr>
            <w:tcW w:w="11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University of</w:t>
            </w:r>
          </w:p>
        </w:tc>
        <w:tc>
          <w:tcPr>
            <w:tcW w:w="96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2620" w:type="dxa"/>
            <w:vAlign w:val="bottom"/>
            <w:tcBorders>
              <w:right w:val="single" w:sz="8" w:color="auto"/>
            </w:tcBorders>
          </w:tcPr>
          <w:p>
            <w:pPr>
              <w:spacing w:after="0"/>
              <w:rPr>
                <w:sz w:val="16"/>
                <w:szCs w:val="16"/>
                <w:color w:val="auto"/>
              </w:rPr>
            </w:pPr>
          </w:p>
        </w:tc>
        <w:tc>
          <w:tcPr>
            <w:tcW w:w="16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280" w:type="dxa"/>
            <w:vAlign w:val="bottom"/>
            <w:tcBorders>
              <w:left w:val="single" w:sz="8" w:color="auto"/>
              <w:right w:val="single" w:sz="8" w:color="auto"/>
            </w:tcBorders>
          </w:tcPr>
          <w:p>
            <w:pPr>
              <w:spacing w:after="0"/>
              <w:rPr>
                <w:sz w:val="14"/>
                <w:szCs w:val="14"/>
                <w:color w:val="auto"/>
              </w:rPr>
            </w:pPr>
          </w:p>
        </w:tc>
        <w:tc>
          <w:tcPr>
            <w:tcW w:w="11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Michigan</w:t>
            </w:r>
          </w:p>
        </w:tc>
        <w:tc>
          <w:tcPr>
            <w:tcW w:w="9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Educational</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Executive</w:t>
            </w:r>
          </w:p>
        </w:tc>
        <w:tc>
          <w:tcPr>
            <w:tcW w:w="2620" w:type="dxa"/>
            <w:vAlign w:val="bottom"/>
            <w:tcBorders>
              <w:right w:val="single" w:sz="8" w:color="auto"/>
            </w:tcBorders>
          </w:tcPr>
          <w:p>
            <w:pPr>
              <w:spacing w:after="0"/>
              <w:rPr>
                <w:sz w:val="14"/>
                <w:szCs w:val="14"/>
                <w:color w:val="auto"/>
              </w:rPr>
            </w:pPr>
          </w:p>
        </w:tc>
        <w:tc>
          <w:tcPr>
            <w:tcW w:w="16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2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Dr. Runge</w:t>
            </w:r>
          </w:p>
        </w:tc>
        <w:tc>
          <w:tcPr>
            <w:tcW w:w="1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Medical School</w:t>
            </w:r>
          </w:p>
        </w:tc>
        <w:tc>
          <w:tcPr>
            <w:tcW w:w="9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Institution</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Officer</w:t>
            </w:r>
          </w:p>
        </w:tc>
        <w:tc>
          <w:tcPr>
            <w:tcW w:w="2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Research grants</w:t>
            </w:r>
          </w:p>
        </w:tc>
        <w:tc>
          <w:tcPr>
            <w:tcW w:w="16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Less than 0.1 percent</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addition to the foregoing relationships, the Directors and Corporate Governance Committee considered a proposed commercial arrangement under discussion by the company and ADM, where Mr. Luciano serves as CEO. Mr. Luciano has not been involved in discussions about the potential transaction and Mr. Luciano would not have any direct personal or financial interest in the commercial arrangement. The anticipated size of the commercial arrangement would be less than 1.5 percent of ADM's annual revenue.</w:t>
      </w:r>
    </w:p>
    <w:p>
      <w:pPr>
        <w:spacing w:after="0" w:line="150"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All of the transactions described above were entered into at arm’s length in the normal course of business and, to the extent they are commercial relationships, have standard commercial terms. Aggregate payments to each of the organizations, in each of the last four fiscal years, did not exceed the greater of $ 1 million or 2 percent of that organization's consolidated gross revenues in a single fiscal year for the relevant four-year period. No director had any direct business relationships with the company or received any direct personal benefit from any of these transactions, relationships, or arrangements.</w:t>
      </w:r>
    </w:p>
    <w:p>
      <w:pPr>
        <w:spacing w:after="0" w:line="328" w:lineRule="exact"/>
        <w:rPr>
          <w:sz w:val="20"/>
          <w:szCs w:val="20"/>
          <w:color w:val="auto"/>
        </w:rPr>
      </w:pPr>
    </w:p>
    <w:p>
      <w:pPr>
        <w:spacing w:after="0"/>
        <w:rPr>
          <w:sz w:val="20"/>
          <w:szCs w:val="20"/>
          <w:color w:val="auto"/>
        </w:rPr>
      </w:pPr>
      <w:r>
        <w:rPr>
          <w:rFonts w:ascii="Arial" w:cs="Arial" w:eastAsia="Arial" w:hAnsi="Arial"/>
          <w:sz w:val="29"/>
          <w:szCs w:val="29"/>
          <w:b w:val="1"/>
          <w:bCs w:val="1"/>
          <w:color w:val="FF0000"/>
        </w:rPr>
        <w:t>Committees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720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6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duties and membership of the six board-appointed committees are described below. All committee members are independent as defined in the NYSE listing requirements and Lilly's independence standards. The members of the Audit and Compensation Committees each meet the additional independence requirements applicable to them as members of those committees.</w:t>
      </w:r>
    </w:p>
    <w:p>
      <w:pPr>
        <w:spacing w:after="0" w:line="202"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The Directors and Corporate Governance Committee makes recommendations to the board regarding director committee membership and selection of committee chairs. The board has no set policy for rotation of committee members or chairs but annually reviews committee memberships and chair positions, seeking the best blend of continuity and fresh perspectives.</w:t>
      </w:r>
    </w:p>
    <w:p>
      <w:pPr>
        <w:spacing w:after="0" w:line="202"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The chair of each committee determines the frequency and agenda of committee meetings. The Audit, Compensation, and Public Policy and Compliance Committees meet alone in executive session on a regular basis; all other committees meet in executive session as needed.</w:t>
      </w: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P24</w:t>
      </w:r>
    </w:p>
    <w:p>
      <w:pPr>
        <w:sectPr>
          <w:pgSz w:w="11900" w:h="16838" w:orient="portrait"/>
          <w:cols w:equalWidth="0" w:num="1">
            <w:col w:w="11420"/>
          </w:cols>
          <w:pgMar w:left="240" w:top="876" w:right="239" w:bottom="1440" w:gutter="0" w:footer="0" w:header="0"/>
        </w:sectPr>
      </w:pPr>
    </w:p>
    <w:bookmarkStart w:id="28" w:name="page29"/>
    <w:bookmarkEnd w:id="28"/>
    <w:p>
      <w:pPr>
        <w:spacing w:after="0"/>
        <w:rPr>
          <w:sz w:val="20"/>
          <w:szCs w:val="20"/>
          <w:color w:val="auto"/>
        </w:rPr>
      </w:pPr>
      <w:r>
        <w:rPr>
          <w:rFonts w:ascii="Arial" w:cs="Arial" w:eastAsia="Arial" w:hAnsi="Arial"/>
          <w:sz w:val="29"/>
          <w:szCs w:val="29"/>
          <w:b w:val="1"/>
          <w:bCs w:val="1"/>
          <w:color w:val="FF0000"/>
        </w:rPr>
        <w:t>Membership and Meetings of the Board and Its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109855</wp:posOffset>
            </wp:positionV>
            <wp:extent cx="72720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3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 2017, each director attended at least 80 percent of the total number of meetings of the board and the committees on which he or she served during his or her tenure as a board or committee member. In addition, all board members are expected to attend the annual meeting of shareholders, and all directors then serving attended the annual meeting in 2017. Current committee membership and the number of meetings of the board and each committee in 2017 are shown in the table below.</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0" w:type="dxa"/>
            <w:vAlign w:val="bottom"/>
          </w:tcPr>
          <w:p>
            <w:pPr>
              <w:spacing w:after="0"/>
              <w:rPr>
                <w:sz w:val="17"/>
                <w:szCs w:val="17"/>
                <w:color w:val="auto"/>
              </w:rPr>
            </w:pPr>
          </w:p>
        </w:tc>
        <w:tc>
          <w:tcPr>
            <w:tcW w:w="1180" w:type="dxa"/>
            <w:vAlign w:val="bottom"/>
            <w:tcBorders>
              <w:right w:val="single" w:sz="8" w:color="auto"/>
            </w:tcBorders>
          </w:tcPr>
          <w:p>
            <w:pPr>
              <w:spacing w:after="0"/>
              <w:rPr>
                <w:sz w:val="17"/>
                <w:szCs w:val="17"/>
                <w:color w:val="auto"/>
              </w:rPr>
            </w:pPr>
          </w:p>
        </w:tc>
        <w:tc>
          <w:tcPr>
            <w:tcW w:w="1380" w:type="dxa"/>
            <w:vAlign w:val="bottom"/>
            <w:tcBorders>
              <w:top w:val="single" w:sz="8" w:color="auto"/>
              <w:right w:val="single" w:sz="8" w:color="auto"/>
            </w:tcBorders>
            <w:shd w:val="clear" w:color="auto" w:fill="DDDDDD"/>
          </w:tcPr>
          <w:p>
            <w:pPr>
              <w:spacing w:after="0"/>
              <w:rPr>
                <w:sz w:val="17"/>
                <w:szCs w:val="17"/>
                <w:color w:val="auto"/>
              </w:rPr>
            </w:pPr>
          </w:p>
        </w:tc>
        <w:tc>
          <w:tcPr>
            <w:tcW w:w="420" w:type="dxa"/>
            <w:vAlign w:val="bottom"/>
            <w:tcBorders>
              <w:top w:val="single" w:sz="8" w:color="auto"/>
            </w:tcBorders>
            <w:shd w:val="clear" w:color="auto" w:fill="DDDDDD"/>
          </w:tcPr>
          <w:p>
            <w:pPr>
              <w:spacing w:after="0"/>
              <w:rPr>
                <w:sz w:val="17"/>
                <w:szCs w:val="17"/>
                <w:color w:val="auto"/>
              </w:rPr>
            </w:pPr>
          </w:p>
        </w:tc>
        <w:tc>
          <w:tcPr>
            <w:tcW w:w="560" w:type="dxa"/>
            <w:vAlign w:val="bottom"/>
            <w:tcBorders>
              <w:top w:val="single" w:sz="8" w:color="auto"/>
              <w:right w:val="single" w:sz="8" w:color="auto"/>
            </w:tcBorders>
            <w:shd w:val="clear" w:color="auto" w:fill="DDDDDD"/>
          </w:tcPr>
          <w:p>
            <w:pPr>
              <w:spacing w:after="0"/>
              <w:rPr>
                <w:sz w:val="17"/>
                <w:szCs w:val="17"/>
                <w:color w:val="auto"/>
              </w:rPr>
            </w:pPr>
          </w:p>
        </w:tc>
        <w:tc>
          <w:tcPr>
            <w:tcW w:w="760" w:type="dxa"/>
            <w:vAlign w:val="bottom"/>
            <w:tcBorders>
              <w:top w:val="single" w:sz="8" w:color="auto"/>
              <w:right w:val="single" w:sz="8" w:color="auto"/>
            </w:tcBorders>
            <w:shd w:val="clear" w:color="auto" w:fill="DDDDDD"/>
          </w:tcPr>
          <w:p>
            <w:pPr>
              <w:spacing w:after="0"/>
              <w:rPr>
                <w:sz w:val="17"/>
                <w:szCs w:val="17"/>
                <w:color w:val="auto"/>
              </w:rPr>
            </w:pPr>
          </w:p>
        </w:tc>
        <w:tc>
          <w:tcPr>
            <w:tcW w:w="1120" w:type="dxa"/>
            <w:vAlign w:val="bottom"/>
            <w:tcBorders>
              <w:top w:val="single" w:sz="8" w:color="auto"/>
              <w:right w:val="single" w:sz="8" w:color="auto"/>
            </w:tcBorders>
            <w:shd w:val="clear" w:color="auto" w:fill="DDDDDD"/>
          </w:tcPr>
          <w:p>
            <w:pPr>
              <w:spacing w:after="0"/>
              <w:rPr>
                <w:sz w:val="17"/>
                <w:szCs w:val="17"/>
                <w:color w:val="auto"/>
              </w:rPr>
            </w:pPr>
          </w:p>
        </w:tc>
        <w:tc>
          <w:tcPr>
            <w:tcW w:w="1320" w:type="dxa"/>
            <w:vAlign w:val="bottom"/>
            <w:tcBorders>
              <w:top w:val="single" w:sz="8" w:color="auto"/>
              <w:right w:val="single" w:sz="8" w:color="auto"/>
            </w:tcBorders>
            <w:shd w:val="clear" w:color="auto" w:fill="DDDDDD"/>
          </w:tcPr>
          <w:p>
            <w:pPr>
              <w:ind w:left="20"/>
              <w:spacing w:after="0"/>
              <w:rPr>
                <w:sz w:val="20"/>
                <w:szCs w:val="20"/>
                <w:color w:val="auto"/>
              </w:rPr>
            </w:pPr>
            <w:r>
              <w:rPr>
                <w:rFonts w:ascii="Arial" w:cs="Arial" w:eastAsia="Arial" w:hAnsi="Arial"/>
                <w:sz w:val="14"/>
                <w:szCs w:val="14"/>
                <w:b w:val="1"/>
                <w:bCs w:val="1"/>
                <w:color w:val="auto"/>
                <w:highlight w:val="lightGray"/>
              </w:rPr>
              <w:t>Directors and</w:t>
            </w:r>
          </w:p>
        </w:tc>
        <w:tc>
          <w:tcPr>
            <w:tcW w:w="1000" w:type="dxa"/>
            <w:vAlign w:val="bottom"/>
            <w:tcBorders>
              <w:top w:val="single" w:sz="8" w:color="auto"/>
              <w:right w:val="single" w:sz="8" w:color="auto"/>
            </w:tcBorders>
            <w:shd w:val="clear" w:color="auto" w:fill="DDDDDD"/>
          </w:tcPr>
          <w:p>
            <w:pPr>
              <w:spacing w:after="0"/>
              <w:rPr>
                <w:sz w:val="17"/>
                <w:szCs w:val="17"/>
                <w:color w:val="auto"/>
              </w:rPr>
            </w:pPr>
          </w:p>
        </w:tc>
        <w:tc>
          <w:tcPr>
            <w:tcW w:w="1040" w:type="dxa"/>
            <w:vAlign w:val="bottom"/>
            <w:tcBorders>
              <w:top w:val="single" w:sz="8" w:color="auto"/>
              <w:right w:val="single" w:sz="8" w:color="auto"/>
            </w:tcBorders>
            <w:gridSpan w:val="2"/>
            <w:shd w:val="clear" w:color="auto" w:fill="DDDDDD"/>
          </w:tcPr>
          <w:p>
            <w:pPr>
              <w:ind w:left="20"/>
              <w:spacing w:after="0"/>
              <w:rPr>
                <w:sz w:val="20"/>
                <w:szCs w:val="20"/>
                <w:color w:val="auto"/>
              </w:rPr>
            </w:pPr>
            <w:r>
              <w:rPr>
                <w:rFonts w:ascii="Arial" w:cs="Arial" w:eastAsia="Arial" w:hAnsi="Arial"/>
                <w:sz w:val="14"/>
                <w:szCs w:val="14"/>
                <w:b w:val="1"/>
                <w:bCs w:val="1"/>
                <w:color w:val="auto"/>
                <w:highlight w:val="lightGray"/>
              </w:rPr>
              <w:t>Public Policy</w:t>
            </w:r>
          </w:p>
        </w:tc>
        <w:tc>
          <w:tcPr>
            <w:tcW w:w="1000" w:type="dxa"/>
            <w:vAlign w:val="bottom"/>
            <w:tcBorders>
              <w:top w:val="single" w:sz="8" w:color="auto"/>
              <w:right w:val="single" w:sz="8" w:color="auto"/>
            </w:tcBorders>
            <w:shd w:val="clear" w:color="auto" w:fill="DDDDDD"/>
          </w:tcPr>
          <w:p>
            <w:pPr>
              <w:spacing w:after="0"/>
              <w:rPr>
                <w:sz w:val="17"/>
                <w:szCs w:val="17"/>
                <w:color w:val="auto"/>
              </w:rPr>
            </w:pPr>
          </w:p>
        </w:tc>
      </w:tr>
      <w:tr>
        <w:trPr>
          <w:trHeight w:val="162"/>
        </w:trPr>
        <w:tc>
          <w:tcPr>
            <w:tcW w:w="260" w:type="dxa"/>
            <w:vAlign w:val="bottom"/>
          </w:tcPr>
          <w:p>
            <w:pPr>
              <w:spacing w:after="0"/>
              <w:rPr>
                <w:sz w:val="14"/>
                <w:szCs w:val="14"/>
                <w:color w:val="auto"/>
              </w:rPr>
            </w:pPr>
          </w:p>
        </w:tc>
        <w:tc>
          <w:tcPr>
            <w:tcW w:w="1180" w:type="dxa"/>
            <w:vAlign w:val="bottom"/>
            <w:tcBorders>
              <w:right w:val="single" w:sz="8" w:color="auto"/>
            </w:tcBorders>
          </w:tcPr>
          <w:p>
            <w:pPr>
              <w:spacing w:after="0"/>
              <w:rPr>
                <w:sz w:val="14"/>
                <w:szCs w:val="14"/>
                <w:color w:val="auto"/>
              </w:rPr>
            </w:pPr>
          </w:p>
        </w:tc>
        <w:tc>
          <w:tcPr>
            <w:tcW w:w="1380" w:type="dxa"/>
            <w:vAlign w:val="bottom"/>
            <w:tcBorders>
              <w:right w:val="single" w:sz="8" w:color="auto"/>
            </w:tcBorders>
            <w:shd w:val="clear" w:color="auto" w:fill="DDDDDD"/>
          </w:tcPr>
          <w:p>
            <w:pPr>
              <w:spacing w:after="0"/>
              <w:rPr>
                <w:sz w:val="14"/>
                <w:szCs w:val="14"/>
                <w:color w:val="auto"/>
              </w:rPr>
            </w:pPr>
          </w:p>
        </w:tc>
        <w:tc>
          <w:tcPr>
            <w:tcW w:w="420" w:type="dxa"/>
            <w:vAlign w:val="bottom"/>
            <w:shd w:val="clear" w:color="auto" w:fill="DDDDDD"/>
          </w:tcPr>
          <w:p>
            <w:pPr>
              <w:spacing w:after="0"/>
              <w:rPr>
                <w:sz w:val="14"/>
                <w:szCs w:val="14"/>
                <w:color w:val="auto"/>
              </w:rPr>
            </w:pPr>
          </w:p>
        </w:tc>
        <w:tc>
          <w:tcPr>
            <w:tcW w:w="560" w:type="dxa"/>
            <w:vAlign w:val="bottom"/>
            <w:tcBorders>
              <w:right w:val="single" w:sz="8" w:color="auto"/>
            </w:tcBorders>
            <w:shd w:val="clear" w:color="auto" w:fill="DDDDDD"/>
          </w:tcPr>
          <w:p>
            <w:pPr>
              <w:spacing w:after="0"/>
              <w:rPr>
                <w:sz w:val="14"/>
                <w:szCs w:val="14"/>
                <w:color w:val="auto"/>
              </w:rPr>
            </w:pPr>
          </w:p>
        </w:tc>
        <w:tc>
          <w:tcPr>
            <w:tcW w:w="760" w:type="dxa"/>
            <w:vAlign w:val="bottom"/>
            <w:tcBorders>
              <w:right w:val="single" w:sz="8" w:color="auto"/>
            </w:tcBorders>
            <w:shd w:val="clear" w:color="auto" w:fill="DDDDDD"/>
          </w:tcPr>
          <w:p>
            <w:pPr>
              <w:spacing w:after="0"/>
              <w:rPr>
                <w:sz w:val="14"/>
                <w:szCs w:val="14"/>
                <w:color w:val="auto"/>
              </w:rPr>
            </w:pPr>
          </w:p>
        </w:tc>
        <w:tc>
          <w:tcPr>
            <w:tcW w:w="1120" w:type="dxa"/>
            <w:vAlign w:val="bottom"/>
            <w:tcBorders>
              <w:right w:val="single" w:sz="8" w:color="auto"/>
            </w:tcBorders>
            <w:shd w:val="clear" w:color="auto" w:fill="DDDDDD"/>
          </w:tcPr>
          <w:p>
            <w:pPr>
              <w:spacing w:after="0"/>
              <w:rPr>
                <w:sz w:val="14"/>
                <w:szCs w:val="14"/>
                <w:color w:val="auto"/>
              </w:rPr>
            </w:pPr>
          </w:p>
        </w:tc>
        <w:tc>
          <w:tcPr>
            <w:tcW w:w="1320" w:type="dxa"/>
            <w:vAlign w:val="bottom"/>
            <w:tcBorders>
              <w:right w:val="single" w:sz="8" w:color="auto"/>
            </w:tcBorders>
            <w:shd w:val="clear" w:color="auto" w:fill="DDDDDD"/>
          </w:tcPr>
          <w:p>
            <w:pPr>
              <w:ind w:left="20"/>
              <w:spacing w:after="0"/>
              <w:rPr>
                <w:sz w:val="20"/>
                <w:szCs w:val="20"/>
                <w:color w:val="auto"/>
              </w:rPr>
            </w:pPr>
            <w:r>
              <w:rPr>
                <w:rFonts w:ascii="Arial" w:cs="Arial" w:eastAsia="Arial" w:hAnsi="Arial"/>
                <w:sz w:val="14"/>
                <w:szCs w:val="14"/>
                <w:b w:val="1"/>
                <w:bCs w:val="1"/>
                <w:color w:val="auto"/>
                <w:highlight w:val="lightGray"/>
              </w:rPr>
              <w:t>Corporate</w:t>
            </w:r>
          </w:p>
        </w:tc>
        <w:tc>
          <w:tcPr>
            <w:tcW w:w="1000" w:type="dxa"/>
            <w:vAlign w:val="bottom"/>
            <w:tcBorders>
              <w:right w:val="single" w:sz="8" w:color="auto"/>
            </w:tcBorders>
            <w:shd w:val="clear" w:color="auto" w:fill="DDDDDD"/>
          </w:tcPr>
          <w:p>
            <w:pPr>
              <w:spacing w:after="0"/>
              <w:rPr>
                <w:sz w:val="14"/>
                <w:szCs w:val="14"/>
                <w:color w:val="auto"/>
              </w:rPr>
            </w:pPr>
          </w:p>
        </w:tc>
        <w:tc>
          <w:tcPr>
            <w:tcW w:w="300" w:type="dxa"/>
            <w:vAlign w:val="bottom"/>
            <w:shd w:val="clear" w:color="auto" w:fill="DDDDDD"/>
          </w:tcPr>
          <w:p>
            <w:pPr>
              <w:ind w:left="20"/>
              <w:spacing w:after="0"/>
              <w:rPr>
                <w:sz w:val="20"/>
                <w:szCs w:val="20"/>
                <w:color w:val="auto"/>
              </w:rPr>
            </w:pPr>
            <w:r>
              <w:rPr>
                <w:rFonts w:ascii="Arial" w:cs="Arial" w:eastAsia="Arial" w:hAnsi="Arial"/>
                <w:sz w:val="14"/>
                <w:szCs w:val="14"/>
                <w:b w:val="1"/>
                <w:bCs w:val="1"/>
                <w:color w:val="auto"/>
                <w:highlight w:val="lightGray"/>
              </w:rPr>
              <w:t>and</w:t>
            </w:r>
          </w:p>
        </w:tc>
        <w:tc>
          <w:tcPr>
            <w:tcW w:w="740" w:type="dxa"/>
            <w:vAlign w:val="bottom"/>
            <w:tcBorders>
              <w:right w:val="single" w:sz="8" w:color="auto"/>
            </w:tcBorders>
            <w:shd w:val="clear" w:color="auto" w:fill="DDDDDD"/>
          </w:tcPr>
          <w:p>
            <w:pPr>
              <w:spacing w:after="0"/>
              <w:rPr>
                <w:sz w:val="14"/>
                <w:szCs w:val="14"/>
                <w:color w:val="auto"/>
              </w:rPr>
            </w:pPr>
          </w:p>
        </w:tc>
        <w:tc>
          <w:tcPr>
            <w:tcW w:w="1000" w:type="dxa"/>
            <w:vAlign w:val="bottom"/>
            <w:tcBorders>
              <w:right w:val="single" w:sz="8" w:color="auto"/>
            </w:tcBorders>
            <w:shd w:val="clear" w:color="auto" w:fill="DDDDDD"/>
          </w:tcPr>
          <w:p>
            <w:pPr>
              <w:ind w:left="40"/>
              <w:spacing w:after="0"/>
              <w:rPr>
                <w:sz w:val="20"/>
                <w:szCs w:val="20"/>
                <w:color w:val="auto"/>
              </w:rPr>
            </w:pPr>
            <w:r>
              <w:rPr>
                <w:rFonts w:ascii="Arial" w:cs="Arial" w:eastAsia="Arial" w:hAnsi="Arial"/>
                <w:sz w:val="14"/>
                <w:szCs w:val="14"/>
                <w:b w:val="1"/>
                <w:bCs w:val="1"/>
                <w:color w:val="auto"/>
                <w:highlight w:val="lightGray"/>
              </w:rPr>
              <w:t>Science and</w:t>
            </w:r>
          </w:p>
        </w:tc>
      </w:tr>
      <w:tr>
        <w:trPr>
          <w:trHeight w:val="194"/>
        </w:trPr>
        <w:tc>
          <w:tcPr>
            <w:tcW w:w="260" w:type="dxa"/>
            <w:vAlign w:val="bottom"/>
          </w:tcPr>
          <w:p>
            <w:pPr>
              <w:spacing w:after="0"/>
              <w:rPr>
                <w:sz w:val="16"/>
                <w:szCs w:val="16"/>
                <w:color w:val="auto"/>
              </w:rPr>
            </w:pPr>
          </w:p>
        </w:tc>
        <w:tc>
          <w:tcPr>
            <w:tcW w:w="1180" w:type="dxa"/>
            <w:vAlign w:val="bottom"/>
            <w:tcBorders>
              <w:right w:val="single" w:sz="8" w:color="auto"/>
            </w:tcBorders>
          </w:tcPr>
          <w:p>
            <w:pPr>
              <w:spacing w:after="0"/>
              <w:rPr>
                <w:sz w:val="16"/>
                <w:szCs w:val="16"/>
                <w:color w:val="auto"/>
              </w:rPr>
            </w:pPr>
          </w:p>
        </w:tc>
        <w:tc>
          <w:tcPr>
            <w:tcW w:w="1380" w:type="dxa"/>
            <w:vAlign w:val="bottom"/>
            <w:tcBorders>
              <w:bottom w:val="single" w:sz="8" w:color="DDDDDD"/>
              <w:right w:val="single" w:sz="8" w:color="auto"/>
            </w:tcBorders>
            <w:shd w:val="clear" w:color="auto" w:fill="DDDDDD"/>
          </w:tcPr>
          <w:p>
            <w:pPr>
              <w:ind w:left="20"/>
              <w:spacing w:after="0"/>
              <w:rPr>
                <w:sz w:val="20"/>
                <w:szCs w:val="20"/>
                <w:color w:val="auto"/>
              </w:rPr>
            </w:pPr>
            <w:r>
              <w:rPr>
                <w:rFonts w:ascii="Arial" w:cs="Arial" w:eastAsia="Arial" w:hAnsi="Arial"/>
                <w:sz w:val="14"/>
                <w:szCs w:val="14"/>
                <w:b w:val="1"/>
                <w:bCs w:val="1"/>
                <w:color w:val="auto"/>
                <w:highlight w:val="lightGray"/>
              </w:rPr>
              <w:t>Name</w:t>
            </w:r>
          </w:p>
        </w:tc>
        <w:tc>
          <w:tcPr>
            <w:tcW w:w="42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4"/>
                <w:szCs w:val="14"/>
                <w:b w:val="1"/>
                <w:bCs w:val="1"/>
                <w:color w:val="auto"/>
                <w:highlight w:val="lightGray"/>
                <w:w w:val="93"/>
              </w:rPr>
              <w:t>Board</w:t>
            </w:r>
          </w:p>
        </w:tc>
        <w:tc>
          <w:tcPr>
            <w:tcW w:w="560" w:type="dxa"/>
            <w:vAlign w:val="bottom"/>
            <w:tcBorders>
              <w:bottom w:val="single" w:sz="8" w:color="DDDDDD"/>
              <w:right w:val="single" w:sz="8" w:color="auto"/>
            </w:tcBorders>
            <w:shd w:val="clear" w:color="auto" w:fill="DDDDDD"/>
          </w:tcPr>
          <w:p>
            <w:pPr>
              <w:spacing w:after="0"/>
              <w:rPr>
                <w:sz w:val="16"/>
                <w:szCs w:val="16"/>
                <w:color w:val="auto"/>
              </w:rPr>
            </w:pPr>
          </w:p>
        </w:tc>
        <w:tc>
          <w:tcPr>
            <w:tcW w:w="760" w:type="dxa"/>
            <w:vAlign w:val="bottom"/>
            <w:tcBorders>
              <w:bottom w:val="single" w:sz="8" w:color="DDDDDD"/>
              <w:right w:val="single" w:sz="8" w:color="auto"/>
            </w:tcBorders>
            <w:shd w:val="clear" w:color="auto" w:fill="DDDDDD"/>
          </w:tcPr>
          <w:p>
            <w:pPr>
              <w:ind w:left="20"/>
              <w:spacing w:after="0"/>
              <w:rPr>
                <w:sz w:val="20"/>
                <w:szCs w:val="20"/>
                <w:color w:val="auto"/>
              </w:rPr>
            </w:pPr>
            <w:r>
              <w:rPr>
                <w:rFonts w:ascii="Arial" w:cs="Arial" w:eastAsia="Arial" w:hAnsi="Arial"/>
                <w:sz w:val="14"/>
                <w:szCs w:val="14"/>
                <w:b w:val="1"/>
                <w:bCs w:val="1"/>
                <w:color w:val="auto"/>
                <w:highlight w:val="lightGray"/>
              </w:rPr>
              <w:t>Audit</w:t>
            </w:r>
          </w:p>
        </w:tc>
        <w:tc>
          <w:tcPr>
            <w:tcW w:w="1120" w:type="dxa"/>
            <w:vAlign w:val="bottom"/>
            <w:tcBorders>
              <w:bottom w:val="single" w:sz="8" w:color="DDDDDD"/>
              <w:right w:val="single" w:sz="8" w:color="auto"/>
            </w:tcBorders>
            <w:shd w:val="clear" w:color="auto" w:fill="DDDDDD"/>
          </w:tcPr>
          <w:p>
            <w:pPr>
              <w:ind w:left="20"/>
              <w:spacing w:after="0"/>
              <w:rPr>
                <w:sz w:val="20"/>
                <w:szCs w:val="20"/>
                <w:color w:val="auto"/>
              </w:rPr>
            </w:pPr>
            <w:r>
              <w:rPr>
                <w:rFonts w:ascii="Arial" w:cs="Arial" w:eastAsia="Arial" w:hAnsi="Arial"/>
                <w:sz w:val="14"/>
                <w:szCs w:val="14"/>
                <w:b w:val="1"/>
                <w:bCs w:val="1"/>
                <w:color w:val="auto"/>
                <w:highlight w:val="lightGray"/>
              </w:rPr>
              <w:t>Compensation</w:t>
            </w:r>
          </w:p>
        </w:tc>
        <w:tc>
          <w:tcPr>
            <w:tcW w:w="1320" w:type="dxa"/>
            <w:vAlign w:val="bottom"/>
            <w:tcBorders>
              <w:bottom w:val="single" w:sz="8" w:color="DDDDDD"/>
              <w:right w:val="single" w:sz="8" w:color="auto"/>
            </w:tcBorders>
            <w:shd w:val="clear" w:color="auto" w:fill="DDDDDD"/>
          </w:tcPr>
          <w:p>
            <w:pPr>
              <w:ind w:left="20"/>
              <w:spacing w:after="0"/>
              <w:rPr>
                <w:sz w:val="20"/>
                <w:szCs w:val="20"/>
                <w:color w:val="auto"/>
              </w:rPr>
            </w:pPr>
            <w:r>
              <w:rPr>
                <w:rFonts w:ascii="Arial" w:cs="Arial" w:eastAsia="Arial" w:hAnsi="Arial"/>
                <w:sz w:val="14"/>
                <w:szCs w:val="14"/>
                <w:b w:val="1"/>
                <w:bCs w:val="1"/>
                <w:color w:val="auto"/>
                <w:highlight w:val="lightGray"/>
              </w:rPr>
              <w:t>Governance</w:t>
            </w:r>
          </w:p>
        </w:tc>
        <w:tc>
          <w:tcPr>
            <w:tcW w:w="1000" w:type="dxa"/>
            <w:vAlign w:val="bottom"/>
            <w:tcBorders>
              <w:bottom w:val="single" w:sz="8" w:color="DDDDDD"/>
              <w:right w:val="single" w:sz="8" w:color="auto"/>
            </w:tcBorders>
            <w:shd w:val="clear" w:color="auto" w:fill="DDDDDD"/>
          </w:tcPr>
          <w:p>
            <w:pPr>
              <w:ind w:left="20"/>
              <w:spacing w:after="0"/>
              <w:rPr>
                <w:sz w:val="20"/>
                <w:szCs w:val="20"/>
                <w:color w:val="auto"/>
              </w:rPr>
            </w:pPr>
            <w:r>
              <w:rPr>
                <w:rFonts w:ascii="Arial" w:cs="Arial" w:eastAsia="Arial" w:hAnsi="Arial"/>
                <w:sz w:val="14"/>
                <w:szCs w:val="14"/>
                <w:b w:val="1"/>
                <w:bCs w:val="1"/>
                <w:color w:val="auto"/>
                <w:highlight w:val="lightGray"/>
              </w:rPr>
              <w:t>Finance</w:t>
            </w:r>
          </w:p>
        </w:tc>
        <w:tc>
          <w:tcPr>
            <w:tcW w:w="1040" w:type="dxa"/>
            <w:vAlign w:val="bottom"/>
            <w:tcBorders>
              <w:bottom w:val="single" w:sz="8" w:color="DDDDDD"/>
              <w:right w:val="single" w:sz="8" w:color="auto"/>
            </w:tcBorders>
            <w:gridSpan w:val="2"/>
            <w:shd w:val="clear" w:color="auto" w:fill="DDDDDD"/>
          </w:tcPr>
          <w:p>
            <w:pPr>
              <w:ind w:left="20"/>
              <w:spacing w:after="0"/>
              <w:rPr>
                <w:sz w:val="20"/>
                <w:szCs w:val="20"/>
                <w:color w:val="auto"/>
              </w:rPr>
            </w:pPr>
            <w:r>
              <w:rPr>
                <w:rFonts w:ascii="Arial" w:cs="Arial" w:eastAsia="Arial" w:hAnsi="Arial"/>
                <w:sz w:val="14"/>
                <w:szCs w:val="14"/>
                <w:b w:val="1"/>
                <w:bCs w:val="1"/>
                <w:color w:val="auto"/>
                <w:highlight w:val="lightGray"/>
              </w:rPr>
              <w:t>Compliance</w:t>
            </w:r>
          </w:p>
        </w:tc>
        <w:tc>
          <w:tcPr>
            <w:tcW w:w="1000" w:type="dxa"/>
            <w:vAlign w:val="bottom"/>
            <w:tcBorders>
              <w:bottom w:val="single" w:sz="8" w:color="DDDDDD"/>
              <w:right w:val="single" w:sz="8" w:color="auto"/>
            </w:tcBorders>
            <w:shd w:val="clear" w:color="auto" w:fill="DDDDDD"/>
          </w:tcPr>
          <w:p>
            <w:pPr>
              <w:ind w:left="40"/>
              <w:spacing w:after="0"/>
              <w:rPr>
                <w:sz w:val="20"/>
                <w:szCs w:val="20"/>
                <w:color w:val="auto"/>
              </w:rPr>
            </w:pPr>
            <w:r>
              <w:rPr>
                <w:rFonts w:ascii="Arial" w:cs="Arial" w:eastAsia="Arial" w:hAnsi="Arial"/>
                <w:sz w:val="14"/>
                <w:szCs w:val="14"/>
                <w:b w:val="1"/>
                <w:bCs w:val="1"/>
                <w:color w:val="auto"/>
                <w:highlight w:val="lightGray"/>
              </w:rPr>
              <w:t>Technology</w:t>
            </w:r>
          </w:p>
        </w:tc>
      </w:tr>
      <w:tr>
        <w:trPr>
          <w:trHeight w:val="258"/>
        </w:trPr>
        <w:tc>
          <w:tcPr>
            <w:tcW w:w="260" w:type="dxa"/>
            <w:vAlign w:val="bottom"/>
          </w:tcPr>
          <w:p>
            <w:pPr>
              <w:spacing w:after="0"/>
              <w:rPr>
                <w:sz w:val="22"/>
                <w:szCs w:val="22"/>
                <w:color w:val="auto"/>
              </w:rPr>
            </w:pPr>
          </w:p>
        </w:tc>
        <w:tc>
          <w:tcPr>
            <w:tcW w:w="1180" w:type="dxa"/>
            <w:vAlign w:val="bottom"/>
            <w:tcBorders>
              <w:right w:val="single" w:sz="8" w:color="auto"/>
            </w:tcBorders>
          </w:tcPr>
          <w:p>
            <w:pPr>
              <w:spacing w:after="0"/>
              <w:rPr>
                <w:sz w:val="22"/>
                <w:szCs w:val="22"/>
                <w:color w:val="auto"/>
              </w:rPr>
            </w:pPr>
          </w:p>
        </w:tc>
        <w:tc>
          <w:tcPr>
            <w:tcW w:w="138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color w:val="auto"/>
              </w:rPr>
              <w:t>Mr. Alvarez</w:t>
            </w:r>
          </w:p>
        </w:tc>
        <w:tc>
          <w:tcPr>
            <w:tcW w:w="420" w:type="dxa"/>
            <w:vAlign w:val="bottom"/>
            <w:tcBorders>
              <w:top w:val="single" w:sz="8" w:color="auto"/>
              <w:bottom w:val="single" w:sz="8" w:color="auto"/>
            </w:tcBorders>
          </w:tcPr>
          <w:p>
            <w:pPr>
              <w:spacing w:after="0"/>
              <w:rPr>
                <w:sz w:val="22"/>
                <w:szCs w:val="22"/>
                <w:color w:val="auto"/>
              </w:rPr>
            </w:pPr>
          </w:p>
        </w:tc>
        <w:tc>
          <w:tcPr>
            <w:tcW w:w="560" w:type="dxa"/>
            <w:vAlign w:val="bottom"/>
            <w:tcBorders>
              <w:top w:val="single" w:sz="8" w:color="auto"/>
              <w:bottom w:val="single" w:sz="8" w:color="auto"/>
              <w:right w:val="single" w:sz="8" w:color="auto"/>
            </w:tcBorders>
          </w:tcPr>
          <w:p>
            <w:pPr>
              <w:jc w:val="right"/>
              <w:ind w:right="405"/>
              <w:spacing w:after="0"/>
              <w:rPr>
                <w:sz w:val="20"/>
                <w:szCs w:val="20"/>
                <w:color w:val="auto"/>
              </w:rPr>
            </w:pPr>
            <w:r>
              <w:rPr>
                <w:rFonts w:ascii="Arial" w:cs="Arial" w:eastAsia="Arial" w:hAnsi="Arial"/>
                <w:sz w:val="15"/>
                <w:szCs w:val="15"/>
                <w:color w:val="auto"/>
                <w:w w:val="71"/>
              </w:rPr>
              <w:t>ü</w:t>
            </w:r>
          </w:p>
        </w:tc>
        <w:tc>
          <w:tcPr>
            <w:tcW w:w="760" w:type="dxa"/>
            <w:vAlign w:val="bottom"/>
            <w:tcBorders>
              <w:top w:val="single" w:sz="8" w:color="auto"/>
              <w:bottom w:val="single" w:sz="8" w:color="auto"/>
              <w:right w:val="single" w:sz="8" w:color="auto"/>
            </w:tcBorders>
          </w:tcPr>
          <w:p>
            <w:pPr>
              <w:spacing w:after="0"/>
              <w:rPr>
                <w:sz w:val="22"/>
                <w:szCs w:val="22"/>
                <w:color w:val="auto"/>
              </w:rPr>
            </w:pPr>
          </w:p>
        </w:tc>
        <w:tc>
          <w:tcPr>
            <w:tcW w:w="1120" w:type="dxa"/>
            <w:vAlign w:val="bottom"/>
            <w:tcBorders>
              <w:top w:val="single" w:sz="8" w:color="auto"/>
              <w:bottom w:val="single" w:sz="8" w:color="auto"/>
              <w:right w:val="single" w:sz="8" w:color="auto"/>
            </w:tcBorders>
          </w:tcPr>
          <w:p>
            <w:pPr>
              <w:ind w:left="480"/>
              <w:spacing w:after="0"/>
              <w:rPr>
                <w:sz w:val="20"/>
                <w:szCs w:val="20"/>
                <w:color w:val="auto"/>
              </w:rPr>
            </w:pPr>
            <w:r>
              <w:rPr>
                <w:rFonts w:ascii="Arial" w:cs="Arial" w:eastAsia="Arial" w:hAnsi="Arial"/>
                <w:sz w:val="16"/>
                <w:szCs w:val="16"/>
                <w:b w:val="1"/>
                <w:bCs w:val="1"/>
                <w:color w:val="EE2724"/>
              </w:rPr>
              <w:t>C</w:t>
            </w:r>
          </w:p>
        </w:tc>
        <w:tc>
          <w:tcPr>
            <w:tcW w:w="1320" w:type="dxa"/>
            <w:vAlign w:val="bottom"/>
            <w:tcBorders>
              <w:top w:val="single" w:sz="8" w:color="auto"/>
              <w:bottom w:val="single" w:sz="8" w:color="auto"/>
              <w:right w:val="single" w:sz="8" w:color="auto"/>
            </w:tcBorders>
          </w:tcPr>
          <w:p>
            <w:pPr>
              <w:spacing w:after="0"/>
              <w:rPr>
                <w:sz w:val="22"/>
                <w:szCs w:val="22"/>
                <w:color w:val="auto"/>
              </w:rPr>
            </w:pPr>
          </w:p>
        </w:tc>
        <w:tc>
          <w:tcPr>
            <w:tcW w:w="1000" w:type="dxa"/>
            <w:vAlign w:val="bottom"/>
            <w:tcBorders>
              <w:top w:val="single" w:sz="8" w:color="auto"/>
              <w:bottom w:val="single" w:sz="8" w:color="auto"/>
              <w:right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right w:val="single" w:sz="8" w:color="auto"/>
            </w:tcBorders>
          </w:tcPr>
          <w:p>
            <w:pPr>
              <w:spacing w:after="0"/>
              <w:rPr>
                <w:sz w:val="22"/>
                <w:szCs w:val="22"/>
                <w:color w:val="auto"/>
              </w:rPr>
            </w:pPr>
          </w:p>
        </w:tc>
        <w:tc>
          <w:tcPr>
            <w:tcW w:w="1000" w:type="dxa"/>
            <w:vAlign w:val="bottom"/>
            <w:tcBorders>
              <w:top w:val="single" w:sz="8" w:color="auto"/>
              <w:bottom w:val="single" w:sz="8" w:color="auto"/>
              <w:right w:val="single" w:sz="8" w:color="auto"/>
            </w:tcBorders>
          </w:tcPr>
          <w:p>
            <w:pPr>
              <w:ind w:left="440"/>
              <w:spacing w:after="0"/>
              <w:rPr>
                <w:sz w:val="20"/>
                <w:szCs w:val="20"/>
                <w:color w:val="auto"/>
              </w:rPr>
            </w:pPr>
            <w:r>
              <w:rPr>
                <w:rFonts w:ascii="Arial" w:cs="Arial" w:eastAsia="Arial" w:hAnsi="Arial"/>
                <w:sz w:val="18"/>
                <w:szCs w:val="18"/>
                <w:color w:val="auto"/>
              </w:rPr>
              <w:t>ü</w:t>
            </w:r>
          </w:p>
        </w:tc>
      </w:tr>
      <w:tr>
        <w:trPr>
          <w:trHeight w:val="264"/>
        </w:trPr>
        <w:tc>
          <w:tcPr>
            <w:tcW w:w="260" w:type="dxa"/>
            <w:vAlign w:val="bottom"/>
          </w:tcPr>
          <w:p>
            <w:pPr>
              <w:spacing w:after="0"/>
              <w:rPr>
                <w:sz w:val="22"/>
                <w:szCs w:val="22"/>
                <w:color w:val="auto"/>
              </w:rPr>
            </w:pPr>
          </w:p>
        </w:tc>
        <w:tc>
          <w:tcPr>
            <w:tcW w:w="1180" w:type="dxa"/>
            <w:vAlign w:val="bottom"/>
            <w:tcBorders>
              <w:right w:val="single" w:sz="8" w:color="auto"/>
            </w:tcBorders>
          </w:tcPr>
          <w:p>
            <w:pPr>
              <w:spacing w:after="0"/>
              <w:rPr>
                <w:sz w:val="22"/>
                <w:szCs w:val="22"/>
                <w:color w:val="auto"/>
              </w:rPr>
            </w:pP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Dr. Baicker</w:t>
            </w:r>
          </w:p>
        </w:tc>
        <w:tc>
          <w:tcPr>
            <w:tcW w:w="420" w:type="dxa"/>
            <w:vAlign w:val="bottom"/>
            <w:tcBorders>
              <w:bottom w:val="single" w:sz="8" w:color="auto"/>
            </w:tcBorders>
          </w:tcPr>
          <w:p>
            <w:pPr>
              <w:spacing w:after="0"/>
              <w:rPr>
                <w:sz w:val="22"/>
                <w:szCs w:val="22"/>
                <w:color w:val="auto"/>
              </w:rPr>
            </w:pPr>
          </w:p>
        </w:tc>
        <w:tc>
          <w:tcPr>
            <w:tcW w:w="560" w:type="dxa"/>
            <w:vAlign w:val="bottom"/>
            <w:tcBorders>
              <w:bottom w:val="single" w:sz="8" w:color="auto"/>
              <w:right w:val="single" w:sz="8" w:color="auto"/>
            </w:tcBorders>
          </w:tcPr>
          <w:p>
            <w:pPr>
              <w:jc w:val="right"/>
              <w:ind w:right="405"/>
              <w:spacing w:after="0"/>
              <w:rPr>
                <w:sz w:val="20"/>
                <w:szCs w:val="20"/>
                <w:color w:val="auto"/>
              </w:rPr>
            </w:pPr>
            <w:r>
              <w:rPr>
                <w:rFonts w:ascii="Arial" w:cs="Arial" w:eastAsia="Arial" w:hAnsi="Arial"/>
                <w:sz w:val="15"/>
                <w:szCs w:val="15"/>
                <w:color w:val="auto"/>
                <w:w w:val="71"/>
              </w:rPr>
              <w:t>ü</w:t>
            </w:r>
          </w:p>
        </w:tc>
        <w:tc>
          <w:tcPr>
            <w:tcW w:w="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1120" w:type="dxa"/>
            <w:vAlign w:val="bottom"/>
            <w:tcBorders>
              <w:bottom w:val="single" w:sz="8" w:color="auto"/>
              <w:right w:val="single" w:sz="8" w:color="auto"/>
            </w:tcBorders>
          </w:tcPr>
          <w:p>
            <w:pPr>
              <w:spacing w:after="0"/>
              <w:rPr>
                <w:sz w:val="22"/>
                <w:szCs w:val="22"/>
                <w:color w:val="auto"/>
              </w:rPr>
            </w:pPr>
          </w:p>
        </w:tc>
        <w:tc>
          <w:tcPr>
            <w:tcW w:w="1320" w:type="dxa"/>
            <w:vAlign w:val="bottom"/>
            <w:tcBorders>
              <w:bottom w:val="single" w:sz="8" w:color="auto"/>
              <w:right w:val="single" w:sz="8" w:color="auto"/>
            </w:tcBorders>
          </w:tcPr>
          <w:p>
            <w:pPr>
              <w:spacing w:after="0"/>
              <w:rPr>
                <w:sz w:val="22"/>
                <w:szCs w:val="22"/>
                <w:color w:val="auto"/>
              </w:rPr>
            </w:pPr>
          </w:p>
        </w:tc>
        <w:tc>
          <w:tcPr>
            <w:tcW w:w="1000" w:type="dxa"/>
            <w:vAlign w:val="bottom"/>
            <w:tcBorders>
              <w:bottom w:val="single" w:sz="8" w:color="auto"/>
              <w:right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ü</w:t>
            </w:r>
          </w:p>
        </w:tc>
        <w:tc>
          <w:tcPr>
            <w:tcW w:w="1000" w:type="dxa"/>
            <w:vAlign w:val="bottom"/>
            <w:tcBorders>
              <w:bottom w:val="single" w:sz="8" w:color="auto"/>
              <w:right w:val="single" w:sz="8" w:color="auto"/>
            </w:tcBorders>
          </w:tcPr>
          <w:p>
            <w:pPr>
              <w:spacing w:after="0"/>
              <w:rPr>
                <w:sz w:val="22"/>
                <w:szCs w:val="22"/>
                <w:color w:val="auto"/>
              </w:rPr>
            </w:pPr>
          </w:p>
        </w:tc>
      </w:tr>
      <w:tr>
        <w:trPr>
          <w:trHeight w:val="264"/>
        </w:trPr>
        <w:tc>
          <w:tcPr>
            <w:tcW w:w="260" w:type="dxa"/>
            <w:vAlign w:val="bottom"/>
          </w:tcPr>
          <w:p>
            <w:pPr>
              <w:spacing w:after="0"/>
              <w:rPr>
                <w:sz w:val="22"/>
                <w:szCs w:val="22"/>
                <w:color w:val="auto"/>
              </w:rPr>
            </w:pPr>
          </w:p>
        </w:tc>
        <w:tc>
          <w:tcPr>
            <w:tcW w:w="1180" w:type="dxa"/>
            <w:vAlign w:val="bottom"/>
            <w:tcBorders>
              <w:right w:val="single" w:sz="8" w:color="auto"/>
            </w:tcBorders>
          </w:tcPr>
          <w:p>
            <w:pPr>
              <w:spacing w:after="0"/>
              <w:rPr>
                <w:sz w:val="22"/>
                <w:szCs w:val="22"/>
                <w:color w:val="auto"/>
              </w:rPr>
            </w:pP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Dr. Bertozzi</w:t>
            </w:r>
          </w:p>
        </w:tc>
        <w:tc>
          <w:tcPr>
            <w:tcW w:w="420" w:type="dxa"/>
            <w:vAlign w:val="bottom"/>
            <w:tcBorders>
              <w:bottom w:val="single" w:sz="8" w:color="auto"/>
            </w:tcBorders>
          </w:tcPr>
          <w:p>
            <w:pPr>
              <w:spacing w:after="0"/>
              <w:rPr>
                <w:sz w:val="22"/>
                <w:szCs w:val="22"/>
                <w:color w:val="auto"/>
              </w:rPr>
            </w:pPr>
          </w:p>
        </w:tc>
        <w:tc>
          <w:tcPr>
            <w:tcW w:w="560" w:type="dxa"/>
            <w:vAlign w:val="bottom"/>
            <w:tcBorders>
              <w:bottom w:val="single" w:sz="8" w:color="auto"/>
              <w:right w:val="single" w:sz="8" w:color="auto"/>
            </w:tcBorders>
          </w:tcPr>
          <w:p>
            <w:pPr>
              <w:jc w:val="right"/>
              <w:ind w:right="405"/>
              <w:spacing w:after="0"/>
              <w:rPr>
                <w:sz w:val="20"/>
                <w:szCs w:val="20"/>
                <w:color w:val="auto"/>
              </w:rPr>
            </w:pPr>
            <w:r>
              <w:rPr>
                <w:rFonts w:ascii="Arial" w:cs="Arial" w:eastAsia="Arial" w:hAnsi="Arial"/>
                <w:sz w:val="15"/>
                <w:szCs w:val="15"/>
                <w:color w:val="auto"/>
                <w:w w:val="71"/>
              </w:rPr>
              <w:t>ü</w:t>
            </w:r>
          </w:p>
        </w:tc>
        <w:tc>
          <w:tcPr>
            <w:tcW w:w="760" w:type="dxa"/>
            <w:vAlign w:val="bottom"/>
            <w:tcBorders>
              <w:bottom w:val="single" w:sz="8" w:color="auto"/>
              <w:right w:val="single" w:sz="8" w:color="auto"/>
            </w:tcBorders>
          </w:tcPr>
          <w:p>
            <w:pPr>
              <w:spacing w:after="0"/>
              <w:rPr>
                <w:sz w:val="22"/>
                <w:szCs w:val="22"/>
                <w:color w:val="auto"/>
              </w:rPr>
            </w:pPr>
          </w:p>
        </w:tc>
        <w:tc>
          <w:tcPr>
            <w:tcW w:w="1120" w:type="dxa"/>
            <w:vAlign w:val="bottom"/>
            <w:tcBorders>
              <w:bottom w:val="single" w:sz="8" w:color="auto"/>
              <w:right w:val="single" w:sz="8" w:color="auto"/>
            </w:tcBorders>
          </w:tcPr>
          <w:p>
            <w:pPr>
              <w:spacing w:after="0"/>
              <w:rPr>
                <w:sz w:val="22"/>
                <w:szCs w:val="22"/>
                <w:color w:val="auto"/>
              </w:rPr>
            </w:pPr>
          </w:p>
        </w:tc>
        <w:tc>
          <w:tcPr>
            <w:tcW w:w="1320" w:type="dxa"/>
            <w:vAlign w:val="bottom"/>
            <w:tcBorders>
              <w:bottom w:val="single" w:sz="8" w:color="auto"/>
              <w:right w:val="single" w:sz="8" w:color="auto"/>
            </w:tcBorders>
          </w:tcPr>
          <w:p>
            <w:pPr>
              <w:spacing w:after="0"/>
              <w:rPr>
                <w:sz w:val="22"/>
                <w:szCs w:val="22"/>
                <w:color w:val="auto"/>
              </w:rPr>
            </w:pPr>
          </w:p>
        </w:tc>
        <w:tc>
          <w:tcPr>
            <w:tcW w:w="1000" w:type="dxa"/>
            <w:vAlign w:val="bottom"/>
            <w:tcBorders>
              <w:bottom w:val="single" w:sz="8" w:color="auto"/>
              <w:right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ü</w:t>
            </w:r>
          </w:p>
        </w:tc>
        <w:tc>
          <w:tcPr>
            <w:tcW w:w="1000" w:type="dxa"/>
            <w:vAlign w:val="bottom"/>
            <w:tcBorders>
              <w:bottom w:val="single" w:sz="8" w:color="auto"/>
              <w:right w:val="single" w:sz="8" w:color="auto"/>
            </w:tcBorders>
          </w:tcPr>
          <w:p>
            <w:pPr>
              <w:ind w:left="440"/>
              <w:spacing w:after="0"/>
              <w:rPr>
                <w:sz w:val="20"/>
                <w:szCs w:val="20"/>
                <w:color w:val="auto"/>
              </w:rPr>
            </w:pPr>
            <w:r>
              <w:rPr>
                <w:rFonts w:ascii="Arial" w:cs="Arial" w:eastAsia="Arial" w:hAnsi="Arial"/>
                <w:sz w:val="18"/>
                <w:szCs w:val="18"/>
                <w:color w:val="auto"/>
              </w:rPr>
              <w:t>ü</w:t>
            </w:r>
          </w:p>
        </w:tc>
      </w:tr>
      <w:tr>
        <w:trPr>
          <w:trHeight w:val="264"/>
        </w:trPr>
        <w:tc>
          <w:tcPr>
            <w:tcW w:w="260" w:type="dxa"/>
            <w:vAlign w:val="bottom"/>
          </w:tcPr>
          <w:p>
            <w:pPr>
              <w:spacing w:after="0"/>
              <w:rPr>
                <w:sz w:val="22"/>
                <w:szCs w:val="22"/>
                <w:color w:val="auto"/>
              </w:rPr>
            </w:pPr>
          </w:p>
        </w:tc>
        <w:tc>
          <w:tcPr>
            <w:tcW w:w="1180" w:type="dxa"/>
            <w:vAlign w:val="bottom"/>
            <w:tcBorders>
              <w:right w:val="single" w:sz="8" w:color="auto"/>
            </w:tcBorders>
          </w:tcPr>
          <w:p>
            <w:pPr>
              <w:spacing w:after="0"/>
              <w:rPr>
                <w:sz w:val="22"/>
                <w:szCs w:val="22"/>
                <w:color w:val="auto"/>
              </w:rPr>
            </w:pP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Mr. Eskew</w:t>
            </w:r>
          </w:p>
        </w:tc>
        <w:tc>
          <w:tcPr>
            <w:tcW w:w="420" w:type="dxa"/>
            <w:vAlign w:val="bottom"/>
            <w:tcBorders>
              <w:bottom w:val="single" w:sz="8" w:color="auto"/>
            </w:tcBorders>
          </w:tcPr>
          <w:p>
            <w:pPr>
              <w:spacing w:after="0"/>
              <w:rPr>
                <w:sz w:val="22"/>
                <w:szCs w:val="22"/>
                <w:color w:val="auto"/>
              </w:rPr>
            </w:pPr>
          </w:p>
        </w:tc>
        <w:tc>
          <w:tcPr>
            <w:tcW w:w="560" w:type="dxa"/>
            <w:vAlign w:val="bottom"/>
            <w:tcBorders>
              <w:bottom w:val="single" w:sz="8" w:color="auto"/>
              <w:right w:val="single" w:sz="8" w:color="auto"/>
            </w:tcBorders>
          </w:tcPr>
          <w:p>
            <w:pPr>
              <w:jc w:val="right"/>
              <w:ind w:right="405"/>
              <w:spacing w:after="0"/>
              <w:rPr>
                <w:sz w:val="20"/>
                <w:szCs w:val="20"/>
                <w:color w:val="auto"/>
              </w:rPr>
            </w:pPr>
            <w:r>
              <w:rPr>
                <w:rFonts w:ascii="Arial" w:cs="Arial" w:eastAsia="Arial" w:hAnsi="Arial"/>
                <w:sz w:val="15"/>
                <w:szCs w:val="15"/>
                <w:color w:val="auto"/>
                <w:w w:val="71"/>
              </w:rPr>
              <w:t>ü</w:t>
            </w:r>
          </w:p>
        </w:tc>
        <w:tc>
          <w:tcPr>
            <w:tcW w:w="7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6"/>
                <w:szCs w:val="16"/>
                <w:b w:val="1"/>
                <w:bCs w:val="1"/>
                <w:color w:val="EE2724"/>
              </w:rPr>
              <w:t>C</w:t>
            </w:r>
          </w:p>
        </w:tc>
        <w:tc>
          <w:tcPr>
            <w:tcW w:w="1120" w:type="dxa"/>
            <w:vAlign w:val="bottom"/>
            <w:tcBorders>
              <w:bottom w:val="single" w:sz="8" w:color="auto"/>
              <w:right w:val="single" w:sz="8" w:color="auto"/>
            </w:tcBorders>
          </w:tcPr>
          <w:p>
            <w:pPr>
              <w:ind w:left="500"/>
              <w:spacing w:after="0"/>
              <w:rPr>
                <w:sz w:val="20"/>
                <w:szCs w:val="20"/>
                <w:color w:val="auto"/>
              </w:rPr>
            </w:pPr>
            <w:r>
              <w:rPr>
                <w:rFonts w:ascii="Arial" w:cs="Arial" w:eastAsia="Arial" w:hAnsi="Arial"/>
                <w:sz w:val="18"/>
                <w:szCs w:val="18"/>
                <w:color w:val="auto"/>
              </w:rPr>
              <w:t>ü</w:t>
            </w:r>
          </w:p>
        </w:tc>
        <w:tc>
          <w:tcPr>
            <w:tcW w:w="1320" w:type="dxa"/>
            <w:vAlign w:val="bottom"/>
            <w:tcBorders>
              <w:bottom w:val="single" w:sz="8" w:color="auto"/>
              <w:right w:val="single" w:sz="8" w:color="auto"/>
            </w:tcBorders>
          </w:tcPr>
          <w:p>
            <w:pPr>
              <w:ind w:left="600"/>
              <w:spacing w:after="0"/>
              <w:rPr>
                <w:sz w:val="20"/>
                <w:szCs w:val="20"/>
                <w:color w:val="auto"/>
              </w:rPr>
            </w:pPr>
            <w:r>
              <w:rPr>
                <w:rFonts w:ascii="Arial" w:cs="Arial" w:eastAsia="Arial" w:hAnsi="Arial"/>
                <w:sz w:val="18"/>
                <w:szCs w:val="18"/>
                <w:color w:val="auto"/>
              </w:rPr>
              <w:t>ü</w:t>
            </w:r>
          </w:p>
        </w:tc>
        <w:tc>
          <w:tcPr>
            <w:tcW w:w="1000" w:type="dxa"/>
            <w:vAlign w:val="bottom"/>
            <w:tcBorders>
              <w:bottom w:val="single" w:sz="8" w:color="auto"/>
              <w:right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40" w:type="dxa"/>
            <w:vAlign w:val="bottom"/>
            <w:tcBorders>
              <w:bottom w:val="single" w:sz="8" w:color="auto"/>
              <w:right w:val="single" w:sz="8" w:color="auto"/>
            </w:tcBorders>
          </w:tcPr>
          <w:p>
            <w:pPr>
              <w:spacing w:after="0"/>
              <w:rPr>
                <w:sz w:val="22"/>
                <w:szCs w:val="22"/>
                <w:color w:val="auto"/>
              </w:rPr>
            </w:pPr>
          </w:p>
        </w:tc>
        <w:tc>
          <w:tcPr>
            <w:tcW w:w="1000" w:type="dxa"/>
            <w:vAlign w:val="bottom"/>
            <w:tcBorders>
              <w:bottom w:val="single" w:sz="8" w:color="auto"/>
              <w:right w:val="single" w:sz="8" w:color="auto"/>
            </w:tcBorders>
          </w:tcPr>
          <w:p>
            <w:pPr>
              <w:spacing w:after="0"/>
              <w:rPr>
                <w:sz w:val="22"/>
                <w:szCs w:val="22"/>
                <w:color w:val="auto"/>
              </w:rPr>
            </w:pPr>
          </w:p>
        </w:tc>
      </w:tr>
      <w:tr>
        <w:trPr>
          <w:trHeight w:val="264"/>
        </w:trPr>
        <w:tc>
          <w:tcPr>
            <w:tcW w:w="260" w:type="dxa"/>
            <w:vAlign w:val="bottom"/>
          </w:tcPr>
          <w:p>
            <w:pPr>
              <w:spacing w:after="0"/>
              <w:rPr>
                <w:sz w:val="22"/>
                <w:szCs w:val="22"/>
                <w:color w:val="auto"/>
              </w:rPr>
            </w:pPr>
          </w:p>
        </w:tc>
        <w:tc>
          <w:tcPr>
            <w:tcW w:w="1180" w:type="dxa"/>
            <w:vAlign w:val="bottom"/>
            <w:tcBorders>
              <w:right w:val="single" w:sz="8" w:color="auto"/>
            </w:tcBorders>
          </w:tcPr>
          <w:p>
            <w:pPr>
              <w:spacing w:after="0"/>
              <w:rPr>
                <w:sz w:val="22"/>
                <w:szCs w:val="22"/>
                <w:color w:val="auto"/>
              </w:rPr>
            </w:pP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Mr. Fyrwald</w:t>
            </w:r>
          </w:p>
        </w:tc>
        <w:tc>
          <w:tcPr>
            <w:tcW w:w="420" w:type="dxa"/>
            <w:vAlign w:val="bottom"/>
            <w:tcBorders>
              <w:bottom w:val="single" w:sz="8" w:color="auto"/>
            </w:tcBorders>
          </w:tcPr>
          <w:p>
            <w:pPr>
              <w:spacing w:after="0"/>
              <w:rPr>
                <w:sz w:val="22"/>
                <w:szCs w:val="22"/>
                <w:color w:val="auto"/>
              </w:rPr>
            </w:pPr>
          </w:p>
        </w:tc>
        <w:tc>
          <w:tcPr>
            <w:tcW w:w="560" w:type="dxa"/>
            <w:vAlign w:val="bottom"/>
            <w:tcBorders>
              <w:bottom w:val="single" w:sz="8" w:color="auto"/>
              <w:right w:val="single" w:sz="8" w:color="auto"/>
            </w:tcBorders>
          </w:tcPr>
          <w:p>
            <w:pPr>
              <w:jc w:val="right"/>
              <w:ind w:right="405"/>
              <w:spacing w:after="0"/>
              <w:rPr>
                <w:sz w:val="20"/>
                <w:szCs w:val="20"/>
                <w:color w:val="auto"/>
              </w:rPr>
            </w:pPr>
            <w:r>
              <w:rPr>
                <w:rFonts w:ascii="Arial" w:cs="Arial" w:eastAsia="Arial" w:hAnsi="Arial"/>
                <w:sz w:val="15"/>
                <w:szCs w:val="15"/>
                <w:color w:val="auto"/>
                <w:w w:val="71"/>
              </w:rPr>
              <w:t>ü</w:t>
            </w:r>
          </w:p>
        </w:tc>
        <w:tc>
          <w:tcPr>
            <w:tcW w:w="760" w:type="dxa"/>
            <w:vAlign w:val="bottom"/>
            <w:tcBorders>
              <w:bottom w:val="single" w:sz="8" w:color="auto"/>
              <w:right w:val="single" w:sz="8" w:color="auto"/>
            </w:tcBorders>
          </w:tcPr>
          <w:p>
            <w:pPr>
              <w:spacing w:after="0"/>
              <w:rPr>
                <w:sz w:val="22"/>
                <w:szCs w:val="22"/>
                <w:color w:val="auto"/>
              </w:rPr>
            </w:pPr>
          </w:p>
        </w:tc>
        <w:tc>
          <w:tcPr>
            <w:tcW w:w="1120" w:type="dxa"/>
            <w:vAlign w:val="bottom"/>
            <w:tcBorders>
              <w:bottom w:val="single" w:sz="8" w:color="auto"/>
              <w:right w:val="single" w:sz="8" w:color="auto"/>
            </w:tcBorders>
          </w:tcPr>
          <w:p>
            <w:pPr>
              <w:spacing w:after="0"/>
              <w:rPr>
                <w:sz w:val="22"/>
                <w:szCs w:val="22"/>
                <w:color w:val="auto"/>
              </w:rPr>
            </w:pPr>
          </w:p>
        </w:tc>
        <w:tc>
          <w:tcPr>
            <w:tcW w:w="1320" w:type="dxa"/>
            <w:vAlign w:val="bottom"/>
            <w:tcBorders>
              <w:bottom w:val="single" w:sz="8" w:color="auto"/>
              <w:right w:val="single" w:sz="8" w:color="auto"/>
            </w:tcBorders>
          </w:tcPr>
          <w:p>
            <w:pPr>
              <w:spacing w:after="0"/>
              <w:rPr>
                <w:sz w:val="22"/>
                <w:szCs w:val="22"/>
                <w:color w:val="auto"/>
              </w:rPr>
            </w:pPr>
          </w:p>
        </w:tc>
        <w:tc>
          <w:tcPr>
            <w:tcW w:w="1000" w:type="dxa"/>
            <w:vAlign w:val="bottom"/>
            <w:tcBorders>
              <w:bottom w:val="single" w:sz="8" w:color="auto"/>
              <w:right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4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6"/>
                <w:szCs w:val="16"/>
                <w:b w:val="1"/>
                <w:bCs w:val="1"/>
                <w:color w:val="EE2724"/>
              </w:rPr>
              <w:t>C</w:t>
            </w:r>
          </w:p>
        </w:tc>
        <w:tc>
          <w:tcPr>
            <w:tcW w:w="1000" w:type="dxa"/>
            <w:vAlign w:val="bottom"/>
            <w:tcBorders>
              <w:bottom w:val="single" w:sz="8" w:color="auto"/>
              <w:right w:val="single" w:sz="8" w:color="auto"/>
            </w:tcBorders>
          </w:tcPr>
          <w:p>
            <w:pPr>
              <w:ind w:left="440"/>
              <w:spacing w:after="0"/>
              <w:rPr>
                <w:sz w:val="20"/>
                <w:szCs w:val="20"/>
                <w:color w:val="auto"/>
              </w:rPr>
            </w:pPr>
            <w:r>
              <w:rPr>
                <w:rFonts w:ascii="Arial" w:cs="Arial" w:eastAsia="Arial" w:hAnsi="Arial"/>
                <w:sz w:val="18"/>
                <w:szCs w:val="18"/>
                <w:color w:val="auto"/>
              </w:rPr>
              <w:t>ü</w:t>
            </w:r>
          </w:p>
        </w:tc>
      </w:tr>
      <w:tr>
        <w:trPr>
          <w:trHeight w:val="264"/>
        </w:trPr>
        <w:tc>
          <w:tcPr>
            <w:tcW w:w="260" w:type="dxa"/>
            <w:vAlign w:val="bottom"/>
          </w:tcPr>
          <w:p>
            <w:pPr>
              <w:spacing w:after="0"/>
              <w:rPr>
                <w:sz w:val="22"/>
                <w:szCs w:val="22"/>
                <w:color w:val="auto"/>
              </w:rPr>
            </w:pPr>
          </w:p>
        </w:tc>
        <w:tc>
          <w:tcPr>
            <w:tcW w:w="1180" w:type="dxa"/>
            <w:vAlign w:val="bottom"/>
            <w:tcBorders>
              <w:right w:val="single" w:sz="8" w:color="auto"/>
            </w:tcBorders>
          </w:tcPr>
          <w:p>
            <w:pPr>
              <w:spacing w:after="0"/>
              <w:rPr>
                <w:sz w:val="22"/>
                <w:szCs w:val="22"/>
                <w:color w:val="auto"/>
              </w:rPr>
            </w:pP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Mr. Hoover</w:t>
            </w:r>
          </w:p>
        </w:tc>
        <w:tc>
          <w:tcPr>
            <w:tcW w:w="420" w:type="dxa"/>
            <w:vAlign w:val="bottom"/>
            <w:tcBorders>
              <w:bottom w:val="single" w:sz="8" w:color="auto"/>
            </w:tcBorders>
          </w:tcPr>
          <w:p>
            <w:pPr>
              <w:spacing w:after="0"/>
              <w:rPr>
                <w:sz w:val="22"/>
                <w:szCs w:val="22"/>
                <w:color w:val="auto"/>
              </w:rPr>
            </w:pPr>
          </w:p>
        </w:tc>
        <w:tc>
          <w:tcPr>
            <w:tcW w:w="560" w:type="dxa"/>
            <w:vAlign w:val="bottom"/>
            <w:tcBorders>
              <w:bottom w:val="single" w:sz="8" w:color="auto"/>
              <w:right w:val="single" w:sz="8" w:color="auto"/>
            </w:tcBorders>
          </w:tcPr>
          <w:p>
            <w:pPr>
              <w:jc w:val="right"/>
              <w:ind w:right="405"/>
              <w:spacing w:after="0"/>
              <w:rPr>
                <w:sz w:val="20"/>
                <w:szCs w:val="20"/>
                <w:color w:val="auto"/>
              </w:rPr>
            </w:pPr>
            <w:r>
              <w:rPr>
                <w:rFonts w:ascii="Arial" w:cs="Arial" w:eastAsia="Arial" w:hAnsi="Arial"/>
                <w:sz w:val="15"/>
                <w:szCs w:val="15"/>
                <w:color w:val="auto"/>
                <w:w w:val="71"/>
              </w:rPr>
              <w:t>ü</w:t>
            </w:r>
          </w:p>
        </w:tc>
        <w:tc>
          <w:tcPr>
            <w:tcW w:w="760" w:type="dxa"/>
            <w:vAlign w:val="bottom"/>
            <w:tcBorders>
              <w:bottom w:val="single" w:sz="8" w:color="auto"/>
              <w:right w:val="single" w:sz="8" w:color="auto"/>
            </w:tcBorders>
          </w:tcPr>
          <w:p>
            <w:pPr>
              <w:spacing w:after="0"/>
              <w:rPr>
                <w:sz w:val="22"/>
                <w:szCs w:val="22"/>
                <w:color w:val="auto"/>
              </w:rPr>
            </w:pPr>
          </w:p>
        </w:tc>
        <w:tc>
          <w:tcPr>
            <w:tcW w:w="1120" w:type="dxa"/>
            <w:vAlign w:val="bottom"/>
            <w:tcBorders>
              <w:bottom w:val="single" w:sz="8" w:color="auto"/>
              <w:right w:val="single" w:sz="8" w:color="auto"/>
            </w:tcBorders>
          </w:tcPr>
          <w:p>
            <w:pPr>
              <w:spacing w:after="0"/>
              <w:rPr>
                <w:sz w:val="22"/>
                <w:szCs w:val="22"/>
                <w:color w:val="auto"/>
              </w:rPr>
            </w:pPr>
          </w:p>
        </w:tc>
        <w:tc>
          <w:tcPr>
            <w:tcW w:w="1320" w:type="dxa"/>
            <w:vAlign w:val="bottom"/>
            <w:tcBorders>
              <w:bottom w:val="single" w:sz="8" w:color="auto"/>
              <w:right w:val="single" w:sz="8" w:color="auto"/>
            </w:tcBorders>
          </w:tcPr>
          <w:p>
            <w:pPr>
              <w:ind w:left="600"/>
              <w:spacing w:after="0"/>
              <w:rPr>
                <w:sz w:val="20"/>
                <w:szCs w:val="20"/>
                <w:color w:val="auto"/>
              </w:rPr>
            </w:pPr>
            <w:r>
              <w:rPr>
                <w:rFonts w:ascii="Arial" w:cs="Arial" w:eastAsia="Arial" w:hAnsi="Arial"/>
                <w:sz w:val="18"/>
                <w:szCs w:val="18"/>
                <w:color w:val="auto"/>
              </w:rPr>
              <w:t>ü</w:t>
            </w:r>
          </w:p>
        </w:tc>
        <w:tc>
          <w:tcPr>
            <w:tcW w:w="1000" w:type="dxa"/>
            <w:vAlign w:val="bottom"/>
            <w:tcBorders>
              <w:bottom w:val="single" w:sz="8" w:color="auto"/>
              <w:right w:val="single" w:sz="8" w:color="auto"/>
            </w:tcBorders>
          </w:tcPr>
          <w:p>
            <w:pPr>
              <w:ind w:left="420"/>
              <w:spacing w:after="0"/>
              <w:rPr>
                <w:sz w:val="20"/>
                <w:szCs w:val="20"/>
                <w:color w:val="auto"/>
              </w:rPr>
            </w:pPr>
            <w:r>
              <w:rPr>
                <w:rFonts w:ascii="Arial" w:cs="Arial" w:eastAsia="Arial" w:hAnsi="Arial"/>
                <w:sz w:val="16"/>
                <w:szCs w:val="16"/>
                <w:b w:val="1"/>
                <w:bCs w:val="1"/>
                <w:color w:val="EE2724"/>
              </w:rPr>
              <w:t>C</w:t>
            </w:r>
          </w:p>
        </w:tc>
        <w:tc>
          <w:tcPr>
            <w:tcW w:w="300" w:type="dxa"/>
            <w:vAlign w:val="bottom"/>
            <w:tcBorders>
              <w:bottom w:val="single" w:sz="8" w:color="auto"/>
            </w:tcBorders>
          </w:tcPr>
          <w:p>
            <w:pPr>
              <w:spacing w:after="0"/>
              <w:rPr>
                <w:sz w:val="22"/>
                <w:szCs w:val="22"/>
                <w:color w:val="auto"/>
              </w:rPr>
            </w:pPr>
          </w:p>
        </w:tc>
        <w:tc>
          <w:tcPr>
            <w:tcW w:w="740" w:type="dxa"/>
            <w:vAlign w:val="bottom"/>
            <w:tcBorders>
              <w:bottom w:val="single" w:sz="8" w:color="auto"/>
              <w:right w:val="single" w:sz="8" w:color="auto"/>
            </w:tcBorders>
          </w:tcPr>
          <w:p>
            <w:pPr>
              <w:spacing w:after="0"/>
              <w:rPr>
                <w:sz w:val="22"/>
                <w:szCs w:val="22"/>
                <w:color w:val="auto"/>
              </w:rPr>
            </w:pPr>
          </w:p>
        </w:tc>
        <w:tc>
          <w:tcPr>
            <w:tcW w:w="1000" w:type="dxa"/>
            <w:vAlign w:val="bottom"/>
            <w:tcBorders>
              <w:bottom w:val="single" w:sz="8" w:color="auto"/>
              <w:right w:val="single" w:sz="8" w:color="auto"/>
            </w:tcBorders>
          </w:tcPr>
          <w:p>
            <w:pPr>
              <w:spacing w:after="0"/>
              <w:rPr>
                <w:sz w:val="22"/>
                <w:szCs w:val="22"/>
                <w:color w:val="auto"/>
              </w:rPr>
            </w:pPr>
          </w:p>
        </w:tc>
      </w:tr>
      <w:tr>
        <w:trPr>
          <w:trHeight w:val="264"/>
        </w:trPr>
        <w:tc>
          <w:tcPr>
            <w:tcW w:w="260" w:type="dxa"/>
            <w:vAlign w:val="bottom"/>
          </w:tcPr>
          <w:p>
            <w:pPr>
              <w:spacing w:after="0"/>
              <w:rPr>
                <w:sz w:val="22"/>
                <w:szCs w:val="22"/>
                <w:color w:val="auto"/>
              </w:rPr>
            </w:pPr>
          </w:p>
        </w:tc>
        <w:tc>
          <w:tcPr>
            <w:tcW w:w="1180" w:type="dxa"/>
            <w:vAlign w:val="bottom"/>
            <w:tcBorders>
              <w:right w:val="single" w:sz="8" w:color="auto"/>
            </w:tcBorders>
          </w:tcPr>
          <w:p>
            <w:pPr>
              <w:spacing w:after="0"/>
              <w:rPr>
                <w:sz w:val="22"/>
                <w:szCs w:val="22"/>
                <w:color w:val="auto"/>
              </w:rPr>
            </w:pP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Mr. Jackson</w:t>
            </w:r>
          </w:p>
        </w:tc>
        <w:tc>
          <w:tcPr>
            <w:tcW w:w="420" w:type="dxa"/>
            <w:vAlign w:val="bottom"/>
            <w:tcBorders>
              <w:bottom w:val="single" w:sz="8" w:color="auto"/>
            </w:tcBorders>
          </w:tcPr>
          <w:p>
            <w:pPr>
              <w:spacing w:after="0"/>
              <w:rPr>
                <w:sz w:val="22"/>
                <w:szCs w:val="22"/>
                <w:color w:val="auto"/>
              </w:rPr>
            </w:pPr>
          </w:p>
        </w:tc>
        <w:tc>
          <w:tcPr>
            <w:tcW w:w="560" w:type="dxa"/>
            <w:vAlign w:val="bottom"/>
            <w:tcBorders>
              <w:bottom w:val="single" w:sz="8" w:color="auto"/>
              <w:right w:val="single" w:sz="8" w:color="auto"/>
            </w:tcBorders>
          </w:tcPr>
          <w:p>
            <w:pPr>
              <w:jc w:val="right"/>
              <w:ind w:right="405"/>
              <w:spacing w:after="0"/>
              <w:rPr>
                <w:sz w:val="20"/>
                <w:szCs w:val="20"/>
                <w:color w:val="auto"/>
              </w:rPr>
            </w:pPr>
            <w:r>
              <w:rPr>
                <w:rFonts w:ascii="Arial" w:cs="Arial" w:eastAsia="Arial" w:hAnsi="Arial"/>
                <w:sz w:val="15"/>
                <w:szCs w:val="15"/>
                <w:color w:val="auto"/>
                <w:w w:val="71"/>
              </w:rPr>
              <w:t>ü</w:t>
            </w:r>
          </w:p>
        </w:tc>
        <w:tc>
          <w:tcPr>
            <w:tcW w:w="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1120" w:type="dxa"/>
            <w:vAlign w:val="bottom"/>
            <w:tcBorders>
              <w:bottom w:val="single" w:sz="8" w:color="auto"/>
              <w:right w:val="single" w:sz="8" w:color="auto"/>
            </w:tcBorders>
          </w:tcPr>
          <w:p>
            <w:pPr>
              <w:spacing w:after="0"/>
              <w:rPr>
                <w:sz w:val="22"/>
                <w:szCs w:val="22"/>
                <w:color w:val="auto"/>
              </w:rPr>
            </w:pPr>
          </w:p>
        </w:tc>
        <w:tc>
          <w:tcPr>
            <w:tcW w:w="1320" w:type="dxa"/>
            <w:vAlign w:val="bottom"/>
            <w:tcBorders>
              <w:bottom w:val="single" w:sz="8" w:color="auto"/>
              <w:right w:val="single" w:sz="8" w:color="auto"/>
            </w:tcBorders>
          </w:tcPr>
          <w:p>
            <w:pPr>
              <w:spacing w:after="0"/>
              <w:rPr>
                <w:sz w:val="22"/>
                <w:szCs w:val="22"/>
                <w:color w:val="auto"/>
              </w:rPr>
            </w:pPr>
          </w:p>
        </w:tc>
        <w:tc>
          <w:tcPr>
            <w:tcW w:w="1000" w:type="dxa"/>
            <w:vAlign w:val="bottom"/>
            <w:tcBorders>
              <w:bottom w:val="single" w:sz="8" w:color="auto"/>
              <w:right w:val="single" w:sz="8" w:color="auto"/>
            </w:tcBorders>
          </w:tcPr>
          <w:p>
            <w:pPr>
              <w:ind w:left="440"/>
              <w:spacing w:after="0"/>
              <w:rPr>
                <w:sz w:val="20"/>
                <w:szCs w:val="20"/>
                <w:color w:val="auto"/>
              </w:rPr>
            </w:pPr>
            <w:r>
              <w:rPr>
                <w:rFonts w:ascii="Arial" w:cs="Arial" w:eastAsia="Arial" w:hAnsi="Arial"/>
                <w:sz w:val="18"/>
                <w:szCs w:val="18"/>
                <w:color w:val="auto"/>
              </w:rPr>
              <w:t>ü</w:t>
            </w:r>
          </w:p>
        </w:tc>
        <w:tc>
          <w:tcPr>
            <w:tcW w:w="300" w:type="dxa"/>
            <w:vAlign w:val="bottom"/>
            <w:tcBorders>
              <w:bottom w:val="single" w:sz="8" w:color="auto"/>
            </w:tcBorders>
          </w:tcPr>
          <w:p>
            <w:pPr>
              <w:spacing w:after="0"/>
              <w:rPr>
                <w:sz w:val="22"/>
                <w:szCs w:val="22"/>
                <w:color w:val="auto"/>
              </w:rPr>
            </w:pPr>
          </w:p>
        </w:tc>
        <w:tc>
          <w:tcPr>
            <w:tcW w:w="740" w:type="dxa"/>
            <w:vAlign w:val="bottom"/>
            <w:tcBorders>
              <w:bottom w:val="single" w:sz="8" w:color="auto"/>
              <w:right w:val="single" w:sz="8" w:color="auto"/>
            </w:tcBorders>
          </w:tcPr>
          <w:p>
            <w:pPr>
              <w:spacing w:after="0"/>
              <w:rPr>
                <w:sz w:val="22"/>
                <w:szCs w:val="22"/>
                <w:color w:val="auto"/>
              </w:rPr>
            </w:pPr>
          </w:p>
        </w:tc>
        <w:tc>
          <w:tcPr>
            <w:tcW w:w="1000" w:type="dxa"/>
            <w:vAlign w:val="bottom"/>
            <w:tcBorders>
              <w:bottom w:val="single" w:sz="8" w:color="auto"/>
              <w:right w:val="single" w:sz="8" w:color="auto"/>
            </w:tcBorders>
          </w:tcPr>
          <w:p>
            <w:pPr>
              <w:spacing w:after="0"/>
              <w:rPr>
                <w:sz w:val="22"/>
                <w:szCs w:val="22"/>
                <w:color w:val="auto"/>
              </w:rPr>
            </w:pPr>
          </w:p>
        </w:tc>
      </w:tr>
      <w:tr>
        <w:trPr>
          <w:trHeight w:val="264"/>
        </w:trPr>
        <w:tc>
          <w:tcPr>
            <w:tcW w:w="260" w:type="dxa"/>
            <w:vAlign w:val="bottom"/>
          </w:tcPr>
          <w:p>
            <w:pPr>
              <w:spacing w:after="0"/>
              <w:rPr>
                <w:sz w:val="22"/>
                <w:szCs w:val="22"/>
                <w:color w:val="auto"/>
              </w:rPr>
            </w:pPr>
          </w:p>
        </w:tc>
        <w:tc>
          <w:tcPr>
            <w:tcW w:w="1180" w:type="dxa"/>
            <w:vAlign w:val="bottom"/>
            <w:tcBorders>
              <w:right w:val="single" w:sz="8" w:color="auto"/>
            </w:tcBorders>
          </w:tcPr>
          <w:p>
            <w:pPr>
              <w:spacing w:after="0"/>
              <w:rPr>
                <w:sz w:val="22"/>
                <w:szCs w:val="22"/>
                <w:color w:val="auto"/>
              </w:rPr>
            </w:pP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Dr. Kaelin</w:t>
            </w:r>
          </w:p>
        </w:tc>
        <w:tc>
          <w:tcPr>
            <w:tcW w:w="420" w:type="dxa"/>
            <w:vAlign w:val="bottom"/>
            <w:tcBorders>
              <w:bottom w:val="single" w:sz="8" w:color="auto"/>
            </w:tcBorders>
          </w:tcPr>
          <w:p>
            <w:pPr>
              <w:spacing w:after="0"/>
              <w:rPr>
                <w:sz w:val="22"/>
                <w:szCs w:val="22"/>
                <w:color w:val="auto"/>
              </w:rPr>
            </w:pPr>
          </w:p>
        </w:tc>
        <w:tc>
          <w:tcPr>
            <w:tcW w:w="560" w:type="dxa"/>
            <w:vAlign w:val="bottom"/>
            <w:tcBorders>
              <w:bottom w:val="single" w:sz="8" w:color="auto"/>
              <w:right w:val="single" w:sz="8" w:color="auto"/>
            </w:tcBorders>
          </w:tcPr>
          <w:p>
            <w:pPr>
              <w:jc w:val="right"/>
              <w:ind w:right="405"/>
              <w:spacing w:after="0"/>
              <w:rPr>
                <w:sz w:val="20"/>
                <w:szCs w:val="20"/>
                <w:color w:val="auto"/>
              </w:rPr>
            </w:pPr>
            <w:r>
              <w:rPr>
                <w:rFonts w:ascii="Arial" w:cs="Arial" w:eastAsia="Arial" w:hAnsi="Arial"/>
                <w:sz w:val="15"/>
                <w:szCs w:val="15"/>
                <w:color w:val="auto"/>
                <w:w w:val="71"/>
              </w:rPr>
              <w:t>ü</w:t>
            </w:r>
          </w:p>
        </w:tc>
        <w:tc>
          <w:tcPr>
            <w:tcW w:w="760" w:type="dxa"/>
            <w:vAlign w:val="bottom"/>
            <w:tcBorders>
              <w:bottom w:val="single" w:sz="8" w:color="auto"/>
              <w:right w:val="single" w:sz="8" w:color="auto"/>
            </w:tcBorders>
          </w:tcPr>
          <w:p>
            <w:pPr>
              <w:spacing w:after="0"/>
              <w:rPr>
                <w:sz w:val="22"/>
                <w:szCs w:val="22"/>
                <w:color w:val="auto"/>
              </w:rPr>
            </w:pPr>
          </w:p>
        </w:tc>
        <w:tc>
          <w:tcPr>
            <w:tcW w:w="1120" w:type="dxa"/>
            <w:vAlign w:val="bottom"/>
            <w:tcBorders>
              <w:bottom w:val="single" w:sz="8" w:color="auto"/>
              <w:right w:val="single" w:sz="8" w:color="auto"/>
            </w:tcBorders>
          </w:tcPr>
          <w:p>
            <w:pPr>
              <w:spacing w:after="0"/>
              <w:rPr>
                <w:sz w:val="22"/>
                <w:szCs w:val="22"/>
                <w:color w:val="auto"/>
              </w:rPr>
            </w:pPr>
          </w:p>
        </w:tc>
        <w:tc>
          <w:tcPr>
            <w:tcW w:w="1320" w:type="dxa"/>
            <w:vAlign w:val="bottom"/>
            <w:tcBorders>
              <w:bottom w:val="single" w:sz="8" w:color="auto"/>
              <w:right w:val="single" w:sz="8" w:color="auto"/>
            </w:tcBorders>
          </w:tcPr>
          <w:p>
            <w:pPr>
              <w:spacing w:after="0"/>
              <w:rPr>
                <w:sz w:val="22"/>
                <w:szCs w:val="22"/>
                <w:color w:val="auto"/>
              </w:rPr>
            </w:pPr>
          </w:p>
        </w:tc>
        <w:tc>
          <w:tcPr>
            <w:tcW w:w="1000" w:type="dxa"/>
            <w:vAlign w:val="bottom"/>
            <w:tcBorders>
              <w:bottom w:val="single" w:sz="8" w:color="auto"/>
              <w:right w:val="single" w:sz="8" w:color="auto"/>
            </w:tcBorders>
          </w:tcPr>
          <w:p>
            <w:pPr>
              <w:ind w:left="440"/>
              <w:spacing w:after="0"/>
              <w:rPr>
                <w:sz w:val="20"/>
                <w:szCs w:val="20"/>
                <w:color w:val="auto"/>
              </w:rPr>
            </w:pPr>
            <w:r>
              <w:rPr>
                <w:rFonts w:ascii="Arial" w:cs="Arial" w:eastAsia="Arial" w:hAnsi="Arial"/>
                <w:sz w:val="18"/>
                <w:szCs w:val="18"/>
                <w:color w:val="auto"/>
              </w:rPr>
              <w:t>ü</w:t>
            </w:r>
          </w:p>
        </w:tc>
        <w:tc>
          <w:tcPr>
            <w:tcW w:w="300" w:type="dxa"/>
            <w:vAlign w:val="bottom"/>
            <w:tcBorders>
              <w:bottom w:val="single" w:sz="8" w:color="auto"/>
            </w:tcBorders>
          </w:tcPr>
          <w:p>
            <w:pPr>
              <w:spacing w:after="0"/>
              <w:rPr>
                <w:sz w:val="22"/>
                <w:szCs w:val="22"/>
                <w:color w:val="auto"/>
              </w:rPr>
            </w:pPr>
          </w:p>
        </w:tc>
        <w:tc>
          <w:tcPr>
            <w:tcW w:w="740" w:type="dxa"/>
            <w:vAlign w:val="bottom"/>
            <w:tcBorders>
              <w:bottom w:val="single" w:sz="8" w:color="auto"/>
              <w:right w:val="single" w:sz="8" w:color="auto"/>
            </w:tcBorders>
          </w:tcPr>
          <w:p>
            <w:pPr>
              <w:spacing w:after="0"/>
              <w:rPr>
                <w:sz w:val="22"/>
                <w:szCs w:val="22"/>
                <w:color w:val="auto"/>
              </w:rPr>
            </w:pPr>
          </w:p>
        </w:tc>
        <w:tc>
          <w:tcPr>
            <w:tcW w:w="1000" w:type="dxa"/>
            <w:vAlign w:val="bottom"/>
            <w:tcBorders>
              <w:bottom w:val="single" w:sz="8" w:color="auto"/>
              <w:right w:val="single" w:sz="8" w:color="auto"/>
            </w:tcBorders>
          </w:tcPr>
          <w:p>
            <w:pPr>
              <w:ind w:left="440"/>
              <w:spacing w:after="0"/>
              <w:rPr>
                <w:sz w:val="20"/>
                <w:szCs w:val="20"/>
                <w:color w:val="auto"/>
              </w:rPr>
            </w:pPr>
            <w:r>
              <w:rPr>
                <w:rFonts w:ascii="Arial" w:cs="Arial" w:eastAsia="Arial" w:hAnsi="Arial"/>
                <w:sz w:val="16"/>
                <w:szCs w:val="16"/>
                <w:b w:val="1"/>
                <w:bCs w:val="1"/>
                <w:color w:val="EE2724"/>
              </w:rPr>
              <w:t>C</w:t>
            </w:r>
          </w:p>
        </w:tc>
      </w:tr>
      <w:tr>
        <w:trPr>
          <w:trHeight w:val="264"/>
        </w:trPr>
        <w:tc>
          <w:tcPr>
            <w:tcW w:w="260" w:type="dxa"/>
            <w:vAlign w:val="bottom"/>
          </w:tcPr>
          <w:p>
            <w:pPr>
              <w:spacing w:after="0"/>
              <w:rPr>
                <w:sz w:val="22"/>
                <w:szCs w:val="22"/>
                <w:color w:val="auto"/>
              </w:rPr>
            </w:pPr>
          </w:p>
        </w:tc>
        <w:tc>
          <w:tcPr>
            <w:tcW w:w="1180" w:type="dxa"/>
            <w:vAlign w:val="bottom"/>
            <w:tcBorders>
              <w:right w:val="single" w:sz="8" w:color="auto"/>
            </w:tcBorders>
          </w:tcPr>
          <w:p>
            <w:pPr>
              <w:spacing w:after="0"/>
              <w:rPr>
                <w:sz w:val="22"/>
                <w:szCs w:val="22"/>
                <w:color w:val="auto"/>
              </w:rPr>
            </w:pP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Mr. Luciano</w:t>
            </w:r>
          </w:p>
        </w:tc>
        <w:tc>
          <w:tcPr>
            <w:tcW w:w="420" w:type="dxa"/>
            <w:vAlign w:val="bottom"/>
            <w:tcBorders>
              <w:bottom w:val="single" w:sz="8" w:color="auto"/>
            </w:tcBorders>
          </w:tcPr>
          <w:p>
            <w:pPr>
              <w:spacing w:after="0"/>
              <w:rPr>
                <w:sz w:val="22"/>
                <w:szCs w:val="22"/>
                <w:color w:val="auto"/>
              </w:rPr>
            </w:pPr>
          </w:p>
        </w:tc>
        <w:tc>
          <w:tcPr>
            <w:tcW w:w="560" w:type="dxa"/>
            <w:vAlign w:val="bottom"/>
            <w:tcBorders>
              <w:bottom w:val="single" w:sz="8" w:color="auto"/>
              <w:right w:val="single" w:sz="8" w:color="auto"/>
            </w:tcBorders>
          </w:tcPr>
          <w:p>
            <w:pPr>
              <w:jc w:val="right"/>
              <w:ind w:right="405"/>
              <w:spacing w:after="0"/>
              <w:rPr>
                <w:sz w:val="20"/>
                <w:szCs w:val="20"/>
                <w:color w:val="auto"/>
              </w:rPr>
            </w:pPr>
            <w:r>
              <w:rPr>
                <w:rFonts w:ascii="Arial" w:cs="Arial" w:eastAsia="Arial" w:hAnsi="Arial"/>
                <w:sz w:val="15"/>
                <w:szCs w:val="15"/>
                <w:color w:val="auto"/>
                <w:w w:val="71"/>
              </w:rPr>
              <w:t>ü</w:t>
            </w:r>
          </w:p>
        </w:tc>
        <w:tc>
          <w:tcPr>
            <w:tcW w:w="760" w:type="dxa"/>
            <w:vAlign w:val="bottom"/>
            <w:tcBorders>
              <w:bottom w:val="single" w:sz="8" w:color="auto"/>
              <w:right w:val="single" w:sz="8" w:color="auto"/>
            </w:tcBorders>
          </w:tcPr>
          <w:p>
            <w:pPr>
              <w:spacing w:after="0"/>
              <w:rPr>
                <w:sz w:val="22"/>
                <w:szCs w:val="22"/>
                <w:color w:val="auto"/>
              </w:rPr>
            </w:pPr>
          </w:p>
        </w:tc>
        <w:tc>
          <w:tcPr>
            <w:tcW w:w="1120" w:type="dxa"/>
            <w:vAlign w:val="bottom"/>
            <w:tcBorders>
              <w:bottom w:val="single" w:sz="8" w:color="auto"/>
              <w:right w:val="single" w:sz="8" w:color="auto"/>
            </w:tcBorders>
          </w:tcPr>
          <w:p>
            <w:pPr>
              <w:spacing w:after="0"/>
              <w:rPr>
                <w:sz w:val="22"/>
                <w:szCs w:val="22"/>
                <w:color w:val="auto"/>
              </w:rPr>
            </w:pPr>
          </w:p>
        </w:tc>
        <w:tc>
          <w:tcPr>
            <w:tcW w:w="1320" w:type="dxa"/>
            <w:vAlign w:val="bottom"/>
            <w:tcBorders>
              <w:bottom w:val="single" w:sz="8" w:color="auto"/>
              <w:right w:val="single" w:sz="8" w:color="auto"/>
            </w:tcBorders>
          </w:tcPr>
          <w:p>
            <w:pPr>
              <w:spacing w:after="0"/>
              <w:rPr>
                <w:sz w:val="22"/>
                <w:szCs w:val="22"/>
                <w:color w:val="auto"/>
              </w:rPr>
            </w:pPr>
          </w:p>
        </w:tc>
        <w:tc>
          <w:tcPr>
            <w:tcW w:w="1000" w:type="dxa"/>
            <w:vAlign w:val="bottom"/>
            <w:tcBorders>
              <w:bottom w:val="single" w:sz="8" w:color="auto"/>
              <w:right w:val="single" w:sz="8" w:color="auto"/>
            </w:tcBorders>
          </w:tcPr>
          <w:p>
            <w:pPr>
              <w:ind w:left="440"/>
              <w:spacing w:after="0"/>
              <w:rPr>
                <w:sz w:val="20"/>
                <w:szCs w:val="20"/>
                <w:color w:val="auto"/>
              </w:rPr>
            </w:pPr>
            <w:r>
              <w:rPr>
                <w:rFonts w:ascii="Arial" w:cs="Arial" w:eastAsia="Arial" w:hAnsi="Arial"/>
                <w:sz w:val="18"/>
                <w:szCs w:val="18"/>
                <w:color w:val="auto"/>
              </w:rPr>
              <w:t>ü</w:t>
            </w:r>
          </w:p>
        </w:tc>
        <w:tc>
          <w:tcPr>
            <w:tcW w:w="300" w:type="dxa"/>
            <w:vAlign w:val="bottom"/>
            <w:tcBorders>
              <w:bottom w:val="single" w:sz="8" w:color="auto"/>
            </w:tcBorders>
          </w:tcPr>
          <w:p>
            <w:pPr>
              <w:spacing w:after="0"/>
              <w:rPr>
                <w:sz w:val="22"/>
                <w:szCs w:val="22"/>
                <w:color w:val="auto"/>
              </w:rPr>
            </w:pPr>
          </w:p>
        </w:tc>
        <w:tc>
          <w:tcPr>
            <w:tcW w:w="7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ü</w:t>
            </w:r>
          </w:p>
        </w:tc>
        <w:tc>
          <w:tcPr>
            <w:tcW w:w="1000" w:type="dxa"/>
            <w:vAlign w:val="bottom"/>
            <w:tcBorders>
              <w:bottom w:val="single" w:sz="8" w:color="auto"/>
              <w:right w:val="single" w:sz="8" w:color="auto"/>
            </w:tcBorders>
          </w:tcPr>
          <w:p>
            <w:pPr>
              <w:spacing w:after="0"/>
              <w:rPr>
                <w:sz w:val="22"/>
                <w:szCs w:val="22"/>
                <w:color w:val="auto"/>
              </w:rPr>
            </w:pPr>
          </w:p>
        </w:tc>
      </w:tr>
      <w:tr>
        <w:trPr>
          <w:trHeight w:val="264"/>
        </w:trPr>
        <w:tc>
          <w:tcPr>
            <w:tcW w:w="260" w:type="dxa"/>
            <w:vAlign w:val="bottom"/>
          </w:tcPr>
          <w:p>
            <w:pPr>
              <w:spacing w:after="0"/>
              <w:rPr>
                <w:sz w:val="22"/>
                <w:szCs w:val="22"/>
                <w:color w:val="auto"/>
              </w:rPr>
            </w:pPr>
          </w:p>
        </w:tc>
        <w:tc>
          <w:tcPr>
            <w:tcW w:w="1180" w:type="dxa"/>
            <w:vAlign w:val="bottom"/>
            <w:tcBorders>
              <w:right w:val="single" w:sz="8" w:color="auto"/>
            </w:tcBorders>
          </w:tcPr>
          <w:p>
            <w:pPr>
              <w:spacing w:after="0"/>
              <w:rPr>
                <w:sz w:val="22"/>
                <w:szCs w:val="22"/>
                <w:color w:val="auto"/>
              </w:rPr>
            </w:pP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Ms. Marram</w:t>
            </w:r>
          </w:p>
        </w:tc>
        <w:tc>
          <w:tcPr>
            <w:tcW w:w="980" w:type="dxa"/>
            <w:vAlign w:val="bottom"/>
            <w:tcBorders>
              <w:bottom w:val="single" w:sz="8" w:color="auto"/>
              <w:right w:val="single" w:sz="8" w:color="auto"/>
            </w:tcBorders>
            <w:gridSpan w:val="2"/>
          </w:tcPr>
          <w:p>
            <w:pPr>
              <w:jc w:val="right"/>
              <w:ind w:right="325"/>
              <w:spacing w:after="0"/>
              <w:rPr>
                <w:sz w:val="20"/>
                <w:szCs w:val="20"/>
                <w:color w:val="auto"/>
              </w:rPr>
            </w:pPr>
            <w:r>
              <w:rPr>
                <w:rFonts w:ascii="Arial" w:cs="Arial" w:eastAsia="Arial" w:hAnsi="Arial"/>
                <w:sz w:val="16"/>
                <w:szCs w:val="16"/>
                <w:b w:val="1"/>
                <w:bCs w:val="1"/>
                <w:color w:val="EE2724"/>
              </w:rPr>
              <w:t>LD</w:t>
            </w:r>
          </w:p>
        </w:tc>
        <w:tc>
          <w:tcPr>
            <w:tcW w:w="760" w:type="dxa"/>
            <w:vAlign w:val="bottom"/>
            <w:tcBorders>
              <w:bottom w:val="single" w:sz="8" w:color="auto"/>
              <w:right w:val="single" w:sz="8" w:color="auto"/>
            </w:tcBorders>
          </w:tcPr>
          <w:p>
            <w:pPr>
              <w:spacing w:after="0"/>
              <w:rPr>
                <w:sz w:val="22"/>
                <w:szCs w:val="22"/>
                <w:color w:val="auto"/>
              </w:rPr>
            </w:pPr>
          </w:p>
        </w:tc>
        <w:tc>
          <w:tcPr>
            <w:tcW w:w="1120" w:type="dxa"/>
            <w:vAlign w:val="bottom"/>
            <w:tcBorders>
              <w:bottom w:val="single" w:sz="8" w:color="auto"/>
              <w:right w:val="single" w:sz="8" w:color="auto"/>
            </w:tcBorders>
          </w:tcPr>
          <w:p>
            <w:pPr>
              <w:ind w:left="500"/>
              <w:spacing w:after="0"/>
              <w:rPr>
                <w:sz w:val="20"/>
                <w:szCs w:val="20"/>
                <w:color w:val="auto"/>
              </w:rPr>
            </w:pPr>
            <w:r>
              <w:rPr>
                <w:rFonts w:ascii="Arial" w:cs="Arial" w:eastAsia="Arial" w:hAnsi="Arial"/>
                <w:sz w:val="18"/>
                <w:szCs w:val="18"/>
                <w:color w:val="auto"/>
              </w:rPr>
              <w:t>ü</w:t>
            </w:r>
          </w:p>
        </w:tc>
        <w:tc>
          <w:tcPr>
            <w:tcW w:w="1320" w:type="dxa"/>
            <w:vAlign w:val="bottom"/>
            <w:tcBorders>
              <w:bottom w:val="single" w:sz="8" w:color="auto"/>
              <w:right w:val="single" w:sz="8" w:color="auto"/>
            </w:tcBorders>
          </w:tcPr>
          <w:p>
            <w:pPr>
              <w:ind w:left="580"/>
              <w:spacing w:after="0"/>
              <w:rPr>
                <w:sz w:val="20"/>
                <w:szCs w:val="20"/>
                <w:color w:val="auto"/>
              </w:rPr>
            </w:pPr>
            <w:r>
              <w:rPr>
                <w:rFonts w:ascii="Arial" w:cs="Arial" w:eastAsia="Arial" w:hAnsi="Arial"/>
                <w:sz w:val="16"/>
                <w:szCs w:val="16"/>
                <w:b w:val="1"/>
                <w:bCs w:val="1"/>
                <w:color w:val="EE2724"/>
              </w:rPr>
              <w:t>C</w:t>
            </w:r>
          </w:p>
        </w:tc>
        <w:tc>
          <w:tcPr>
            <w:tcW w:w="1000" w:type="dxa"/>
            <w:vAlign w:val="bottom"/>
            <w:tcBorders>
              <w:bottom w:val="single" w:sz="8" w:color="auto"/>
              <w:right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40" w:type="dxa"/>
            <w:vAlign w:val="bottom"/>
            <w:tcBorders>
              <w:bottom w:val="single" w:sz="8" w:color="auto"/>
              <w:right w:val="single" w:sz="8" w:color="auto"/>
            </w:tcBorders>
          </w:tcPr>
          <w:p>
            <w:pPr>
              <w:spacing w:after="0"/>
              <w:rPr>
                <w:sz w:val="22"/>
                <w:szCs w:val="22"/>
                <w:color w:val="auto"/>
              </w:rPr>
            </w:pPr>
          </w:p>
        </w:tc>
        <w:tc>
          <w:tcPr>
            <w:tcW w:w="1000" w:type="dxa"/>
            <w:vAlign w:val="bottom"/>
            <w:tcBorders>
              <w:bottom w:val="single" w:sz="8" w:color="auto"/>
              <w:right w:val="single" w:sz="8" w:color="auto"/>
            </w:tcBorders>
          </w:tcPr>
          <w:p>
            <w:pPr>
              <w:spacing w:after="0"/>
              <w:rPr>
                <w:sz w:val="22"/>
                <w:szCs w:val="22"/>
                <w:color w:val="auto"/>
              </w:rPr>
            </w:pPr>
          </w:p>
        </w:tc>
      </w:tr>
      <w:tr>
        <w:trPr>
          <w:trHeight w:val="264"/>
        </w:trPr>
        <w:tc>
          <w:tcPr>
            <w:tcW w:w="260" w:type="dxa"/>
            <w:vAlign w:val="bottom"/>
          </w:tcPr>
          <w:p>
            <w:pPr>
              <w:spacing w:after="0"/>
              <w:rPr>
                <w:sz w:val="22"/>
                <w:szCs w:val="22"/>
                <w:color w:val="auto"/>
              </w:rPr>
            </w:pPr>
          </w:p>
        </w:tc>
        <w:tc>
          <w:tcPr>
            <w:tcW w:w="1180" w:type="dxa"/>
            <w:vAlign w:val="bottom"/>
            <w:tcBorders>
              <w:right w:val="single" w:sz="8" w:color="auto"/>
            </w:tcBorders>
          </w:tcPr>
          <w:p>
            <w:pPr>
              <w:spacing w:after="0"/>
              <w:rPr>
                <w:sz w:val="22"/>
                <w:szCs w:val="22"/>
                <w:color w:val="auto"/>
              </w:rPr>
            </w:pP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Mr. Ricks</w:t>
            </w:r>
          </w:p>
        </w:tc>
        <w:tc>
          <w:tcPr>
            <w:tcW w:w="980" w:type="dxa"/>
            <w:vAlign w:val="bottom"/>
            <w:tcBorders>
              <w:bottom w:val="single" w:sz="8" w:color="auto"/>
              <w:right w:val="single" w:sz="8" w:color="auto"/>
            </w:tcBorders>
            <w:gridSpan w:val="2"/>
          </w:tcPr>
          <w:p>
            <w:pPr>
              <w:jc w:val="right"/>
              <w:ind w:right="385"/>
              <w:spacing w:after="0"/>
              <w:rPr>
                <w:sz w:val="20"/>
                <w:szCs w:val="20"/>
                <w:color w:val="auto"/>
              </w:rPr>
            </w:pPr>
            <w:r>
              <w:rPr>
                <w:rFonts w:ascii="Arial" w:cs="Arial" w:eastAsia="Arial" w:hAnsi="Arial"/>
                <w:sz w:val="18"/>
                <w:szCs w:val="18"/>
                <w:b w:val="1"/>
                <w:bCs w:val="1"/>
                <w:color w:val="auto"/>
              </w:rPr>
              <w:t>ü</w:t>
            </w:r>
          </w:p>
        </w:tc>
        <w:tc>
          <w:tcPr>
            <w:tcW w:w="760" w:type="dxa"/>
            <w:vAlign w:val="bottom"/>
            <w:tcBorders>
              <w:bottom w:val="single" w:sz="8" w:color="auto"/>
              <w:right w:val="single" w:sz="8" w:color="auto"/>
            </w:tcBorders>
          </w:tcPr>
          <w:p>
            <w:pPr>
              <w:spacing w:after="0"/>
              <w:rPr>
                <w:sz w:val="22"/>
                <w:szCs w:val="22"/>
                <w:color w:val="auto"/>
              </w:rPr>
            </w:pPr>
          </w:p>
        </w:tc>
        <w:tc>
          <w:tcPr>
            <w:tcW w:w="1120" w:type="dxa"/>
            <w:vAlign w:val="bottom"/>
            <w:tcBorders>
              <w:bottom w:val="single" w:sz="8" w:color="auto"/>
              <w:right w:val="single" w:sz="8" w:color="auto"/>
            </w:tcBorders>
          </w:tcPr>
          <w:p>
            <w:pPr>
              <w:spacing w:after="0"/>
              <w:rPr>
                <w:sz w:val="22"/>
                <w:szCs w:val="22"/>
                <w:color w:val="auto"/>
              </w:rPr>
            </w:pPr>
          </w:p>
        </w:tc>
        <w:tc>
          <w:tcPr>
            <w:tcW w:w="1320" w:type="dxa"/>
            <w:vAlign w:val="bottom"/>
            <w:tcBorders>
              <w:bottom w:val="single" w:sz="8" w:color="auto"/>
              <w:right w:val="single" w:sz="8" w:color="auto"/>
            </w:tcBorders>
          </w:tcPr>
          <w:p>
            <w:pPr>
              <w:spacing w:after="0"/>
              <w:rPr>
                <w:sz w:val="22"/>
                <w:szCs w:val="22"/>
                <w:color w:val="auto"/>
              </w:rPr>
            </w:pPr>
          </w:p>
        </w:tc>
        <w:tc>
          <w:tcPr>
            <w:tcW w:w="1000" w:type="dxa"/>
            <w:vAlign w:val="bottom"/>
            <w:tcBorders>
              <w:bottom w:val="single" w:sz="8" w:color="auto"/>
              <w:right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40" w:type="dxa"/>
            <w:vAlign w:val="bottom"/>
            <w:tcBorders>
              <w:bottom w:val="single" w:sz="8" w:color="auto"/>
              <w:right w:val="single" w:sz="8" w:color="auto"/>
            </w:tcBorders>
          </w:tcPr>
          <w:p>
            <w:pPr>
              <w:spacing w:after="0"/>
              <w:rPr>
                <w:sz w:val="22"/>
                <w:szCs w:val="22"/>
                <w:color w:val="auto"/>
              </w:rPr>
            </w:pPr>
          </w:p>
        </w:tc>
        <w:tc>
          <w:tcPr>
            <w:tcW w:w="1000" w:type="dxa"/>
            <w:vAlign w:val="bottom"/>
            <w:tcBorders>
              <w:bottom w:val="single" w:sz="8" w:color="auto"/>
              <w:right w:val="single" w:sz="8" w:color="auto"/>
            </w:tcBorders>
          </w:tcPr>
          <w:p>
            <w:pPr>
              <w:spacing w:after="0"/>
              <w:rPr>
                <w:sz w:val="22"/>
                <w:szCs w:val="22"/>
                <w:color w:val="auto"/>
              </w:rPr>
            </w:pPr>
          </w:p>
        </w:tc>
      </w:tr>
      <w:tr>
        <w:trPr>
          <w:trHeight w:val="264"/>
        </w:trPr>
        <w:tc>
          <w:tcPr>
            <w:tcW w:w="260" w:type="dxa"/>
            <w:vAlign w:val="bottom"/>
          </w:tcPr>
          <w:p>
            <w:pPr>
              <w:spacing w:after="0"/>
              <w:rPr>
                <w:sz w:val="22"/>
                <w:szCs w:val="22"/>
                <w:color w:val="auto"/>
              </w:rPr>
            </w:pPr>
          </w:p>
        </w:tc>
        <w:tc>
          <w:tcPr>
            <w:tcW w:w="1180" w:type="dxa"/>
            <w:vAlign w:val="bottom"/>
            <w:tcBorders>
              <w:right w:val="single" w:sz="8" w:color="auto"/>
            </w:tcBorders>
          </w:tcPr>
          <w:p>
            <w:pPr>
              <w:spacing w:after="0"/>
              <w:rPr>
                <w:sz w:val="22"/>
                <w:szCs w:val="22"/>
                <w:color w:val="auto"/>
              </w:rPr>
            </w:pP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Dr. Runge</w:t>
            </w:r>
          </w:p>
        </w:tc>
        <w:tc>
          <w:tcPr>
            <w:tcW w:w="420" w:type="dxa"/>
            <w:vAlign w:val="bottom"/>
            <w:tcBorders>
              <w:bottom w:val="single" w:sz="8" w:color="auto"/>
            </w:tcBorders>
          </w:tcPr>
          <w:p>
            <w:pPr>
              <w:spacing w:after="0"/>
              <w:rPr>
                <w:sz w:val="22"/>
                <w:szCs w:val="22"/>
                <w:color w:val="auto"/>
              </w:rPr>
            </w:pPr>
          </w:p>
        </w:tc>
        <w:tc>
          <w:tcPr>
            <w:tcW w:w="560" w:type="dxa"/>
            <w:vAlign w:val="bottom"/>
            <w:tcBorders>
              <w:bottom w:val="single" w:sz="8" w:color="auto"/>
              <w:right w:val="single" w:sz="8" w:color="auto"/>
            </w:tcBorders>
          </w:tcPr>
          <w:p>
            <w:pPr>
              <w:jc w:val="right"/>
              <w:ind w:right="405"/>
              <w:spacing w:after="0"/>
              <w:rPr>
                <w:sz w:val="20"/>
                <w:szCs w:val="20"/>
                <w:color w:val="auto"/>
              </w:rPr>
            </w:pPr>
            <w:r>
              <w:rPr>
                <w:rFonts w:ascii="Arial" w:cs="Arial" w:eastAsia="Arial" w:hAnsi="Arial"/>
                <w:sz w:val="15"/>
                <w:szCs w:val="15"/>
                <w:color w:val="auto"/>
                <w:w w:val="71"/>
              </w:rPr>
              <w:t>ü</w:t>
            </w:r>
          </w:p>
        </w:tc>
        <w:tc>
          <w:tcPr>
            <w:tcW w:w="760" w:type="dxa"/>
            <w:vAlign w:val="bottom"/>
            <w:tcBorders>
              <w:bottom w:val="single" w:sz="8" w:color="auto"/>
              <w:right w:val="single" w:sz="8" w:color="auto"/>
            </w:tcBorders>
          </w:tcPr>
          <w:p>
            <w:pPr>
              <w:spacing w:after="0"/>
              <w:rPr>
                <w:sz w:val="22"/>
                <w:szCs w:val="22"/>
                <w:color w:val="auto"/>
              </w:rPr>
            </w:pPr>
          </w:p>
        </w:tc>
        <w:tc>
          <w:tcPr>
            <w:tcW w:w="1120" w:type="dxa"/>
            <w:vAlign w:val="bottom"/>
            <w:tcBorders>
              <w:bottom w:val="single" w:sz="8" w:color="auto"/>
              <w:right w:val="single" w:sz="8" w:color="auto"/>
            </w:tcBorders>
          </w:tcPr>
          <w:p>
            <w:pPr>
              <w:spacing w:after="0"/>
              <w:rPr>
                <w:sz w:val="22"/>
                <w:szCs w:val="22"/>
                <w:color w:val="auto"/>
              </w:rPr>
            </w:pPr>
          </w:p>
        </w:tc>
        <w:tc>
          <w:tcPr>
            <w:tcW w:w="1320" w:type="dxa"/>
            <w:vAlign w:val="bottom"/>
            <w:tcBorders>
              <w:bottom w:val="single" w:sz="8" w:color="auto"/>
              <w:right w:val="single" w:sz="8" w:color="auto"/>
            </w:tcBorders>
          </w:tcPr>
          <w:p>
            <w:pPr>
              <w:spacing w:after="0"/>
              <w:rPr>
                <w:sz w:val="22"/>
                <w:szCs w:val="22"/>
                <w:color w:val="auto"/>
              </w:rPr>
            </w:pPr>
          </w:p>
        </w:tc>
        <w:tc>
          <w:tcPr>
            <w:tcW w:w="1000" w:type="dxa"/>
            <w:vAlign w:val="bottom"/>
            <w:tcBorders>
              <w:bottom w:val="single" w:sz="8" w:color="auto"/>
              <w:right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ü</w:t>
            </w:r>
          </w:p>
        </w:tc>
        <w:tc>
          <w:tcPr>
            <w:tcW w:w="1000" w:type="dxa"/>
            <w:vAlign w:val="bottom"/>
            <w:tcBorders>
              <w:bottom w:val="single" w:sz="8" w:color="auto"/>
              <w:right w:val="single" w:sz="8" w:color="auto"/>
            </w:tcBorders>
          </w:tcPr>
          <w:p>
            <w:pPr>
              <w:ind w:left="440"/>
              <w:spacing w:after="0"/>
              <w:rPr>
                <w:sz w:val="20"/>
                <w:szCs w:val="20"/>
                <w:color w:val="auto"/>
              </w:rPr>
            </w:pPr>
            <w:r>
              <w:rPr>
                <w:rFonts w:ascii="Arial" w:cs="Arial" w:eastAsia="Arial" w:hAnsi="Arial"/>
                <w:sz w:val="18"/>
                <w:szCs w:val="18"/>
                <w:color w:val="auto"/>
              </w:rPr>
              <w:t>ü</w:t>
            </w:r>
          </w:p>
        </w:tc>
      </w:tr>
      <w:tr>
        <w:trPr>
          <w:trHeight w:val="264"/>
        </w:trPr>
        <w:tc>
          <w:tcPr>
            <w:tcW w:w="260" w:type="dxa"/>
            <w:vAlign w:val="bottom"/>
          </w:tcPr>
          <w:p>
            <w:pPr>
              <w:spacing w:after="0"/>
              <w:rPr>
                <w:sz w:val="22"/>
                <w:szCs w:val="22"/>
                <w:color w:val="auto"/>
              </w:rPr>
            </w:pPr>
          </w:p>
        </w:tc>
        <w:tc>
          <w:tcPr>
            <w:tcW w:w="1180" w:type="dxa"/>
            <w:vAlign w:val="bottom"/>
            <w:tcBorders>
              <w:right w:val="single" w:sz="8" w:color="auto"/>
            </w:tcBorders>
          </w:tcPr>
          <w:p>
            <w:pPr>
              <w:spacing w:after="0"/>
              <w:rPr>
                <w:sz w:val="22"/>
                <w:szCs w:val="22"/>
                <w:color w:val="auto"/>
              </w:rPr>
            </w:pP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Ms. Seifert</w:t>
            </w:r>
          </w:p>
        </w:tc>
        <w:tc>
          <w:tcPr>
            <w:tcW w:w="420" w:type="dxa"/>
            <w:vAlign w:val="bottom"/>
            <w:tcBorders>
              <w:bottom w:val="single" w:sz="8" w:color="auto"/>
            </w:tcBorders>
          </w:tcPr>
          <w:p>
            <w:pPr>
              <w:spacing w:after="0"/>
              <w:rPr>
                <w:sz w:val="22"/>
                <w:szCs w:val="22"/>
                <w:color w:val="auto"/>
              </w:rPr>
            </w:pPr>
          </w:p>
        </w:tc>
        <w:tc>
          <w:tcPr>
            <w:tcW w:w="560" w:type="dxa"/>
            <w:vAlign w:val="bottom"/>
            <w:tcBorders>
              <w:bottom w:val="single" w:sz="8" w:color="auto"/>
              <w:right w:val="single" w:sz="8" w:color="auto"/>
            </w:tcBorders>
          </w:tcPr>
          <w:p>
            <w:pPr>
              <w:jc w:val="right"/>
              <w:ind w:right="405"/>
              <w:spacing w:after="0"/>
              <w:rPr>
                <w:sz w:val="20"/>
                <w:szCs w:val="20"/>
                <w:color w:val="auto"/>
              </w:rPr>
            </w:pPr>
            <w:r>
              <w:rPr>
                <w:rFonts w:ascii="Arial" w:cs="Arial" w:eastAsia="Arial" w:hAnsi="Arial"/>
                <w:sz w:val="15"/>
                <w:szCs w:val="15"/>
                <w:color w:val="auto"/>
                <w:w w:val="71"/>
              </w:rPr>
              <w:t>ü</w:t>
            </w:r>
          </w:p>
        </w:tc>
        <w:tc>
          <w:tcPr>
            <w:tcW w:w="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1120" w:type="dxa"/>
            <w:vAlign w:val="bottom"/>
            <w:tcBorders>
              <w:bottom w:val="single" w:sz="8" w:color="auto"/>
              <w:right w:val="single" w:sz="8" w:color="auto"/>
            </w:tcBorders>
          </w:tcPr>
          <w:p>
            <w:pPr>
              <w:ind w:left="500"/>
              <w:spacing w:after="0"/>
              <w:rPr>
                <w:sz w:val="20"/>
                <w:szCs w:val="20"/>
                <w:color w:val="auto"/>
              </w:rPr>
            </w:pPr>
            <w:r>
              <w:rPr>
                <w:rFonts w:ascii="Arial" w:cs="Arial" w:eastAsia="Arial" w:hAnsi="Arial"/>
                <w:sz w:val="18"/>
                <w:szCs w:val="18"/>
                <w:color w:val="auto"/>
              </w:rPr>
              <w:t>ü</w:t>
            </w:r>
          </w:p>
        </w:tc>
        <w:tc>
          <w:tcPr>
            <w:tcW w:w="1320" w:type="dxa"/>
            <w:vAlign w:val="bottom"/>
            <w:tcBorders>
              <w:bottom w:val="single" w:sz="8" w:color="auto"/>
              <w:right w:val="single" w:sz="8" w:color="auto"/>
            </w:tcBorders>
          </w:tcPr>
          <w:p>
            <w:pPr>
              <w:spacing w:after="0"/>
              <w:rPr>
                <w:sz w:val="22"/>
                <w:szCs w:val="22"/>
                <w:color w:val="auto"/>
              </w:rPr>
            </w:pPr>
          </w:p>
        </w:tc>
        <w:tc>
          <w:tcPr>
            <w:tcW w:w="1000" w:type="dxa"/>
            <w:vAlign w:val="bottom"/>
            <w:tcBorders>
              <w:bottom w:val="single" w:sz="8" w:color="auto"/>
              <w:right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40" w:type="dxa"/>
            <w:vAlign w:val="bottom"/>
            <w:tcBorders>
              <w:bottom w:val="single" w:sz="8" w:color="auto"/>
              <w:right w:val="single" w:sz="8" w:color="auto"/>
            </w:tcBorders>
          </w:tcPr>
          <w:p>
            <w:pPr>
              <w:spacing w:after="0"/>
              <w:rPr>
                <w:sz w:val="22"/>
                <w:szCs w:val="22"/>
                <w:color w:val="auto"/>
              </w:rPr>
            </w:pPr>
          </w:p>
        </w:tc>
        <w:tc>
          <w:tcPr>
            <w:tcW w:w="1000" w:type="dxa"/>
            <w:vAlign w:val="bottom"/>
            <w:tcBorders>
              <w:bottom w:val="single" w:sz="8" w:color="auto"/>
              <w:right w:val="single" w:sz="8" w:color="auto"/>
            </w:tcBorders>
          </w:tcPr>
          <w:p>
            <w:pPr>
              <w:spacing w:after="0"/>
              <w:rPr>
                <w:sz w:val="22"/>
                <w:szCs w:val="22"/>
                <w:color w:val="auto"/>
              </w:rPr>
            </w:pPr>
          </w:p>
        </w:tc>
      </w:tr>
      <w:tr>
        <w:trPr>
          <w:trHeight w:val="264"/>
        </w:trPr>
        <w:tc>
          <w:tcPr>
            <w:tcW w:w="260" w:type="dxa"/>
            <w:vAlign w:val="bottom"/>
          </w:tcPr>
          <w:p>
            <w:pPr>
              <w:spacing w:after="0"/>
              <w:rPr>
                <w:sz w:val="22"/>
                <w:szCs w:val="22"/>
                <w:color w:val="auto"/>
              </w:rPr>
            </w:pPr>
          </w:p>
        </w:tc>
        <w:tc>
          <w:tcPr>
            <w:tcW w:w="1180" w:type="dxa"/>
            <w:vAlign w:val="bottom"/>
            <w:tcBorders>
              <w:right w:val="single" w:sz="8" w:color="auto"/>
            </w:tcBorders>
          </w:tcPr>
          <w:p>
            <w:pPr>
              <w:spacing w:after="0"/>
              <w:rPr>
                <w:sz w:val="22"/>
                <w:szCs w:val="22"/>
                <w:color w:val="auto"/>
              </w:rPr>
            </w:pP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Mr. Tai</w:t>
            </w:r>
          </w:p>
        </w:tc>
        <w:tc>
          <w:tcPr>
            <w:tcW w:w="420" w:type="dxa"/>
            <w:vAlign w:val="bottom"/>
            <w:tcBorders>
              <w:bottom w:val="single" w:sz="8" w:color="auto"/>
            </w:tcBorders>
          </w:tcPr>
          <w:p>
            <w:pPr>
              <w:spacing w:after="0"/>
              <w:rPr>
                <w:sz w:val="22"/>
                <w:szCs w:val="22"/>
                <w:color w:val="auto"/>
              </w:rPr>
            </w:pPr>
          </w:p>
        </w:tc>
        <w:tc>
          <w:tcPr>
            <w:tcW w:w="560" w:type="dxa"/>
            <w:vAlign w:val="bottom"/>
            <w:tcBorders>
              <w:bottom w:val="single" w:sz="8" w:color="auto"/>
              <w:right w:val="single" w:sz="8" w:color="auto"/>
            </w:tcBorders>
          </w:tcPr>
          <w:p>
            <w:pPr>
              <w:jc w:val="right"/>
              <w:ind w:right="405"/>
              <w:spacing w:after="0"/>
              <w:rPr>
                <w:sz w:val="20"/>
                <w:szCs w:val="20"/>
                <w:color w:val="auto"/>
              </w:rPr>
            </w:pPr>
            <w:r>
              <w:rPr>
                <w:rFonts w:ascii="Arial" w:cs="Arial" w:eastAsia="Arial" w:hAnsi="Arial"/>
                <w:sz w:val="15"/>
                <w:szCs w:val="15"/>
                <w:color w:val="auto"/>
                <w:w w:val="71"/>
              </w:rPr>
              <w:t>ü</w:t>
            </w:r>
          </w:p>
        </w:tc>
        <w:tc>
          <w:tcPr>
            <w:tcW w:w="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1120" w:type="dxa"/>
            <w:vAlign w:val="bottom"/>
            <w:tcBorders>
              <w:bottom w:val="single" w:sz="8" w:color="auto"/>
              <w:right w:val="single" w:sz="8" w:color="auto"/>
            </w:tcBorders>
          </w:tcPr>
          <w:p>
            <w:pPr>
              <w:spacing w:after="0"/>
              <w:rPr>
                <w:sz w:val="22"/>
                <w:szCs w:val="22"/>
                <w:color w:val="auto"/>
              </w:rPr>
            </w:pPr>
          </w:p>
        </w:tc>
        <w:tc>
          <w:tcPr>
            <w:tcW w:w="1320" w:type="dxa"/>
            <w:vAlign w:val="bottom"/>
            <w:tcBorders>
              <w:bottom w:val="single" w:sz="8" w:color="auto"/>
              <w:right w:val="single" w:sz="8" w:color="auto"/>
            </w:tcBorders>
          </w:tcPr>
          <w:p>
            <w:pPr>
              <w:spacing w:after="0"/>
              <w:rPr>
                <w:sz w:val="22"/>
                <w:szCs w:val="22"/>
                <w:color w:val="auto"/>
              </w:rPr>
            </w:pPr>
          </w:p>
        </w:tc>
        <w:tc>
          <w:tcPr>
            <w:tcW w:w="1000" w:type="dxa"/>
            <w:vAlign w:val="bottom"/>
            <w:tcBorders>
              <w:bottom w:val="single" w:sz="8" w:color="auto"/>
              <w:right w:val="single" w:sz="8" w:color="auto"/>
            </w:tcBorders>
          </w:tcPr>
          <w:p>
            <w:pPr>
              <w:ind w:left="440"/>
              <w:spacing w:after="0"/>
              <w:rPr>
                <w:sz w:val="20"/>
                <w:szCs w:val="20"/>
                <w:color w:val="auto"/>
              </w:rPr>
            </w:pPr>
            <w:r>
              <w:rPr>
                <w:rFonts w:ascii="Arial" w:cs="Arial" w:eastAsia="Arial" w:hAnsi="Arial"/>
                <w:sz w:val="18"/>
                <w:szCs w:val="18"/>
                <w:color w:val="auto"/>
              </w:rPr>
              <w:t>ü</w:t>
            </w:r>
          </w:p>
        </w:tc>
        <w:tc>
          <w:tcPr>
            <w:tcW w:w="300" w:type="dxa"/>
            <w:vAlign w:val="bottom"/>
            <w:tcBorders>
              <w:bottom w:val="single" w:sz="8" w:color="auto"/>
            </w:tcBorders>
          </w:tcPr>
          <w:p>
            <w:pPr>
              <w:spacing w:after="0"/>
              <w:rPr>
                <w:sz w:val="22"/>
                <w:szCs w:val="22"/>
                <w:color w:val="auto"/>
              </w:rPr>
            </w:pPr>
          </w:p>
        </w:tc>
        <w:tc>
          <w:tcPr>
            <w:tcW w:w="740" w:type="dxa"/>
            <w:vAlign w:val="bottom"/>
            <w:tcBorders>
              <w:bottom w:val="single" w:sz="8" w:color="auto"/>
              <w:right w:val="single" w:sz="8" w:color="auto"/>
            </w:tcBorders>
          </w:tcPr>
          <w:p>
            <w:pPr>
              <w:spacing w:after="0"/>
              <w:rPr>
                <w:sz w:val="22"/>
                <w:szCs w:val="22"/>
                <w:color w:val="auto"/>
              </w:rPr>
            </w:pPr>
          </w:p>
        </w:tc>
        <w:tc>
          <w:tcPr>
            <w:tcW w:w="1000" w:type="dxa"/>
            <w:vAlign w:val="bottom"/>
            <w:tcBorders>
              <w:bottom w:val="single" w:sz="8" w:color="auto"/>
              <w:right w:val="single" w:sz="8" w:color="auto"/>
            </w:tcBorders>
          </w:tcPr>
          <w:p>
            <w:pPr>
              <w:spacing w:after="0"/>
              <w:rPr>
                <w:sz w:val="22"/>
                <w:szCs w:val="22"/>
                <w:color w:val="auto"/>
              </w:rPr>
            </w:pPr>
          </w:p>
        </w:tc>
      </w:tr>
      <w:tr>
        <w:trPr>
          <w:trHeight w:val="193"/>
        </w:trPr>
        <w:tc>
          <w:tcPr>
            <w:tcW w:w="260" w:type="dxa"/>
            <w:vAlign w:val="bottom"/>
          </w:tcPr>
          <w:p>
            <w:pPr>
              <w:spacing w:after="0"/>
              <w:rPr>
                <w:sz w:val="16"/>
                <w:szCs w:val="16"/>
                <w:color w:val="auto"/>
              </w:rPr>
            </w:pPr>
          </w:p>
        </w:tc>
        <w:tc>
          <w:tcPr>
            <w:tcW w:w="1180" w:type="dxa"/>
            <w:vAlign w:val="bottom"/>
            <w:tcBorders>
              <w:right w:val="single" w:sz="8" w:color="auto"/>
            </w:tcBorders>
          </w:tcPr>
          <w:p>
            <w:pPr>
              <w:spacing w:after="0"/>
              <w:rPr>
                <w:sz w:val="16"/>
                <w:szCs w:val="16"/>
                <w:color w:val="auto"/>
              </w:rPr>
            </w:pPr>
          </w:p>
        </w:tc>
        <w:tc>
          <w:tcPr>
            <w:tcW w:w="13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Number of 2017</w:t>
            </w:r>
          </w:p>
        </w:tc>
        <w:tc>
          <w:tcPr>
            <w:tcW w:w="42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r>
      <w:tr>
        <w:trPr>
          <w:trHeight w:val="178"/>
        </w:trPr>
        <w:tc>
          <w:tcPr>
            <w:tcW w:w="260" w:type="dxa"/>
            <w:vAlign w:val="bottom"/>
          </w:tcPr>
          <w:p>
            <w:pPr>
              <w:spacing w:after="0"/>
              <w:rPr>
                <w:sz w:val="15"/>
                <w:szCs w:val="15"/>
                <w:color w:val="auto"/>
              </w:rPr>
            </w:pPr>
          </w:p>
        </w:tc>
        <w:tc>
          <w:tcPr>
            <w:tcW w:w="1180" w:type="dxa"/>
            <w:vAlign w:val="bottom"/>
            <w:tcBorders>
              <w:right w:val="single" w:sz="8" w:color="auto"/>
            </w:tcBorders>
          </w:tcPr>
          <w:p>
            <w:pPr>
              <w:spacing w:after="0"/>
              <w:rPr>
                <w:sz w:val="15"/>
                <w:szCs w:val="15"/>
                <w:color w:val="auto"/>
              </w:rPr>
            </w:pP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Meetings</w:t>
            </w:r>
          </w:p>
        </w:tc>
        <w:tc>
          <w:tcPr>
            <w:tcW w:w="980" w:type="dxa"/>
            <w:vAlign w:val="bottom"/>
            <w:tcBorders>
              <w:bottom w:val="single" w:sz="8" w:color="auto"/>
              <w:right w:val="single" w:sz="8" w:color="auto"/>
            </w:tcBorders>
            <w:gridSpan w:val="2"/>
          </w:tcPr>
          <w:p>
            <w:pPr>
              <w:jc w:val="right"/>
              <w:ind w:right="405"/>
              <w:spacing w:after="0"/>
              <w:rPr>
                <w:sz w:val="20"/>
                <w:szCs w:val="20"/>
                <w:color w:val="auto"/>
              </w:rPr>
            </w:pPr>
            <w:r>
              <w:rPr>
                <w:rFonts w:ascii="Arial" w:cs="Arial" w:eastAsia="Arial" w:hAnsi="Arial"/>
                <w:sz w:val="14"/>
                <w:szCs w:val="14"/>
                <w:color w:val="auto"/>
              </w:rPr>
              <w:t>8</w:t>
            </w:r>
          </w:p>
        </w:tc>
        <w:tc>
          <w:tcPr>
            <w:tcW w:w="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10</w:t>
            </w:r>
          </w:p>
        </w:tc>
        <w:tc>
          <w:tcPr>
            <w:tcW w:w="1120" w:type="dxa"/>
            <w:vAlign w:val="bottom"/>
            <w:tcBorders>
              <w:bottom w:val="single" w:sz="8" w:color="auto"/>
              <w:right w:val="single" w:sz="8" w:color="auto"/>
            </w:tcBorders>
          </w:tcPr>
          <w:p>
            <w:pPr>
              <w:ind w:left="500"/>
              <w:spacing w:after="0"/>
              <w:rPr>
                <w:sz w:val="20"/>
                <w:szCs w:val="20"/>
                <w:color w:val="auto"/>
              </w:rPr>
            </w:pPr>
            <w:r>
              <w:rPr>
                <w:rFonts w:ascii="Arial" w:cs="Arial" w:eastAsia="Arial" w:hAnsi="Arial"/>
                <w:sz w:val="14"/>
                <w:szCs w:val="14"/>
                <w:color w:val="auto"/>
              </w:rPr>
              <w:t>8</w:t>
            </w:r>
          </w:p>
        </w:tc>
        <w:tc>
          <w:tcPr>
            <w:tcW w:w="1320" w:type="dxa"/>
            <w:vAlign w:val="bottom"/>
            <w:tcBorders>
              <w:bottom w:val="single" w:sz="8" w:color="auto"/>
              <w:right w:val="single" w:sz="8" w:color="auto"/>
            </w:tcBorders>
          </w:tcPr>
          <w:p>
            <w:pPr>
              <w:ind w:left="600"/>
              <w:spacing w:after="0"/>
              <w:rPr>
                <w:sz w:val="20"/>
                <w:szCs w:val="20"/>
                <w:color w:val="auto"/>
              </w:rPr>
            </w:pPr>
            <w:r>
              <w:rPr>
                <w:rFonts w:ascii="Arial" w:cs="Arial" w:eastAsia="Arial" w:hAnsi="Arial"/>
                <w:sz w:val="14"/>
                <w:szCs w:val="14"/>
                <w:color w:val="auto"/>
              </w:rPr>
              <w:t>6</w:t>
            </w:r>
          </w:p>
        </w:tc>
        <w:tc>
          <w:tcPr>
            <w:tcW w:w="1000" w:type="dxa"/>
            <w:vAlign w:val="bottom"/>
            <w:tcBorders>
              <w:bottom w:val="single" w:sz="8" w:color="auto"/>
              <w:right w:val="single" w:sz="8" w:color="auto"/>
            </w:tcBorders>
          </w:tcPr>
          <w:p>
            <w:pPr>
              <w:ind w:left="440"/>
              <w:spacing w:after="0"/>
              <w:rPr>
                <w:sz w:val="20"/>
                <w:szCs w:val="20"/>
                <w:color w:val="auto"/>
              </w:rPr>
            </w:pPr>
            <w:r>
              <w:rPr>
                <w:rFonts w:ascii="Arial" w:cs="Arial" w:eastAsia="Arial" w:hAnsi="Arial"/>
                <w:sz w:val="14"/>
                <w:szCs w:val="14"/>
                <w:color w:val="auto"/>
              </w:rPr>
              <w:t>8</w:t>
            </w:r>
          </w:p>
        </w:tc>
        <w:tc>
          <w:tcPr>
            <w:tcW w:w="1040" w:type="dxa"/>
            <w:vAlign w:val="bottom"/>
            <w:tcBorders>
              <w:bottom w:val="single" w:sz="8" w:color="auto"/>
              <w:right w:val="single" w:sz="8" w:color="auto"/>
            </w:tcBorders>
            <w:gridSpan w:val="2"/>
          </w:tcPr>
          <w:p>
            <w:pPr>
              <w:ind w:left="460"/>
              <w:spacing w:after="0"/>
              <w:rPr>
                <w:sz w:val="20"/>
                <w:szCs w:val="20"/>
                <w:color w:val="auto"/>
              </w:rPr>
            </w:pPr>
            <w:r>
              <w:rPr>
                <w:rFonts w:ascii="Arial" w:cs="Arial" w:eastAsia="Arial" w:hAnsi="Arial"/>
                <w:sz w:val="14"/>
                <w:szCs w:val="14"/>
                <w:color w:val="auto"/>
              </w:rPr>
              <w:t>4</w:t>
            </w:r>
          </w:p>
        </w:tc>
        <w:tc>
          <w:tcPr>
            <w:tcW w:w="1000" w:type="dxa"/>
            <w:vAlign w:val="bottom"/>
            <w:tcBorders>
              <w:bottom w:val="single" w:sz="8" w:color="auto"/>
              <w:right w:val="single" w:sz="8" w:color="auto"/>
            </w:tcBorders>
          </w:tcPr>
          <w:p>
            <w:pPr>
              <w:ind w:left="440"/>
              <w:spacing w:after="0"/>
              <w:rPr>
                <w:sz w:val="20"/>
                <w:szCs w:val="20"/>
                <w:color w:val="auto"/>
              </w:rPr>
            </w:pPr>
            <w:r>
              <w:rPr>
                <w:rFonts w:ascii="Arial" w:cs="Arial" w:eastAsia="Arial" w:hAnsi="Arial"/>
                <w:sz w:val="14"/>
                <w:szCs w:val="14"/>
                <w:color w:val="auto"/>
              </w:rPr>
              <w:t>8</w:t>
            </w:r>
          </w:p>
        </w:tc>
      </w:tr>
      <w:tr>
        <w:trPr>
          <w:trHeight w:val="310"/>
        </w:trPr>
        <w:tc>
          <w:tcPr>
            <w:tcW w:w="260" w:type="dxa"/>
            <w:vAlign w:val="bottom"/>
          </w:tcPr>
          <w:p>
            <w:pPr>
              <w:spacing w:after="0"/>
              <w:rPr>
                <w:sz w:val="20"/>
                <w:szCs w:val="20"/>
                <w:color w:val="auto"/>
              </w:rPr>
            </w:pPr>
            <w:r>
              <w:rPr>
                <w:rFonts w:ascii="Arial" w:cs="Arial" w:eastAsia="Arial" w:hAnsi="Arial"/>
                <w:sz w:val="14"/>
                <w:szCs w:val="14"/>
                <w:b w:val="1"/>
                <w:bCs w:val="1"/>
                <w:color w:val="EE2724"/>
              </w:rPr>
              <w:t>C</w:t>
            </w:r>
          </w:p>
        </w:tc>
        <w:tc>
          <w:tcPr>
            <w:tcW w:w="2560" w:type="dxa"/>
            <w:vAlign w:val="bottom"/>
            <w:gridSpan w:val="2"/>
          </w:tcPr>
          <w:p>
            <w:pPr>
              <w:ind w:left="80"/>
              <w:spacing w:after="0"/>
              <w:rPr>
                <w:sz w:val="20"/>
                <w:szCs w:val="20"/>
                <w:color w:val="auto"/>
              </w:rPr>
            </w:pPr>
            <w:r>
              <w:rPr>
                <w:rFonts w:ascii="Arial" w:cs="Arial" w:eastAsia="Arial" w:hAnsi="Arial"/>
                <w:sz w:val="14"/>
                <w:szCs w:val="14"/>
                <w:b w:val="1"/>
                <w:bCs w:val="1"/>
                <w:color w:val="EE2724"/>
              </w:rPr>
              <w:t>Committee Chair</w:t>
            </w: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90"/>
        </w:trPr>
        <w:tc>
          <w:tcPr>
            <w:tcW w:w="260" w:type="dxa"/>
            <w:vAlign w:val="bottom"/>
          </w:tcPr>
          <w:p>
            <w:pPr>
              <w:spacing w:after="0"/>
              <w:rPr>
                <w:sz w:val="20"/>
                <w:szCs w:val="20"/>
                <w:color w:val="auto"/>
              </w:rPr>
            </w:pPr>
            <w:r>
              <w:rPr>
                <w:rFonts w:ascii="Arial" w:cs="Arial" w:eastAsia="Arial" w:hAnsi="Arial"/>
                <w:sz w:val="14"/>
                <w:szCs w:val="14"/>
                <w:b w:val="1"/>
                <w:bCs w:val="1"/>
                <w:color w:val="EE2724"/>
              </w:rPr>
              <w:t>LD</w:t>
            </w:r>
          </w:p>
        </w:tc>
        <w:tc>
          <w:tcPr>
            <w:tcW w:w="2560" w:type="dxa"/>
            <w:vAlign w:val="bottom"/>
            <w:gridSpan w:val="2"/>
          </w:tcPr>
          <w:p>
            <w:pPr>
              <w:ind w:left="80"/>
              <w:spacing w:after="0"/>
              <w:rPr>
                <w:sz w:val="20"/>
                <w:szCs w:val="20"/>
                <w:color w:val="auto"/>
              </w:rPr>
            </w:pPr>
            <w:r>
              <w:rPr>
                <w:rFonts w:ascii="Arial" w:cs="Arial" w:eastAsia="Arial" w:hAnsi="Arial"/>
                <w:sz w:val="14"/>
                <w:szCs w:val="14"/>
                <w:b w:val="1"/>
                <w:bCs w:val="1"/>
                <w:color w:val="EE2724"/>
              </w:rPr>
              <w:t xml:space="preserve">Lead </w:t>
            </w:r>
            <w:r>
              <w:rPr>
                <w:rFonts w:ascii="Arial" w:cs="Arial" w:eastAsia="Arial" w:hAnsi="Arial"/>
                <w:sz w:val="14"/>
                <w:szCs w:val="14"/>
                <w:b w:val="1"/>
                <w:bCs w:val="1"/>
                <w:color w:val="FF0000"/>
              </w:rPr>
              <w:t>Independent</w:t>
            </w:r>
            <w:r>
              <w:rPr>
                <w:rFonts w:ascii="Arial" w:cs="Arial" w:eastAsia="Arial" w:hAnsi="Arial"/>
                <w:sz w:val="14"/>
                <w:szCs w:val="14"/>
                <w:b w:val="1"/>
                <w:bCs w:val="1"/>
                <w:color w:val="EE2724"/>
              </w:rPr>
              <w:t xml:space="preserve"> Director</w:t>
            </w:r>
          </w:p>
        </w:tc>
        <w:tc>
          <w:tcPr>
            <w:tcW w:w="4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0" w:type="dxa"/>
            <w:vAlign w:val="bottom"/>
          </w:tcPr>
          <w:p>
            <w:pPr>
              <w:spacing w:after="0"/>
              <w:rPr>
                <w:sz w:val="16"/>
                <w:szCs w:val="16"/>
                <w:color w:val="auto"/>
              </w:rPr>
            </w:pPr>
          </w:p>
        </w:tc>
      </w:tr>
    </w:tbl>
    <w:p>
      <w:pPr>
        <w:spacing w:after="0" w:line="308" w:lineRule="exact"/>
        <w:rPr>
          <w:sz w:val="20"/>
          <w:szCs w:val="20"/>
          <w:color w:val="auto"/>
        </w:rPr>
      </w:pPr>
    </w:p>
    <w:p>
      <w:pPr>
        <w:ind w:right="360"/>
        <w:spacing w:after="0" w:line="262" w:lineRule="auto"/>
        <w:rPr>
          <w:rFonts w:ascii="Arial" w:cs="Arial" w:eastAsia="Arial" w:hAnsi="Arial"/>
          <w:sz w:val="18"/>
          <w:szCs w:val="18"/>
          <w:color w:val="auto"/>
        </w:rPr>
      </w:pPr>
      <w:r>
        <w:rPr>
          <w:rFonts w:ascii="Arial" w:cs="Arial" w:eastAsia="Arial" w:hAnsi="Arial"/>
          <w:sz w:val="18"/>
          <w:szCs w:val="18"/>
          <w:color w:val="auto"/>
        </w:rPr>
        <w:t xml:space="preserve">All six committee charters are available online at </w:t>
      </w:r>
      <w:hyperlink w:anchor="page28">
        <w:r>
          <w:rPr>
            <w:rFonts w:ascii="Arial" w:cs="Arial" w:eastAsia="Arial" w:hAnsi="Arial"/>
            <w:sz w:val="18"/>
            <w:szCs w:val="18"/>
            <w:color w:val="auto"/>
          </w:rPr>
          <w:t xml:space="preserve">https://www.lilly.com/who-we-are/governance, </w:t>
        </w:r>
      </w:hyperlink>
      <w:r>
        <w:rPr>
          <w:rFonts w:ascii="Arial" w:cs="Arial" w:eastAsia="Arial" w:hAnsi="Arial"/>
          <w:sz w:val="18"/>
          <w:szCs w:val="18"/>
          <w:color w:val="auto"/>
        </w:rPr>
        <w:t>or upon request to the company's corporate secretary.</w:t>
      </w:r>
    </w:p>
    <w:p>
      <w:pPr>
        <w:spacing w:after="0" w:line="248" w:lineRule="exact"/>
        <w:rPr>
          <w:sz w:val="20"/>
          <w:szCs w:val="20"/>
          <w:color w:val="auto"/>
        </w:rPr>
      </w:pPr>
    </w:p>
    <w:p>
      <w:pPr>
        <w:spacing w:after="0"/>
        <w:rPr>
          <w:sz w:val="20"/>
          <w:szCs w:val="20"/>
          <w:color w:val="auto"/>
        </w:rPr>
      </w:pPr>
      <w:r>
        <w:rPr>
          <w:rFonts w:ascii="Arial" w:cs="Arial" w:eastAsia="Arial" w:hAnsi="Arial"/>
          <w:sz w:val="25"/>
          <w:szCs w:val="25"/>
          <w:b w:val="1"/>
          <w:bCs w:val="1"/>
          <w:color w:val="FF0000"/>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720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color w:val="auto"/>
        </w:rPr>
        <w:t>Assists the board in fulfilling its oversight responsibilities by monitoring:</w:t>
      </w:r>
    </w:p>
    <w:p>
      <w:pPr>
        <w:spacing w:after="0" w:line="9"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integrity of financial information provided to the shareholders and others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management's systems of internal controls and disclosure controls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performance of internal and independent audit functions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company's compliance with legal and regulatory requirements.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committee has sole authority to appoint or replace the independent auditor, subject to shareholder ratification.</w:t>
      </w:r>
    </w:p>
    <w:p>
      <w:pPr>
        <w:spacing w:after="0" w:line="225"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The Board of Directors has determined that Mr. Eskew, Mr. Jackson, and Mr. Tai are audit committee financial experts, as defined in the SEC rules.</w:t>
      </w:r>
    </w:p>
    <w:p>
      <w:pPr>
        <w:spacing w:after="0" w:line="248" w:lineRule="exact"/>
        <w:rPr>
          <w:sz w:val="20"/>
          <w:szCs w:val="20"/>
          <w:color w:val="auto"/>
        </w:rPr>
      </w:pPr>
    </w:p>
    <w:p>
      <w:pPr>
        <w:spacing w:after="0"/>
        <w:rPr>
          <w:sz w:val="20"/>
          <w:szCs w:val="20"/>
          <w:color w:val="auto"/>
        </w:rPr>
      </w:pPr>
      <w:r>
        <w:rPr>
          <w:rFonts w:ascii="Arial" w:cs="Arial" w:eastAsia="Arial" w:hAnsi="Arial"/>
          <w:sz w:val="25"/>
          <w:szCs w:val="25"/>
          <w:b w:val="1"/>
          <w:bCs w:val="1"/>
          <w:color w:val="FF0000"/>
        </w:rPr>
        <w:t>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81280</wp:posOffset>
            </wp:positionV>
            <wp:extent cx="72720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Committee:</w:t>
      </w:r>
    </w:p>
    <w:p>
      <w:pPr>
        <w:spacing w:after="0" w:line="36" w:lineRule="exact"/>
        <w:rPr>
          <w:sz w:val="20"/>
          <w:szCs w:val="20"/>
          <w:color w:val="auto"/>
        </w:rPr>
      </w:pPr>
    </w:p>
    <w:p>
      <w:pPr>
        <w:ind w:left="720" w:hanging="388"/>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oversees the company’s global compensation philosophy and policies</w:t>
      </w:r>
    </w:p>
    <w:p>
      <w:pPr>
        <w:spacing w:after="0" w:line="26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P25</w:t>
      </w:r>
    </w:p>
    <w:p>
      <w:pPr>
        <w:sectPr>
          <w:pgSz w:w="11900" w:h="16838" w:orient="portrait"/>
          <w:cols w:equalWidth="0" w:num="1">
            <w:col w:w="11420"/>
          </w:cols>
          <w:pgMar w:left="240" w:top="559" w:right="239" w:bottom="1440" w:gutter="0" w:footer="0" w:header="0"/>
        </w:sectPr>
      </w:pPr>
    </w:p>
    <w:bookmarkStart w:id="29" w:name="page30"/>
    <w:bookmarkEnd w:id="29"/>
    <w:p>
      <w:pPr>
        <w:ind w:left="720" w:hanging="388"/>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establishes the compensation of our chief executive officer (CEO) and other executive officers</w:t>
      </w:r>
    </w:p>
    <w:p>
      <w:pPr>
        <w:spacing w:after="0" w:line="22" w:lineRule="exact"/>
        <w:rPr>
          <w:rFonts w:ascii="Arial" w:cs="Arial" w:eastAsia="Arial" w:hAnsi="Arial"/>
          <w:sz w:val="18"/>
          <w:szCs w:val="18"/>
          <w:color w:val="auto"/>
        </w:rPr>
      </w:pPr>
    </w:p>
    <w:p>
      <w:pPr>
        <w:ind w:left="660" w:right="480" w:hanging="328"/>
        <w:spacing w:after="0" w:line="250"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acts as the oversight committee with respect to the company’s deferred compensation plans, management stock plans, and other management incentive compensation programs</w:t>
      </w: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reviews succession plans for the CEO and other key senior leadership positions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reviews, monitors, and oversees stock ownership guidelines for executive officers.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Compensation Committee Interlocks and Insider Participation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None of the Compensation Committee members:</w:t>
      </w:r>
    </w:p>
    <w:p>
      <w:pPr>
        <w:spacing w:after="0" w:line="36" w:lineRule="exact"/>
        <w:rPr>
          <w:sz w:val="20"/>
          <w:szCs w:val="20"/>
          <w:color w:val="auto"/>
        </w:rPr>
      </w:pPr>
    </w:p>
    <w:p>
      <w:pPr>
        <w:ind w:left="720" w:hanging="388"/>
        <w:spacing w:after="0"/>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has ever been an officer or employee of the company</w:t>
      </w:r>
    </w:p>
    <w:p>
      <w:pPr>
        <w:spacing w:after="0" w:line="22" w:lineRule="exact"/>
        <w:rPr>
          <w:rFonts w:ascii="Arial" w:cs="Arial" w:eastAsia="Arial" w:hAnsi="Arial"/>
          <w:sz w:val="18"/>
          <w:szCs w:val="18"/>
          <w:color w:val="auto"/>
        </w:rPr>
      </w:pPr>
    </w:p>
    <w:p>
      <w:pPr>
        <w:ind w:left="660" w:right="160" w:hanging="328"/>
        <w:spacing w:after="0" w:line="250"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is or has been a participant in a related person transaction with the company (see “Review and Approval of Transactions with Related Persons” for a description of our policy on related person transactions)</w:t>
      </w: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has any other interlocking relationships requiring disclosure under applicable SEC rules.</w:t>
      </w:r>
    </w:p>
    <w:p>
      <w:pPr>
        <w:spacing w:after="0" w:line="196" w:lineRule="exact"/>
        <w:rPr>
          <w:sz w:val="20"/>
          <w:szCs w:val="20"/>
          <w:color w:val="auto"/>
        </w:rPr>
      </w:pPr>
    </w:p>
    <w:p>
      <w:pPr>
        <w:spacing w:after="0"/>
        <w:rPr>
          <w:sz w:val="20"/>
          <w:szCs w:val="20"/>
          <w:color w:val="auto"/>
        </w:rPr>
      </w:pPr>
      <w:r>
        <w:rPr>
          <w:rFonts w:ascii="Arial" w:cs="Arial" w:eastAsia="Arial" w:hAnsi="Arial"/>
          <w:sz w:val="25"/>
          <w:szCs w:val="25"/>
          <w:b w:val="1"/>
          <w:bCs w:val="1"/>
          <w:color w:val="FF0000"/>
        </w:rPr>
        <w:t>Directors and Corporate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81280</wp:posOffset>
            </wp:positionV>
            <wp:extent cx="72720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The Directors and Corporate Governance Committee:</w:t>
      </w:r>
    </w:p>
    <w:p>
      <w:pPr>
        <w:spacing w:after="0" w:line="9"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leads the process for director recruitment, together with the lead independent director</w:t>
      </w:r>
    </w:p>
    <w:p>
      <w:pPr>
        <w:spacing w:after="0" w:line="9" w:lineRule="exact"/>
        <w:rPr>
          <w:rFonts w:ascii="Arial" w:cs="Arial" w:eastAsia="Arial" w:hAnsi="Arial"/>
          <w:sz w:val="18"/>
          <w:szCs w:val="18"/>
          <w:color w:val="auto"/>
        </w:rPr>
      </w:pPr>
    </w:p>
    <w:p>
      <w:pPr>
        <w:ind w:left="660" w:right="440" w:hanging="328"/>
        <w:spacing w:after="0" w:line="250"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recommends to the board candidates for membership on the board and its committees, as well as for the role of lead independent director</w:t>
      </w:r>
    </w:p>
    <w:p>
      <w:pPr>
        <w:ind w:left="660" w:right="740" w:hanging="328"/>
        <w:spacing w:after="0" w:line="262"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oversees matters of corporate governance, including board performance, director independence and compensation, corporate governance guidelines, and shareholder engagement on governance matters.</w:t>
      </w:r>
    </w:p>
    <w:p>
      <w:pPr>
        <w:spacing w:after="0" w:line="167" w:lineRule="exact"/>
        <w:rPr>
          <w:sz w:val="20"/>
          <w:szCs w:val="20"/>
          <w:color w:val="auto"/>
        </w:rPr>
      </w:pPr>
    </w:p>
    <w:p>
      <w:pPr>
        <w:spacing w:after="0"/>
        <w:rPr>
          <w:sz w:val="20"/>
          <w:szCs w:val="20"/>
          <w:color w:val="auto"/>
        </w:rPr>
      </w:pPr>
      <w:r>
        <w:rPr>
          <w:rFonts w:ascii="Arial" w:cs="Arial" w:eastAsia="Arial" w:hAnsi="Arial"/>
          <w:sz w:val="25"/>
          <w:szCs w:val="25"/>
          <w:b w:val="1"/>
          <w:bCs w:val="1"/>
          <w:color w:val="FF0000"/>
        </w:rPr>
        <w:t>Finance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81280</wp:posOffset>
            </wp:positionV>
            <wp:extent cx="72720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Reviews and makes recommendations to the board regarding financial matters, including:</w:t>
      </w:r>
    </w:p>
    <w:p>
      <w:pPr>
        <w:spacing w:after="0" w:line="9"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capital structure and strategies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dividends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stock repurchases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capital expenditures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investments, financing, and borrowings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benefit plan funding and investments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financial risk management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significant business development opportunities.</w:t>
      </w:r>
    </w:p>
    <w:p>
      <w:pPr>
        <w:spacing w:after="0" w:line="196" w:lineRule="exact"/>
        <w:rPr>
          <w:sz w:val="20"/>
          <w:szCs w:val="20"/>
          <w:color w:val="auto"/>
        </w:rPr>
      </w:pPr>
    </w:p>
    <w:p>
      <w:pPr>
        <w:spacing w:after="0"/>
        <w:rPr>
          <w:sz w:val="20"/>
          <w:szCs w:val="20"/>
          <w:color w:val="auto"/>
        </w:rPr>
      </w:pPr>
      <w:r>
        <w:rPr>
          <w:rFonts w:ascii="Arial" w:cs="Arial" w:eastAsia="Arial" w:hAnsi="Arial"/>
          <w:sz w:val="25"/>
          <w:szCs w:val="25"/>
          <w:b w:val="1"/>
          <w:bCs w:val="1"/>
          <w:color w:val="FF0000"/>
        </w:rPr>
        <w:t>Public Policy and Compliance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81280</wp:posOffset>
            </wp:positionV>
            <wp:extent cx="72720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The Public Policy and Compliance Committee:</w:t>
      </w:r>
    </w:p>
    <w:p>
      <w:pPr>
        <w:spacing w:after="0" w:line="9" w:lineRule="exact"/>
        <w:rPr>
          <w:sz w:val="20"/>
          <w:szCs w:val="20"/>
          <w:color w:val="auto"/>
        </w:rPr>
      </w:pPr>
    </w:p>
    <w:p>
      <w:pPr>
        <w:ind w:left="660" w:right="320" w:hanging="328"/>
        <w:spacing w:after="0" w:line="250"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oversees the processes by which the company conducts its business so that the company will do so in a manner that complies with laws and regulations and reflects the highest standards of integrity</w:t>
      </w:r>
    </w:p>
    <w:p>
      <w:pPr>
        <w:ind w:left="660" w:right="400" w:hanging="328"/>
        <w:spacing w:after="0" w:line="262"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reviews and makes recommendations regarding policies, practices, and procedures of the company that relate to public policy and social, political, and economic issues.</w:t>
      </w:r>
    </w:p>
    <w:p>
      <w:pPr>
        <w:spacing w:after="0" w:line="167" w:lineRule="exact"/>
        <w:rPr>
          <w:sz w:val="20"/>
          <w:szCs w:val="20"/>
          <w:color w:val="auto"/>
        </w:rPr>
      </w:pPr>
    </w:p>
    <w:p>
      <w:pPr>
        <w:spacing w:after="0"/>
        <w:rPr>
          <w:sz w:val="20"/>
          <w:szCs w:val="20"/>
          <w:color w:val="auto"/>
        </w:rPr>
      </w:pPr>
      <w:r>
        <w:rPr>
          <w:rFonts w:ascii="Arial" w:cs="Arial" w:eastAsia="Arial" w:hAnsi="Arial"/>
          <w:sz w:val="25"/>
          <w:szCs w:val="25"/>
          <w:b w:val="1"/>
          <w:bCs w:val="1"/>
          <w:color w:val="FF0000"/>
        </w:rPr>
        <w:t>Science and Technology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81280</wp:posOffset>
            </wp:positionV>
            <wp:extent cx="72720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The Science and Technology Committee:</w:t>
      </w:r>
    </w:p>
    <w:p>
      <w:pPr>
        <w:spacing w:after="0" w:line="9"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reviews and makes recommendations regarding the company’s strategic research goals and objectives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reviews new developments, technologies, and trends in pharmaceutical research and development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reviews the progress of the company's product pipeline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reviews the scientific aspects of significant business development opportunities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oversees matters of scientific and medical integrity and risk management.</w:t>
      </w:r>
    </w:p>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P26</w:t>
      </w:r>
    </w:p>
    <w:p>
      <w:pPr>
        <w:sectPr>
          <w:pgSz w:w="11900" w:h="16838" w:orient="portrait"/>
          <w:cols w:equalWidth="0" w:num="1">
            <w:col w:w="11420"/>
          </w:cols>
          <w:pgMar w:left="240" w:top="625" w:right="239" w:bottom="1440" w:gutter="0" w:footer="0" w:header="0"/>
        </w:sectPr>
      </w:pPr>
    </w:p>
    <w:bookmarkStart w:id="30" w:name="page31"/>
    <w:bookmarkEnd w:id="30"/>
    <w:p>
      <w:pPr>
        <w:spacing w:after="0"/>
        <w:rPr>
          <w:sz w:val="20"/>
          <w:szCs w:val="20"/>
          <w:color w:val="auto"/>
        </w:rPr>
      </w:pPr>
      <w:r>
        <w:rPr>
          <w:rFonts w:ascii="Arial" w:cs="Arial" w:eastAsia="Arial" w:hAnsi="Arial"/>
          <w:sz w:val="29"/>
          <w:szCs w:val="29"/>
          <w:b w:val="1"/>
          <w:bCs w:val="1"/>
          <w:color w:val="FF0000"/>
        </w:rPr>
        <w:t>Board Oversight of Compliance and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109855</wp:posOffset>
            </wp:positionV>
            <wp:extent cx="72720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34"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board, together with its committees, oversees the processes by which the company conducts its business to ensure the company operates in a manner that complies with laws and regulations and reflects the highest standards of integrity.</w:t>
      </w:r>
    </w:p>
    <w:p>
      <w:pPr>
        <w:spacing w:after="0" w:line="196"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The company also has an enterprise risk management program overseen by its chief ethics and compliance officer, who reports directly to the CEO. Enterprise risks are identified and prioritized by management through both top-down and bottom-up processes. The top priorities are overseen by a board committee or the full board. Company management is charged with managing risk through robust internal processes and controls. The enterprise risk management program as a whole is reviewed annually at a full board meeting, and enterprise risks are also addressed in periodic business function reviews and at the annual board and senior management strategy session.</w:t>
      </w:r>
    </w:p>
    <w:p>
      <w:pPr>
        <w:spacing w:after="0" w:line="176" w:lineRule="exact"/>
        <w:rPr>
          <w:sz w:val="20"/>
          <w:szCs w:val="20"/>
          <w:color w:val="auto"/>
        </w:rPr>
      </w:pPr>
    </w:p>
    <w:p>
      <w:pPr>
        <w:spacing w:after="0"/>
        <w:rPr>
          <w:sz w:val="20"/>
          <w:szCs w:val="20"/>
          <w:color w:val="auto"/>
        </w:rPr>
      </w:pPr>
      <w:r>
        <w:rPr>
          <w:rFonts w:ascii="Arial" w:cs="Arial" w:eastAsia="Arial" w:hAnsi="Arial"/>
          <w:sz w:val="25"/>
          <w:szCs w:val="25"/>
          <w:b w:val="1"/>
          <w:bCs w:val="1"/>
          <w:color w:val="FF0000"/>
        </w:rPr>
        <w:t>Code of Ethics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81280</wp:posOffset>
            </wp:positionV>
            <wp:extent cx="72720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The board approves the company's code of ethics, which is set out in:</w:t>
      </w:r>
    </w:p>
    <w:p>
      <w:pPr>
        <w:spacing w:after="0" w:line="203" w:lineRule="exact"/>
        <w:rPr>
          <w:sz w:val="20"/>
          <w:szCs w:val="20"/>
          <w:color w:val="auto"/>
        </w:rPr>
      </w:pPr>
    </w:p>
    <w:p>
      <w:pPr>
        <w:ind w:right="640"/>
        <w:spacing w:after="0" w:line="287" w:lineRule="auto"/>
        <w:rPr>
          <w:sz w:val="20"/>
          <w:szCs w:val="20"/>
          <w:color w:val="auto"/>
        </w:rPr>
      </w:pPr>
      <w:r>
        <w:rPr>
          <w:rFonts w:ascii="Arial" w:cs="Arial" w:eastAsia="Arial" w:hAnsi="Arial"/>
          <w:sz w:val="18"/>
          <w:szCs w:val="18"/>
          <w:b w:val="1"/>
          <w:bCs w:val="1"/>
          <w:u w:val="single" w:color="auto"/>
          <w:color w:val="auto"/>
        </w:rPr>
        <w:t>The Red Book</w:t>
      </w:r>
      <w:r>
        <w:rPr>
          <w:rFonts w:ascii="Arial" w:cs="Arial" w:eastAsia="Arial" w:hAnsi="Arial"/>
          <w:sz w:val="18"/>
          <w:szCs w:val="18"/>
          <w:color w:val="auto"/>
        </w:rPr>
        <w:t>: a comprehensive code of ethical and legal business conduct applicable to all employees worldwide and to our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The Red Book is reviewed and approved annually by the board.</w:t>
      </w:r>
    </w:p>
    <w:p>
      <w:pPr>
        <w:spacing w:after="0" w:line="153"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b w:val="1"/>
          <w:bCs w:val="1"/>
          <w:u w:val="single" w:color="auto"/>
          <w:color w:val="auto"/>
        </w:rPr>
        <w:t>Code of Ethical Conduct for Lilly Financial Management</w:t>
      </w:r>
      <w:r>
        <w:rPr>
          <w:rFonts w:ascii="Arial" w:cs="Arial" w:eastAsia="Arial" w:hAnsi="Arial"/>
          <w:sz w:val="18"/>
          <w:szCs w:val="18"/>
          <w:color w:val="auto"/>
        </w:rPr>
        <w:t>: a supplemental code for our CEO and all members of financial management, in</w:t>
      </w:r>
      <w:r>
        <w:rPr>
          <w:rFonts w:ascii="Arial" w:cs="Arial" w:eastAsia="Arial" w:hAnsi="Arial"/>
          <w:sz w:val="18"/>
          <w:szCs w:val="18"/>
          <w:b w:val="1"/>
          <w:bCs w:val="1"/>
          <w:color w:val="auto"/>
        </w:rPr>
        <w:t xml:space="preserve"> </w:t>
      </w:r>
      <w:r>
        <w:rPr>
          <w:rFonts w:ascii="Arial" w:cs="Arial" w:eastAsia="Arial" w:hAnsi="Arial"/>
          <w:sz w:val="18"/>
          <w:szCs w:val="18"/>
          <w:color w:val="auto"/>
        </w:rPr>
        <w:t>recognition of their unique responsibilities to ensure proper accounting, financial reporting, internal controls, and financial stewardship.</w:t>
      </w:r>
    </w:p>
    <w:p>
      <w:pPr>
        <w:spacing w:after="0" w:line="175" w:lineRule="exact"/>
        <w:rPr>
          <w:sz w:val="20"/>
          <w:szCs w:val="20"/>
          <w:color w:val="auto"/>
        </w:rPr>
      </w:pPr>
    </w:p>
    <w:p>
      <w:pPr>
        <w:ind w:right="440"/>
        <w:spacing w:after="0" w:line="252" w:lineRule="auto"/>
        <w:rPr>
          <w:sz w:val="20"/>
          <w:szCs w:val="20"/>
          <w:color w:val="auto"/>
        </w:rPr>
      </w:pPr>
      <w:r>
        <w:rPr>
          <w:rFonts w:ascii="Arial" w:cs="Arial" w:eastAsia="Arial" w:hAnsi="Arial"/>
          <w:sz w:val="18"/>
          <w:szCs w:val="18"/>
          <w:color w:val="auto"/>
        </w:rPr>
        <w:t>These documents are available online at: https://www.lilly.com/who-we-are/governance/ethics-and-compliance-program and https://www.lilly.com/ethical-conduct-for-financial-management, or upon request to the company's corporate secretary. In the event of any amendments to, or waivers from, a provision of the code affecting the chief executive officer, chief financial officer, chief accounting officer, controller, or persons performing similar functions, we intend to post on the above website within four business days after the event a description of the amendment or waiver as required under applicable Securities and Exchange Commission rules. We will maintain that information on our website for at least 12 months.</w:t>
      </w:r>
    </w:p>
    <w:p>
      <w:pPr>
        <w:spacing w:after="0" w:line="169" w:lineRule="exact"/>
        <w:rPr>
          <w:sz w:val="20"/>
          <w:szCs w:val="20"/>
          <w:color w:val="auto"/>
        </w:rPr>
      </w:pPr>
    </w:p>
    <w:p>
      <w:pPr>
        <w:spacing w:after="0"/>
        <w:rPr>
          <w:sz w:val="20"/>
          <w:szCs w:val="20"/>
          <w:color w:val="auto"/>
        </w:rPr>
      </w:pPr>
      <w:r>
        <w:rPr>
          <w:rFonts w:ascii="Arial" w:cs="Arial" w:eastAsia="Arial" w:hAnsi="Arial"/>
          <w:sz w:val="29"/>
          <w:szCs w:val="29"/>
          <w:b w:val="1"/>
          <w:bCs w:val="1"/>
          <w:color w:val="FF0000"/>
        </w:rPr>
        <w:t>Highlights of the Company’s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720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6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company is committed to good corporate governance, which promotes the long-term interests of shareholders and other company stakeholders, builds confidence in our company leadership, and strengthens accountability for the board and company management. The board has adopted corporate governance guidelines that set forth the company's basic principles of corporate governance. The section that follows outlines key elements of the guidelines and other governance matters. Investors can learn more by reviewing the corporate governance guidelines, which are available online at https://www.lilly.com/who-we-are/governance or upon request to the company’s corporate secretary.</w:t>
      </w:r>
    </w:p>
    <w:p>
      <w:pPr>
        <w:spacing w:after="0" w:line="176" w:lineRule="exact"/>
        <w:rPr>
          <w:sz w:val="20"/>
          <w:szCs w:val="20"/>
          <w:color w:val="auto"/>
        </w:rPr>
      </w:pPr>
    </w:p>
    <w:p>
      <w:pPr>
        <w:spacing w:after="0"/>
        <w:rPr>
          <w:sz w:val="20"/>
          <w:szCs w:val="20"/>
          <w:color w:val="auto"/>
        </w:rPr>
      </w:pPr>
      <w:r>
        <w:rPr>
          <w:rFonts w:ascii="Arial" w:cs="Arial" w:eastAsia="Arial" w:hAnsi="Arial"/>
          <w:sz w:val="25"/>
          <w:szCs w:val="25"/>
          <w:b w:val="1"/>
          <w:bCs w:val="1"/>
          <w:color w:val="FF0000"/>
        </w:rPr>
        <w:t>Role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81280</wp:posOffset>
            </wp:positionV>
            <wp:extent cx="72720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62"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The directors are elected by the shareholders to oversee the actions and results of the company’s management. The board exercises oversight over a broad range of areas, but the board's key responsibilities include:</w:t>
      </w:r>
    </w:p>
    <w:p>
      <w:pPr>
        <w:spacing w:after="0" w:line="1"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providing general oversight of the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approving corporate strategy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approving major management initiatives</w:t>
      </w:r>
    </w:p>
    <w:p>
      <w:pPr>
        <w:spacing w:after="0" w:line="9" w:lineRule="exact"/>
        <w:rPr>
          <w:rFonts w:ascii="Arial" w:cs="Arial" w:eastAsia="Arial" w:hAnsi="Arial"/>
          <w:sz w:val="18"/>
          <w:szCs w:val="18"/>
          <w:color w:val="auto"/>
        </w:rPr>
      </w:pPr>
    </w:p>
    <w:p>
      <w:pPr>
        <w:ind w:left="660" w:right="320" w:hanging="328"/>
        <w:spacing w:after="0" w:line="250"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selecting, compensating, evaluating, and, when necessary, replacing the chief executive officer, and compensating other key senior leadership positions</w:t>
      </w: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ensuring that an effective succession plan is in place for all key senior leadership positions and</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P27</w:t>
      </w:r>
    </w:p>
    <w:p>
      <w:pPr>
        <w:sectPr>
          <w:pgSz w:w="11900" w:h="16838" w:orient="portrait"/>
          <w:cols w:equalWidth="0" w:num="1">
            <w:col w:w="11420"/>
          </w:cols>
          <w:pgMar w:left="240" w:top="559" w:right="239" w:bottom="1440" w:gutter="0" w:footer="0" w:header="0"/>
        </w:sectPr>
      </w:pPr>
    </w:p>
    <w:bookmarkStart w:id="31" w:name="page32"/>
    <w:bookmarkEnd w:id="31"/>
    <w:p>
      <w:pPr>
        <w:ind w:left="660"/>
        <w:spacing w:after="0"/>
        <w:rPr>
          <w:sz w:val="20"/>
          <w:szCs w:val="20"/>
          <w:color w:val="auto"/>
        </w:rPr>
      </w:pPr>
      <w:r>
        <w:rPr>
          <w:rFonts w:ascii="Arial" w:cs="Arial" w:eastAsia="Arial" w:hAnsi="Arial"/>
          <w:sz w:val="18"/>
          <w:szCs w:val="18"/>
          <w:color w:val="auto"/>
        </w:rPr>
        <w:t>reviewing the broader talent management process, including diversity and inclusion</w:t>
      </w:r>
    </w:p>
    <w:p>
      <w:pPr>
        <w:spacing w:after="0" w:line="23"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overseeing the company’s ethics and compliance program and management of significant business risks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nominating, compensating, and evaluating directors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overseeing the company's enterprise risk management program.</w:t>
      </w:r>
    </w:p>
    <w:p>
      <w:pPr>
        <w:spacing w:after="0" w:line="225" w:lineRule="exact"/>
        <w:rPr>
          <w:sz w:val="20"/>
          <w:szCs w:val="20"/>
          <w:color w:val="auto"/>
        </w:rPr>
      </w:pPr>
    </w:p>
    <w:p>
      <w:pPr>
        <w:jc w:val="both"/>
        <w:ind w:right="140"/>
        <w:spacing w:after="0" w:line="278" w:lineRule="auto"/>
        <w:rPr>
          <w:sz w:val="20"/>
          <w:szCs w:val="20"/>
          <w:color w:val="auto"/>
        </w:rPr>
      </w:pPr>
      <w:r>
        <w:rPr>
          <w:rFonts w:ascii="Arial" w:cs="Arial" w:eastAsia="Arial" w:hAnsi="Arial"/>
          <w:sz w:val="17"/>
          <w:szCs w:val="17"/>
          <w:color w:val="auto"/>
        </w:rPr>
        <w:t>The board takes an active role in its oversight of our corporate strategy. Each year, the board and executive management closely examine the company's strategy, including key risks and decisions facing the company. Decisions reached in this session are updated throughout the year, including as the board discusses the company's financial performance, the performance of our business units, and progress in our pipeline.</w:t>
      </w:r>
    </w:p>
    <w:p>
      <w:pPr>
        <w:spacing w:after="0" w:line="155" w:lineRule="exact"/>
        <w:rPr>
          <w:sz w:val="20"/>
          <w:szCs w:val="20"/>
          <w:color w:val="auto"/>
        </w:rPr>
      </w:pPr>
    </w:p>
    <w:p>
      <w:pPr>
        <w:spacing w:after="0"/>
        <w:rPr>
          <w:sz w:val="20"/>
          <w:szCs w:val="20"/>
          <w:color w:val="auto"/>
        </w:rPr>
      </w:pPr>
      <w:r>
        <w:rPr>
          <w:rFonts w:ascii="Arial" w:cs="Arial" w:eastAsia="Arial" w:hAnsi="Arial"/>
          <w:sz w:val="25"/>
          <w:szCs w:val="25"/>
          <w:b w:val="1"/>
          <w:bCs w:val="1"/>
          <w:color w:val="FF0000"/>
        </w:rPr>
        <w:t>Board Composition and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81280</wp:posOffset>
            </wp:positionV>
            <wp:extent cx="72720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Mix of Independent Directors and Officer-Directors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There should always be a substantial majority (75 percent or more) of independent directors. The CEO should be a member of the board.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Voting for Directors</w:t>
      </w:r>
    </w:p>
    <w:p>
      <w:pPr>
        <w:spacing w:after="0" w:line="8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 an uncontested election, directors are elected by a majority of votes cast. An incumbent nominee who fails to receive a greater number of votes “for” than “against” his or her election will tender his or her resignation from the board (following the certification of the shareholder vote). The board, on recommendation of the Directors and Corporate Governance Committee, will decide whether to accept the resignation. The company will promptly disclose the board's decision, including, if applicable, the reasons the board rejected the resignation.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Director Tenure and Retirement Policy</w:t>
      </w:r>
    </w:p>
    <w:p>
      <w:pPr>
        <w:spacing w:after="0" w:line="8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Non-employee directors must retire no later than the date of the annual meeting that follows their seventy-second birthday. The Directors and Corporate Governance Committee has authority to recommend exceptions to this policy. The committee, with input from all board members, also considers the contributions of the individual directors annually, with a more robust assessment at least every three years when considering whether to nominate directors to new three-year terms. The company has not adopted term limits because the board believes that arbitrary term limits on a director’s service are not appropriate.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Board Service</w:t>
      </w:r>
    </w:p>
    <w:p>
      <w:pPr>
        <w:spacing w:after="0" w:line="85"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In general, no director may serve on more than three other public company boards. The Directors and Corporate Governance Committee may approve exceptions if it determines that the additional service will not impair the director's effectiveness on the Lilly board. The Directors and Corporate Governance Committee reviewed an exception request for Mr. Alvarez (who serves on four other company boards), considering his attendance record and continued engagement in board matters. Upon review, the committee determined that he could effectively balance his other board responsibilities and continue to be a strong contributor to the Lilly board.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Board Confidentiality Policy</w:t>
      </w:r>
    </w:p>
    <w:p>
      <w:pPr>
        <w:spacing w:after="0" w:line="3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board has adopted a Confidentiality Policy, applicable to all current and future members of the board. The policy prohibits a director from sharing confidential information obtained in his or her role as a director with any outside party except under limited circumstances where the director is seeking legal advice or is required to disclose information by order of law. The Confidentiality Policy can be viewed on the company's website: http://www.lilly.com/about/corporate-governance/Pages/corporate-governance.aspx.</w:t>
      </w:r>
    </w:p>
    <w:p>
      <w:pPr>
        <w:spacing w:after="0" w:line="175" w:lineRule="exact"/>
        <w:rPr>
          <w:sz w:val="20"/>
          <w:szCs w:val="20"/>
          <w:color w:val="auto"/>
        </w:rPr>
      </w:pPr>
    </w:p>
    <w:p>
      <w:pPr>
        <w:spacing w:after="0"/>
        <w:rPr>
          <w:sz w:val="20"/>
          <w:szCs w:val="20"/>
          <w:color w:val="auto"/>
        </w:rPr>
      </w:pPr>
      <w:r>
        <w:rPr>
          <w:rFonts w:ascii="Arial" w:cs="Arial" w:eastAsia="Arial" w:hAnsi="Arial"/>
          <w:sz w:val="25"/>
          <w:szCs w:val="25"/>
          <w:b w:val="1"/>
          <w:bCs w:val="1"/>
          <w:color w:val="FF0000"/>
        </w:rPr>
        <w:t>Leadership Structure; Oversight of Chairman, CEO, and Senior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Leadership Structure</w:t>
      </w:r>
    </w:p>
    <w:p>
      <w:pPr>
        <w:spacing w:after="0" w:line="31" w:lineRule="exact"/>
        <w:rPr>
          <w:sz w:val="20"/>
          <w:szCs w:val="20"/>
          <w:color w:val="auto"/>
        </w:rPr>
      </w:pPr>
    </w:p>
    <w:p>
      <w:pPr>
        <w:ind w:right="540"/>
        <w:spacing w:after="0" w:line="262" w:lineRule="auto"/>
        <w:rPr>
          <w:sz w:val="20"/>
          <w:szCs w:val="20"/>
          <w:color w:val="auto"/>
        </w:rPr>
      </w:pPr>
      <w:r>
        <w:rPr>
          <w:rFonts w:ascii="Arial" w:cs="Arial" w:eastAsia="Arial" w:hAnsi="Arial"/>
          <w:sz w:val="18"/>
          <w:szCs w:val="18"/>
          <w:color w:val="auto"/>
        </w:rPr>
        <w:t>The board currently believes that combining the role of Chairman of the Board and CEO, coupled with a strong lead independent director position (see the description of the role below), is the most efficient and effective</w:t>
      </w:r>
    </w:p>
    <w:p>
      <w:pPr>
        <w:spacing w:after="0" w:line="2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P28</w:t>
      </w:r>
    </w:p>
    <w:p>
      <w:pPr>
        <w:sectPr>
          <w:pgSz w:w="11900" w:h="16838" w:orient="portrait"/>
          <w:cols w:equalWidth="0" w:num="1">
            <w:col w:w="11420"/>
          </w:cols>
          <w:pgMar w:left="240" w:top="625" w:right="239" w:bottom="1440" w:gutter="0" w:footer="0" w:header="0"/>
        </w:sectPr>
      </w:pPr>
    </w:p>
    <w:bookmarkStart w:id="32" w:name="page33"/>
    <w:bookmarkEnd w:id="32"/>
    <w:p>
      <w:pPr>
        <w:ind w:right="260"/>
        <w:spacing w:after="0" w:line="254" w:lineRule="auto"/>
        <w:rPr>
          <w:sz w:val="20"/>
          <w:szCs w:val="20"/>
          <w:color w:val="auto"/>
        </w:rPr>
      </w:pPr>
      <w:r>
        <w:rPr>
          <w:rFonts w:ascii="Arial" w:cs="Arial" w:eastAsia="Arial" w:hAnsi="Arial"/>
          <w:sz w:val="18"/>
          <w:szCs w:val="18"/>
          <w:color w:val="auto"/>
        </w:rPr>
        <w:t>leadership model for the company, fostering clear accountability, effective decision making, and alignment on corporate strategy. The board periodically reviews its leadership structure and developments in the area of corporate governance to ensure that this approach continues to strike the appropriate balance for the company and our stakeholders. Such a review was conducted most recently during the succession-management process relating to the appointment of Mr. Ricks.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Board Independence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board has put in place a number of governance practices to ensure effective independent oversight, including:</w:t>
      </w:r>
    </w:p>
    <w:p>
      <w:pPr>
        <w:spacing w:after="0" w:line="230" w:lineRule="exact"/>
        <w:rPr>
          <w:sz w:val="20"/>
          <w:szCs w:val="20"/>
          <w:color w:val="auto"/>
        </w:rPr>
      </w:pPr>
    </w:p>
    <w:p>
      <w:pPr>
        <w:ind w:left="720" w:hanging="388"/>
        <w:spacing w:after="0"/>
        <w:tabs>
          <w:tab w:leader="none" w:pos="720" w:val="left"/>
        </w:tabs>
        <w:numPr>
          <w:ilvl w:val="0"/>
          <w:numId w:val="4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Executive sessions of the independent directors</w:t>
      </w:r>
      <w:r>
        <w:rPr>
          <w:rFonts w:ascii="Arial" w:cs="Arial" w:eastAsia="Arial" w:hAnsi="Arial"/>
          <w:sz w:val="18"/>
          <w:szCs w:val="18"/>
          <w:color w:val="auto"/>
        </w:rPr>
        <w:t>: held after every regular board meeting.</w:t>
      </w:r>
    </w:p>
    <w:p>
      <w:pPr>
        <w:spacing w:after="0" w:line="238" w:lineRule="exact"/>
        <w:rPr>
          <w:rFonts w:ascii="Arial" w:cs="Arial" w:eastAsia="Arial" w:hAnsi="Arial"/>
          <w:sz w:val="18"/>
          <w:szCs w:val="18"/>
          <w:b w:val="1"/>
          <w:bCs w:val="1"/>
          <w:i w:val="1"/>
          <w:iCs w:val="1"/>
          <w:color w:val="auto"/>
        </w:rPr>
      </w:pPr>
    </w:p>
    <w:p>
      <w:pPr>
        <w:ind w:left="980" w:right="40" w:hanging="648"/>
        <w:spacing w:after="0" w:line="318" w:lineRule="auto"/>
        <w:tabs>
          <w:tab w:leader="none" w:pos="656" w:val="left"/>
        </w:tabs>
        <w:numPr>
          <w:ilvl w:val="0"/>
          <w:numId w:val="45"/>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Annual performance evaluation of the chairman and CEO</w:t>
      </w:r>
      <w:r>
        <w:rPr>
          <w:rFonts w:ascii="Arial" w:cs="Arial" w:eastAsia="Arial" w:hAnsi="Arial"/>
          <w:sz w:val="17"/>
          <w:szCs w:val="17"/>
          <w:color w:val="auto"/>
        </w:rPr>
        <w:t>: conducted by the independent directors, the results of which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reviewed with the CEO and considered by the Compensation Committee in establishing the CEO’s compensation for the next year.</w:t>
      </w:r>
    </w:p>
    <w:p>
      <w:pPr>
        <w:spacing w:after="0" w:line="130" w:lineRule="exact"/>
        <w:rPr>
          <w:rFonts w:ascii="Arial" w:cs="Arial" w:eastAsia="Arial" w:hAnsi="Arial"/>
          <w:sz w:val="17"/>
          <w:szCs w:val="17"/>
          <w:b w:val="1"/>
          <w:bCs w:val="1"/>
          <w:i w:val="1"/>
          <w:iCs w:val="1"/>
          <w:color w:val="auto"/>
        </w:rPr>
      </w:pPr>
    </w:p>
    <w:p>
      <w:pPr>
        <w:ind w:left="660" w:hanging="328"/>
        <w:spacing w:after="0"/>
        <w:tabs>
          <w:tab w:leader="none" w:pos="660" w:val="left"/>
        </w:tabs>
        <w:numPr>
          <w:ilvl w:val="0"/>
          <w:numId w:val="4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 strong, independent, clearly defined lead independent director role</w:t>
      </w:r>
      <w:r>
        <w:rPr>
          <w:rFonts w:ascii="Arial" w:cs="Arial" w:eastAsia="Arial" w:hAnsi="Arial"/>
          <w:sz w:val="18"/>
          <w:szCs w:val="18"/>
          <w:color w:val="auto"/>
        </w:rPr>
        <w:t>: The lead</w:t>
      </w:r>
      <w:r>
        <w:rPr>
          <w:rFonts w:ascii="Arial" w:cs="Arial" w:eastAsia="Arial" w:hAnsi="Arial"/>
          <w:sz w:val="18"/>
          <w:szCs w:val="18"/>
          <w:b w:val="1"/>
          <w:bCs w:val="1"/>
          <w:i w:val="1"/>
          <w:iCs w:val="1"/>
          <w:color w:val="auto"/>
        </w:rPr>
        <w:t xml:space="preserve"> </w:t>
      </w:r>
      <w:r>
        <w:rPr>
          <w:rFonts w:ascii="Arial" w:cs="Arial" w:eastAsia="Arial" w:hAnsi="Arial"/>
          <w:sz w:val="14"/>
          <w:szCs w:val="14"/>
          <w:color w:val="auto"/>
        </w:rPr>
        <w:t>I</w:t>
      </w:r>
      <w:r>
        <w:rPr>
          <w:rFonts w:ascii="Arial" w:cs="Arial" w:eastAsia="Arial" w:hAnsi="Arial"/>
          <w:sz w:val="18"/>
          <w:szCs w:val="18"/>
          <w:color w:val="auto"/>
        </w:rPr>
        <w:t>ndependent director's responsibilities include:</w:t>
      </w:r>
    </w:p>
    <w:p>
      <w:pPr>
        <w:spacing w:after="0" w:line="31" w:lineRule="exact"/>
        <w:rPr>
          <w:rFonts w:ascii="Arial" w:cs="Arial" w:eastAsia="Arial" w:hAnsi="Arial"/>
          <w:sz w:val="18"/>
          <w:szCs w:val="18"/>
          <w:b w:val="1"/>
          <w:bCs w:val="1"/>
          <w:i w:val="1"/>
          <w:iCs w:val="1"/>
          <w:color w:val="auto"/>
        </w:rPr>
      </w:pPr>
    </w:p>
    <w:p>
      <w:pPr>
        <w:ind w:left="900" w:hanging="244"/>
        <w:spacing w:after="0"/>
        <w:tabs>
          <w:tab w:leader="none" w:pos="9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leading the board’s processes for selecting and evaluating the CEO</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presiding at all meetings of the board at which the chairman is not present</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serving as a liaison between the chairman and the independent directors</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if requested by major shareholders, ensuring that she is available for consultation and direct communication</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approving meeting agendas and schedules and generally approving information sent to the board</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conducting executive sessions of the independent directors</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overseeing the independent directors' annual performance evaluation of the chairman and CEO</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together with the Directors and Corporate Governance Committee, leading the director recruitment process.</w:t>
      </w:r>
    </w:p>
    <w:p>
      <w:pPr>
        <w:spacing w:after="0" w:line="225" w:lineRule="exact"/>
        <w:rPr>
          <w:sz w:val="20"/>
          <w:szCs w:val="20"/>
          <w:color w:val="auto"/>
        </w:rPr>
      </w:pPr>
    </w:p>
    <w:p>
      <w:pPr>
        <w:ind w:left="660" w:right="1000"/>
        <w:spacing w:after="0" w:line="262" w:lineRule="auto"/>
        <w:rPr>
          <w:sz w:val="20"/>
          <w:szCs w:val="20"/>
          <w:color w:val="auto"/>
        </w:rPr>
      </w:pPr>
      <w:r>
        <w:rPr>
          <w:rFonts w:ascii="Arial" w:cs="Arial" w:eastAsia="Arial" w:hAnsi="Arial"/>
          <w:sz w:val="18"/>
          <w:szCs w:val="18"/>
          <w:color w:val="auto"/>
        </w:rPr>
        <w:t>The lead independent director also has authority to call meetings of the independent directors and to retain advisors for the independent directors.</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lead independent director is appointed annually by the board. Currently Ms. Marram is the lead independent director.</w:t>
      </w:r>
    </w:p>
    <w:p>
      <w:pPr>
        <w:spacing w:after="0" w:line="203" w:lineRule="exact"/>
        <w:rPr>
          <w:sz w:val="20"/>
          <w:szCs w:val="20"/>
          <w:color w:val="auto"/>
        </w:rPr>
      </w:pPr>
    </w:p>
    <w:p>
      <w:pPr>
        <w:ind w:left="660" w:right="80" w:hanging="328"/>
        <w:spacing w:after="0" w:line="262" w:lineRule="auto"/>
        <w:tabs>
          <w:tab w:leader="none" w:pos="660" w:val="left"/>
        </w:tabs>
        <w:numPr>
          <w:ilvl w:val="0"/>
          <w:numId w:val="4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Director access to management and independent advisors</w:t>
      </w:r>
      <w:r>
        <w:rPr>
          <w:rFonts w:ascii="Arial" w:cs="Arial" w:eastAsia="Arial" w:hAnsi="Arial"/>
          <w:sz w:val="18"/>
          <w:szCs w:val="18"/>
          <w:color w:val="auto"/>
        </w:rPr>
        <w:t>: Independent directors have direct access to members of management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whenever they deem it necessary, and the company's executive officers attend part of each regularly scheduled board meeting. The independent directors and all committees are also free to retain their own independent advisors, at company expense, whenever they feel it would be desirable to do so.</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CEO Succession Planning</w:t>
      </w:r>
    </w:p>
    <w:p>
      <w:pPr>
        <w:spacing w:after="0" w:line="85"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The Compensation Committee, board, and CEO annually review the company's succession plans for the CEO and other key senior leadership positions. The independent directors also meet without the CEO to discuss CEO succession planning.</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During these reviews, the CEO and directors discuss:</w:t>
      </w:r>
    </w:p>
    <w:p>
      <w:pPr>
        <w:spacing w:after="0" w:line="9"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future candidates for the CEO and other senior leadership positions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succession timing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development plans for the highest-potential candidates.</w:t>
      </w:r>
    </w:p>
    <w:p>
      <w:pPr>
        <w:spacing w:after="0" w:line="225" w:lineRule="exact"/>
        <w:rPr>
          <w:sz w:val="20"/>
          <w:szCs w:val="20"/>
          <w:color w:val="auto"/>
        </w:rPr>
      </w:pPr>
    </w:p>
    <w:p>
      <w:pPr>
        <w:ind w:right="480"/>
        <w:spacing w:after="0" w:line="256" w:lineRule="auto"/>
        <w:rPr>
          <w:sz w:val="20"/>
          <w:szCs w:val="20"/>
          <w:color w:val="auto"/>
        </w:rPr>
      </w:pPr>
      <w:r>
        <w:rPr>
          <w:rFonts w:ascii="Arial" w:cs="Arial" w:eastAsia="Arial" w:hAnsi="Arial"/>
          <w:sz w:val="18"/>
          <w:szCs w:val="18"/>
          <w:color w:val="auto"/>
        </w:rPr>
        <w:t>The company ensures that the directors have multiple opportunities to interact with the company's top leadership talent in both formal and informal settings to allow them to most effectively assess the candidates' qualifications and capabilities. In 2016, the board followed this process, and the independent directors also met</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P29</w:t>
      </w:r>
    </w:p>
    <w:p>
      <w:pPr>
        <w:sectPr>
          <w:pgSz w:w="11900" w:h="16838" w:orient="portrait"/>
          <w:cols w:equalWidth="0" w:num="1">
            <w:col w:w="11420"/>
          </w:cols>
          <w:pgMar w:left="240" w:top="598"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without the CEO present when selecting Mr. Ricks to succeed Dr. Lechleiter as president and CEO of the company, effective January 1, 2017.</w:t>
      </w:r>
    </w:p>
    <w:p>
      <w:pPr>
        <w:spacing w:after="0" w:line="225" w:lineRule="exact"/>
        <w:rPr>
          <w:sz w:val="20"/>
          <w:szCs w:val="20"/>
          <w:color w:val="auto"/>
        </w:rPr>
      </w:pPr>
    </w:p>
    <w:p>
      <w:pPr>
        <w:ind w:right="460"/>
        <w:spacing w:after="0" w:line="262" w:lineRule="auto"/>
        <w:rPr>
          <w:sz w:val="20"/>
          <w:szCs w:val="20"/>
          <w:color w:val="auto"/>
        </w:rPr>
      </w:pPr>
      <w:r>
        <w:rPr>
          <w:rFonts w:ascii="Arial" w:cs="Arial" w:eastAsia="Arial" w:hAnsi="Arial"/>
          <w:sz w:val="18"/>
          <w:szCs w:val="18"/>
          <w:color w:val="auto"/>
        </w:rPr>
        <w:t>The independent directors and the CEO maintain a confidential plan for the timely and efficient transfer of the CEO's responsibilities in the event of an emergency or his sudden departure, incapacitation, or death.</w:t>
      </w:r>
    </w:p>
    <w:p>
      <w:pPr>
        <w:spacing w:after="0" w:line="248" w:lineRule="exact"/>
        <w:rPr>
          <w:sz w:val="20"/>
          <w:szCs w:val="20"/>
          <w:color w:val="auto"/>
        </w:rPr>
      </w:pPr>
    </w:p>
    <w:p>
      <w:pPr>
        <w:spacing w:after="0"/>
        <w:rPr>
          <w:sz w:val="20"/>
          <w:szCs w:val="20"/>
          <w:color w:val="auto"/>
        </w:rPr>
      </w:pPr>
      <w:r>
        <w:rPr>
          <w:rFonts w:ascii="Arial" w:cs="Arial" w:eastAsia="Arial" w:hAnsi="Arial"/>
          <w:sz w:val="25"/>
          <w:szCs w:val="25"/>
          <w:b w:val="1"/>
          <w:bCs w:val="1"/>
          <w:color w:val="FF0000"/>
        </w:rPr>
        <w:t>Board Education and Annual Performance Assessment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22"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company engages in a comprehensive orientation process for incoming new directors. Directors also attend ongoing continuing educational sessions on areas of particular relevance or importance to our company, and we hold periodic mandatory training sessions for the Audit Committee.</w:t>
      </w:r>
    </w:p>
    <w:p>
      <w:pPr>
        <w:spacing w:after="0" w:line="202"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Every year the Directors and Corporate Governance Committee conducts a robust assessment of the board's performance, board committee performance, and all board processes, based on input from all directors. We also conduct a detailed review of individual director performance at least every three years, when considering whether to nominate the director to a new three-year term. In 2017, we updated our process to include an assessment of each director every year.</w:t>
      </w:r>
    </w:p>
    <w:p>
      <w:pPr>
        <w:spacing w:after="0" w:line="256" w:lineRule="exact"/>
        <w:rPr>
          <w:sz w:val="20"/>
          <w:szCs w:val="20"/>
          <w:color w:val="auto"/>
        </w:rPr>
      </w:pPr>
    </w:p>
    <w:p>
      <w:pPr>
        <w:spacing w:after="0"/>
        <w:rPr>
          <w:sz w:val="20"/>
          <w:szCs w:val="20"/>
          <w:color w:val="auto"/>
        </w:rPr>
      </w:pPr>
      <w:r>
        <w:rPr>
          <w:rFonts w:ascii="Arial" w:cs="Arial" w:eastAsia="Arial" w:hAnsi="Arial"/>
          <w:sz w:val="25"/>
          <w:szCs w:val="25"/>
          <w:b w:val="1"/>
          <w:bCs w:val="1"/>
          <w:color w:val="FF0000"/>
        </w:rPr>
        <w:t>Conflicts of Interest and Transactions with Related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81280</wp:posOffset>
            </wp:positionV>
            <wp:extent cx="72720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Conflicts of Interest</w:t>
      </w:r>
    </w:p>
    <w:p>
      <w:pPr>
        <w:spacing w:after="0" w:line="85"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Directors must disclose to the company all relationships that could create a conflict or an appearance of a conflict. The board, after consultation with counsel, takes appropriate steps to identify actual or apparent conflicts and ensure that all directors voting on an issue are disinterested. A director may be excused from discussions on the issue, as appropriate.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Review and Approval of Transactions with Related Persons</w:t>
      </w:r>
    </w:p>
    <w:p>
      <w:pPr>
        <w:spacing w:after="0" w:line="85"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The board has adopted a policy and procedures for review, approval, and monitoring of transactions involving the company and related persons (directors and executive officers, their immediate family members, or shareholders of more than 5 percent of the company’s outstanding stock). The policy covers any related-person transaction that meets the minimum threshold for disclosure in the proxy statement under the relevant SEC rules (generally, transactions involving amounts exceeding $120,000 in which a related person has a direct or indirect material interest).</w:t>
      </w:r>
    </w:p>
    <w:p>
      <w:pPr>
        <w:spacing w:after="0" w:line="18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b w:val="1"/>
          <w:bCs w:val="1"/>
          <w:i w:val="1"/>
          <w:iCs w:val="1"/>
          <w:color w:val="auto"/>
        </w:rPr>
        <w:t>Policy</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Related-person transactions must be approved by the board or by a committee of the board consisting solely of independent directors,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who will approve the transaction only if they determine that it is in the best interests of the company. In considering the transaction, the board or committee will consider all relevant factors, including:</w:t>
      </w: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company’s business rationale for entering into the transaction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alternatives to entering into a related-person transaction</w:t>
      </w:r>
    </w:p>
    <w:p>
      <w:pPr>
        <w:spacing w:after="0" w:line="9" w:lineRule="exact"/>
        <w:rPr>
          <w:rFonts w:ascii="Arial" w:cs="Arial" w:eastAsia="Arial" w:hAnsi="Arial"/>
          <w:sz w:val="18"/>
          <w:szCs w:val="18"/>
          <w:color w:val="auto"/>
        </w:rPr>
      </w:pPr>
    </w:p>
    <w:p>
      <w:pPr>
        <w:ind w:left="660" w:right="600" w:hanging="328"/>
        <w:spacing w:after="0" w:line="250"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whether the transaction is on terms comparable to those available to third parties, or in the case of employment relationships, to employees generally</w:t>
      </w:r>
    </w:p>
    <w:p>
      <w:pPr>
        <w:ind w:left="660" w:right="120" w:hanging="328"/>
        <w:spacing w:after="0" w:line="250"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potential for the transaction to lead to an actual or apparent conflict of interest and any safeguards imposed to prevent such actual or apparent conflicts</w:t>
      </w: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overall fairness of the transaction to the company.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Procedures</w:t>
      </w:r>
      <w:r>
        <w:rPr>
          <w:rFonts w:ascii="Arial" w:cs="Arial" w:eastAsia="Arial" w:hAnsi="Arial"/>
          <w:sz w:val="18"/>
          <w:szCs w:val="18"/>
          <w:i w:val="1"/>
          <w:iCs w:val="1"/>
          <w:color w:val="auto"/>
        </w:rPr>
        <w:t>:</w:t>
      </w:r>
    </w:p>
    <w:p>
      <w:pPr>
        <w:spacing w:after="0" w:line="31" w:lineRule="exact"/>
        <w:rPr>
          <w:sz w:val="20"/>
          <w:szCs w:val="20"/>
          <w:color w:val="auto"/>
        </w:rPr>
      </w:pPr>
    </w:p>
    <w:p>
      <w:pPr>
        <w:ind w:left="660" w:right="380" w:hanging="328"/>
        <w:spacing w:after="0" w:line="250"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Management or the affected director or executive officer will bring the matter to the attention of the chairman, the lead independent director, the chair of the Directors and Corporate Governance Committee, or the corporate secretary.</w:t>
      </w:r>
    </w:p>
    <w:p>
      <w:pPr>
        <w:ind w:left="660" w:right="660" w:hanging="328"/>
        <w:spacing w:after="0" w:line="262"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chairman and the lead independent director shall jointly determine (or, if either is involved in the transaction, the other shall determine) whether the matter should be considered by the board or by one of its existing committees.</w:t>
      </w:r>
    </w:p>
    <w:p>
      <w:pPr>
        <w:spacing w:after="0" w:line="2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P30</w:t>
      </w:r>
    </w:p>
    <w:p>
      <w:pPr>
        <w:sectPr>
          <w:pgSz w:w="11900" w:h="16838" w:orient="portrait"/>
          <w:cols w:equalWidth="0" w:num="1">
            <w:col w:w="11420"/>
          </w:cols>
          <w:pgMar w:left="240" w:top="598" w:right="239" w:bottom="1440" w:gutter="0" w:footer="0" w:header="0"/>
        </w:sectPr>
      </w:pPr>
    </w:p>
    <w:bookmarkStart w:id="34" w:name="page35"/>
    <w:bookmarkEnd w:id="34"/>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If a director is involved in the transaction, he or she will be recused from all discussions and decisions about the transaction.</w:t>
      </w:r>
    </w:p>
    <w:p>
      <w:pPr>
        <w:spacing w:after="0" w:line="9" w:lineRule="exact"/>
        <w:rPr>
          <w:rFonts w:ascii="Arial" w:cs="Arial" w:eastAsia="Arial" w:hAnsi="Arial"/>
          <w:sz w:val="18"/>
          <w:szCs w:val="18"/>
          <w:color w:val="auto"/>
        </w:rPr>
      </w:pPr>
    </w:p>
    <w:p>
      <w:pPr>
        <w:ind w:left="660" w:right="80" w:hanging="328"/>
        <w:spacing w:after="0" w:line="250"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transaction must be approved in advance whenever practicable, and if not practicable, must be ratified, if appropriate, as promptly as practicable.</w:t>
      </w:r>
    </w:p>
    <w:p>
      <w:pPr>
        <w:ind w:left="660" w:right="400" w:hanging="328"/>
        <w:spacing w:after="0" w:line="262"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board or relevant committee will review the transaction annually to determine whether it continues to be in the company’s best interests.</w:t>
      </w:r>
    </w:p>
    <w:p>
      <w:pPr>
        <w:spacing w:after="0" w:line="196"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The Directors and Corporate Governance Committee has approved the following employment relationships that are considered related-party transactions under the SEC rules.</w:t>
      </w:r>
    </w:p>
    <w:p>
      <w:pPr>
        <w:spacing w:after="0" w:line="196"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have four current or former employees who are relatives or related persons of current or former executive officers. Dr. John Bamforth, Vice President, Global Marketing, Bio-Medicines, is the spouse of Dr. Susan Mahony, an executive officer. Myles O’Neill, Senior Vice President, and President, Manufacturing Operations, is the spouse of Dr. Fionnuala Walsh, a former executive officer. Andrew Lechleiter, General Manager, Hong Kong and Macau, is the son of Dr. John Lechleiter, Lilly's former chairman of the board. Finally, William Grose, former Consultant Engineer, is the partner of Johna Norton, an executive officer. For 2017, these four employees received cash and equity compensation totaling between $165,000 and $1,780,000.</w:t>
      </w:r>
    </w:p>
    <w:p>
      <w:pPr>
        <w:spacing w:after="0" w:line="209"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All four individuals participate or participated in the company’s benefit programs generally available to U.S. employees. Their compensation is consistent with the compensation paid to other employees at their levels and with the Company's overall compensation principles based on their years of experience, performance, and positions within the company.</w:t>
      </w:r>
    </w:p>
    <w:p>
      <w:pPr>
        <w:spacing w:after="0" w:line="172" w:lineRule="exact"/>
        <w:rPr>
          <w:sz w:val="20"/>
          <w:szCs w:val="20"/>
          <w:color w:val="auto"/>
        </w:rPr>
      </w:pPr>
    </w:p>
    <w:p>
      <w:pPr>
        <w:spacing w:after="0"/>
        <w:rPr>
          <w:sz w:val="20"/>
          <w:szCs w:val="20"/>
          <w:color w:val="auto"/>
        </w:rPr>
      </w:pPr>
      <w:r>
        <w:rPr>
          <w:rFonts w:ascii="Arial" w:cs="Arial" w:eastAsia="Arial" w:hAnsi="Arial"/>
          <w:sz w:val="25"/>
          <w:szCs w:val="25"/>
          <w:b w:val="1"/>
          <w:bCs w:val="1"/>
          <w:color w:val="FF0000"/>
        </w:rPr>
        <w:t>Communication with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81280</wp:posOffset>
            </wp:positionV>
            <wp:extent cx="72720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You may send written communications to one or more members of the board, addressed to:</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Board of Directors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Eli Lilly and Company</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 Corporate Secretary</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Lilly Corporate Center</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Indianapolis, IN 46285</w:t>
      </w:r>
    </w:p>
    <w:p>
      <w:pPr>
        <w:spacing w:after="0" w:line="186" w:lineRule="exact"/>
        <w:rPr>
          <w:sz w:val="20"/>
          <w:szCs w:val="20"/>
          <w:color w:val="auto"/>
        </w:rPr>
      </w:pPr>
    </w:p>
    <w:p>
      <w:pPr>
        <w:spacing w:after="0"/>
        <w:rPr>
          <w:sz w:val="20"/>
          <w:szCs w:val="20"/>
          <w:color w:val="auto"/>
        </w:rPr>
      </w:pPr>
      <w:r>
        <w:rPr>
          <w:rFonts w:ascii="Arial" w:cs="Arial" w:eastAsia="Arial" w:hAnsi="Arial"/>
          <w:sz w:val="29"/>
          <w:szCs w:val="29"/>
          <w:b w:val="1"/>
          <w:bCs w:val="1"/>
          <w:color w:val="FF0000"/>
        </w:rPr>
        <w:t>Shareholder Engagement on Governance Issues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109855</wp:posOffset>
            </wp:positionV>
            <wp:extent cx="72720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34"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Each year, the company engages large shareholders and other key constituents to discuss areas of interest or concern related to corporate governance, as well as any specific issues for the coming proxy season. In 2017, we spoke with a number of our largest investors. Issues discussed included shareholders' perspectives regarding a potential management proposal to eliminate the company's classified board and supermajority voting requirements, proxy access, board composition and recruitment, the company's executive compensation, and shareholders' ability to amend the bylaws, among other topics. The overall tone of these conversations was productive and positive, and the investors with whom we spoke were generally supportive of our performance and our overall compensation and governance policies, although a few shareholders shared differing views on some of our governance practices. This feedback has been discussed by our CEO and chair, the lead independent director, our Compensation Committee, and our Directors and Corporate Governance Committee, and it was a key input into board discussions on corporate governance topics. As a result of these discussions and its own deliberations, the board decided to put forward the two management proposals described below. We are committed to continuing to engage with our investors to ensure their diverse perspectives are thoughtfully considered.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Management Proposals to Eliminate Classified Board and Supermajority Voting Requirements</w:t>
      </w:r>
    </w:p>
    <w:p>
      <w:pPr>
        <w:spacing w:after="0" w:line="85"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Each year between 2007 and 2012, our management put forward proposals to eliminate the company's classified board structure. The proposals did not pass because they failed to receive a “supermajority vote” of 80 percent of the outstanding shares, as required in the company's articles of incorporation. In addition, in 2010, 2011, and 2012, we submitted management proposals to eliminate the supermajority voting requirements themselves. Those proposals also fell short of the required 80 percent vote.</w:t>
      </w:r>
    </w:p>
    <w:p>
      <w:pPr>
        <w:spacing w:after="0" w:line="2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P31</w:t>
      </w:r>
    </w:p>
    <w:p>
      <w:pPr>
        <w:sectPr>
          <w:pgSz w:w="11900" w:h="16838" w:orient="portrait"/>
          <w:cols w:equalWidth="0" w:num="1">
            <w:col w:w="11420"/>
          </w:cols>
          <w:pgMar w:left="240" w:top="598" w:right="239" w:bottom="1440" w:gutter="0" w:footer="0" w:header="0"/>
        </w:sectPr>
      </w:pPr>
    </w:p>
    <w:bookmarkStart w:id="35" w:name="page36"/>
    <w:bookmarkEnd w:id="35"/>
    <w:p>
      <w:pPr>
        <w:ind w:right="60"/>
        <w:spacing w:after="0" w:line="253" w:lineRule="auto"/>
        <w:rPr>
          <w:sz w:val="20"/>
          <w:szCs w:val="20"/>
          <w:color w:val="auto"/>
        </w:rPr>
      </w:pPr>
      <w:r>
        <w:rPr>
          <w:rFonts w:ascii="Arial" w:cs="Arial" w:eastAsia="Arial" w:hAnsi="Arial"/>
          <w:sz w:val="18"/>
          <w:szCs w:val="18"/>
          <w:color w:val="auto"/>
        </w:rPr>
        <w:t xml:space="preserve">Prior to 2012, these proposals received support ranging from 72 to 77 percent of the outstanding shares. In 2012, the vote was approximately 63 percent of the outstanding shares, driven in part by a 2012 NYSE rule revision prohibiting brokers from voting their clients' shares on corporate governance matters absent specific instructions from such clients. We have resubmitted both proposals this year for consideration at the 2018 Annual Meeting (see </w:t>
      </w:r>
      <w:r>
        <w:rPr>
          <w:rFonts w:ascii="Arial" w:cs="Arial" w:eastAsia="Arial" w:hAnsi="Arial"/>
          <w:sz w:val="18"/>
          <w:szCs w:val="18"/>
          <w:u w:val="single" w:color="auto"/>
          <w:color w:val="auto"/>
        </w:rPr>
        <w:t>Items 4 and 5</w:t>
      </w:r>
      <w:r>
        <w:rPr>
          <w:rFonts w:ascii="Arial" w:cs="Arial" w:eastAsia="Arial" w:hAnsi="Arial"/>
          <w:sz w:val="18"/>
          <w:szCs w:val="18"/>
          <w:color w:val="auto"/>
        </w:rPr>
        <w:t>). We will continue to engage with our shareholders on these and other topics to ensure that we continue to demonstrate strong corporate governance and accountability to shareholders.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Shareholder Proposals</w:t>
      </w:r>
    </w:p>
    <w:p>
      <w:pPr>
        <w:spacing w:after="0" w:line="85"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If a shareholder wishes to have a proposal considered for inclusion in next year’s proxy statement, he or she must submit the proposal in writing so that we receive it by November 19, 2018. Proposals should be addressed to the company’s corporate secretary, Lilly Corporate Center, Indianapolis, Indiana 46285. In addition, the company’s bylaws provide that any shareholder wishing to propose any other business at the annual meeting must give the company written notice by November 19, 2018, and no earlier than September 20, 2018. That notice must provide certain other information as described in the bylaws. Copies of the bylaws are available online at https://www.lilly.com/who-we-are/governance or upon request to the company’s corporate secretary.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Shareholder Recommendations and Nominations for Director Candidates</w:t>
      </w:r>
    </w:p>
    <w:p>
      <w:pPr>
        <w:spacing w:after="0" w:line="85"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A shareholder who wishes to recommend a director candidate for evaluation should forward the candidate's name and information about the candidate's qualifications to:</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Chair of the Directors and Corporate Governance Committee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 Corporate Secretary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Lilly Corporate Center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Indianapolis, IN 46285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candidate must meet the selection criteria described above and must be willing and expressly interested in serving on the board.</w:t>
      </w:r>
    </w:p>
    <w:p>
      <w:pPr>
        <w:spacing w:after="0" w:line="225"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Under Section 1.9 of the company’s bylaws, a shareholder who wishes to directly nominate a director candidate at the 2019 annual meeting (i.e., to propose a candidate for election who is not otherwise nominated by the board through the recommendation process described above) must give the company written notice by November 19, 2018, and no earlier than September 20, 2018. The notice should be addressed to the corporate secretary at the address provided above. The notice must contain prescribed information about the candidate and about the shareholder proposing the candidate as described in more detail in Section 1.9 of the bylaws. A copy of the bylaws is available online at https://www.lilly.com/who-we-are/governance. The bylaws will also be provided by mail upon request to the corporate secretary.</w:t>
      </w:r>
    </w:p>
    <w:p>
      <w:pPr>
        <w:spacing w:after="0" w:line="209"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We have not received any notice regarding shareholder nominations for board candidates or other shareholder business to be presented at the 2018 shareholders' meeting.</w:t>
      </w:r>
    </w:p>
    <w:p>
      <w:pPr>
        <w:spacing w:after="0" w:line="2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P32</w:t>
      </w:r>
    </w:p>
    <w:p>
      <w:pPr>
        <w:sectPr>
          <w:pgSz w:w="11900" w:h="16838" w:orient="portrait"/>
          <w:cols w:equalWidth="0" w:num="1">
            <w:col w:w="11420"/>
          </w:cols>
          <w:pgMar w:left="240" w:top="814" w:right="239" w:bottom="1440" w:gutter="0" w:footer="0" w:header="0"/>
        </w:sectPr>
      </w:pPr>
    </w:p>
    <w:bookmarkStart w:id="36" w:name="page37"/>
    <w:bookmarkEnd w:id="36"/>
    <w:p>
      <w:pPr>
        <w:spacing w:after="0"/>
        <w:rPr>
          <w:sz w:val="20"/>
          <w:szCs w:val="20"/>
          <w:color w:val="auto"/>
        </w:rPr>
      </w:pPr>
      <w:r>
        <w:rPr>
          <w:rFonts w:ascii="Arial" w:cs="Arial" w:eastAsia="Arial" w:hAnsi="Arial"/>
          <w:sz w:val="29"/>
          <w:szCs w:val="29"/>
          <w:b w:val="1"/>
          <w:bCs w:val="1"/>
          <w:color w:val="FF0000"/>
        </w:rPr>
        <w:t>Ownership of Company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720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Ownership by Directors and Executive Officers</w:t>
      </w:r>
    </w:p>
    <w:p>
      <w:pPr>
        <w:spacing w:after="0" w:line="8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following table sets forth the number of shares of company common stock beneficially owned by the directors, the named executive officers, and all directors and executive officers as a group, as of February 16, 2018. None of the stock or stock units owned by any of the listed individuals has been pledged as collateral for a loan or other obligation.</w:t>
      </w:r>
    </w:p>
    <w:p>
      <w:pPr>
        <w:spacing w:after="0" w:line="102" w:lineRule="exact"/>
        <w:rPr>
          <w:sz w:val="20"/>
          <w:szCs w:val="20"/>
          <w:color w:val="auto"/>
        </w:rPr>
      </w:pPr>
    </w:p>
    <w:tbl>
      <w:tblPr>
        <w:tblLayout w:type="fixed"/>
        <w:tblInd w:w="1710" w:type="dxa"/>
        <w:tblCellMar>
          <w:top w:w="0" w:type="dxa"/>
          <w:left w:w="0" w:type="dxa"/>
          <w:bottom w:w="0" w:type="dxa"/>
          <w:right w:w="0" w:type="dxa"/>
        </w:tblCellMar>
      </w:tblPr>
      <w:tr>
        <w:trPr>
          <w:trHeight w:val="230"/>
        </w:trPr>
        <w:tc>
          <w:tcPr>
            <w:tcW w:w="2640" w:type="dxa"/>
            <w:vAlign w:val="bottom"/>
            <w:tcBorders>
              <w:top w:val="single" w:sz="8" w:color="auto"/>
              <w:left w:val="single" w:sz="8" w:color="auto"/>
              <w:bottom w:val="single" w:sz="8" w:color="E5E5E5"/>
              <w:right w:val="single" w:sz="8" w:color="auto"/>
            </w:tcBorders>
            <w:shd w:val="clear" w:color="auto" w:fill="E5E5E5"/>
          </w:tcPr>
          <w:p>
            <w:pPr>
              <w:ind w:left="40"/>
              <w:spacing w:after="0"/>
              <w:rPr>
                <w:sz w:val="20"/>
                <w:szCs w:val="20"/>
                <w:color w:val="auto"/>
              </w:rPr>
            </w:pPr>
            <w:r>
              <w:rPr>
                <w:rFonts w:ascii="Arial" w:cs="Arial" w:eastAsia="Arial" w:hAnsi="Arial"/>
                <w:sz w:val="14"/>
                <w:szCs w:val="14"/>
                <w:b w:val="1"/>
                <w:bCs w:val="1"/>
                <w:color w:val="auto"/>
              </w:rPr>
              <w:t>Beneficial Owners</w:t>
            </w:r>
          </w:p>
        </w:tc>
        <w:tc>
          <w:tcPr>
            <w:tcW w:w="3960" w:type="dxa"/>
            <w:vAlign w:val="bottom"/>
            <w:tcBorders>
              <w:top w:val="single" w:sz="8" w:color="auto"/>
              <w:bottom w:val="single" w:sz="8" w:color="auto"/>
              <w:right w:val="single" w:sz="8" w:color="auto"/>
            </w:tcBorders>
            <w:gridSpan w:val="3"/>
            <w:shd w:val="clear" w:color="auto" w:fill="E5E5E5"/>
          </w:tcPr>
          <w:p>
            <w:pPr>
              <w:ind w:left="1400"/>
              <w:spacing w:after="0"/>
              <w:rPr>
                <w:sz w:val="20"/>
                <w:szCs w:val="20"/>
                <w:color w:val="auto"/>
              </w:rPr>
            </w:pPr>
            <w:r>
              <w:rPr>
                <w:rFonts w:ascii="Arial" w:cs="Arial" w:eastAsia="Arial" w:hAnsi="Arial"/>
                <w:sz w:val="14"/>
                <w:szCs w:val="14"/>
                <w:b w:val="1"/>
                <w:bCs w:val="1"/>
                <w:color w:val="auto"/>
              </w:rPr>
              <w:t xml:space="preserve">Common Stock </w:t>
            </w:r>
            <w:r>
              <w:rPr>
                <w:rFonts w:ascii="Arial" w:cs="Arial" w:eastAsia="Arial" w:hAnsi="Arial"/>
                <w:sz w:val="17"/>
                <w:szCs w:val="17"/>
                <w:b w:val="1"/>
                <w:bCs w:val="1"/>
                <w:color w:val="auto"/>
                <w:vertAlign w:val="superscript"/>
              </w:rPr>
              <w:t>1</w:t>
            </w:r>
          </w:p>
        </w:tc>
        <w:tc>
          <w:tcPr>
            <w:tcW w:w="1460" w:type="dxa"/>
            <w:vAlign w:val="bottom"/>
            <w:tcBorders>
              <w:top w:val="single" w:sz="8" w:color="auto"/>
              <w:bottom w:val="single" w:sz="8" w:color="auto"/>
              <w:right w:val="single" w:sz="8" w:color="auto"/>
            </w:tcBorders>
            <w:shd w:val="clear" w:color="auto" w:fill="E5E5E5"/>
          </w:tcPr>
          <w:p>
            <w:pPr>
              <w:jc w:val="center"/>
              <w:spacing w:after="0"/>
              <w:rPr>
                <w:sz w:val="20"/>
                <w:szCs w:val="20"/>
                <w:color w:val="auto"/>
              </w:rPr>
            </w:pPr>
            <w:r>
              <w:rPr>
                <w:rFonts w:ascii="Arial" w:cs="Arial" w:eastAsia="Arial" w:hAnsi="Arial"/>
                <w:sz w:val="14"/>
                <w:szCs w:val="14"/>
                <w:b w:val="1"/>
                <w:bCs w:val="1"/>
                <w:color w:val="auto"/>
              </w:rPr>
              <w:t>Stock Units Not</w:t>
            </w:r>
          </w:p>
        </w:tc>
      </w:tr>
      <w:tr>
        <w:trPr>
          <w:trHeight w:val="169"/>
        </w:trPr>
        <w:tc>
          <w:tcPr>
            <w:tcW w:w="2640" w:type="dxa"/>
            <w:vAlign w:val="bottom"/>
            <w:tcBorders>
              <w:left w:val="single" w:sz="8" w:color="auto"/>
              <w:right w:val="single" w:sz="8" w:color="auto"/>
            </w:tcBorders>
            <w:shd w:val="clear" w:color="auto" w:fill="E5E5E5"/>
          </w:tcPr>
          <w:p>
            <w:pPr>
              <w:spacing w:after="0"/>
              <w:rPr>
                <w:sz w:val="14"/>
                <w:szCs w:val="14"/>
                <w:color w:val="auto"/>
              </w:rPr>
            </w:pPr>
          </w:p>
        </w:tc>
        <w:tc>
          <w:tcPr>
            <w:tcW w:w="1760" w:type="dxa"/>
            <w:vAlign w:val="bottom"/>
            <w:shd w:val="clear" w:color="auto" w:fill="E5E5E5"/>
          </w:tcPr>
          <w:p>
            <w:pPr>
              <w:spacing w:after="0"/>
              <w:rPr>
                <w:sz w:val="14"/>
                <w:szCs w:val="14"/>
                <w:color w:val="auto"/>
              </w:rPr>
            </w:pPr>
          </w:p>
        </w:tc>
        <w:tc>
          <w:tcPr>
            <w:tcW w:w="240" w:type="dxa"/>
            <w:vAlign w:val="bottom"/>
            <w:tcBorders>
              <w:right w:val="single" w:sz="8" w:color="auto"/>
            </w:tcBorders>
            <w:shd w:val="clear" w:color="auto" w:fill="E5E5E5"/>
          </w:tcPr>
          <w:p>
            <w:pPr>
              <w:spacing w:after="0"/>
              <w:rPr>
                <w:sz w:val="14"/>
                <w:szCs w:val="14"/>
                <w:color w:val="auto"/>
              </w:rPr>
            </w:pPr>
          </w:p>
        </w:tc>
        <w:tc>
          <w:tcPr>
            <w:tcW w:w="1960" w:type="dxa"/>
            <w:vAlign w:val="bottom"/>
            <w:tcBorders>
              <w:right w:val="single" w:sz="8" w:color="auto"/>
            </w:tcBorders>
            <w:shd w:val="clear" w:color="auto" w:fill="E5E5E5"/>
          </w:tcPr>
          <w:p>
            <w:pPr>
              <w:ind w:left="100"/>
              <w:spacing w:after="0"/>
              <w:rPr>
                <w:sz w:val="20"/>
                <w:szCs w:val="20"/>
                <w:color w:val="auto"/>
              </w:rPr>
            </w:pPr>
            <w:r>
              <w:rPr>
                <w:rFonts w:ascii="Arial" w:cs="Arial" w:eastAsia="Arial" w:hAnsi="Arial"/>
                <w:sz w:val="14"/>
                <w:szCs w:val="14"/>
                <w:b w:val="1"/>
                <w:bCs w:val="1"/>
                <w:color w:val="auto"/>
              </w:rPr>
              <w:t>Stock Units Distributable</w:t>
            </w:r>
          </w:p>
        </w:tc>
        <w:tc>
          <w:tcPr>
            <w:tcW w:w="1460" w:type="dxa"/>
            <w:vAlign w:val="bottom"/>
            <w:tcBorders>
              <w:right w:val="single" w:sz="8" w:color="auto"/>
            </w:tcBorders>
            <w:shd w:val="clear" w:color="auto" w:fill="E5E5E5"/>
          </w:tcPr>
          <w:p>
            <w:pPr>
              <w:jc w:val="center"/>
              <w:spacing w:after="0"/>
              <w:rPr>
                <w:sz w:val="20"/>
                <w:szCs w:val="20"/>
                <w:color w:val="auto"/>
              </w:rPr>
            </w:pPr>
            <w:r>
              <w:rPr>
                <w:rFonts w:ascii="Arial" w:cs="Arial" w:eastAsia="Arial" w:hAnsi="Arial"/>
                <w:sz w:val="14"/>
                <w:szCs w:val="14"/>
                <w:b w:val="1"/>
                <w:bCs w:val="1"/>
                <w:color w:val="auto"/>
              </w:rPr>
              <w:t>Distributable Within</w:t>
            </w:r>
          </w:p>
        </w:tc>
      </w:tr>
      <w:tr>
        <w:trPr>
          <w:trHeight w:val="202"/>
        </w:trPr>
        <w:tc>
          <w:tcPr>
            <w:tcW w:w="2640" w:type="dxa"/>
            <w:vAlign w:val="bottom"/>
            <w:tcBorders>
              <w:left w:val="single" w:sz="8" w:color="auto"/>
              <w:bottom w:val="single" w:sz="8" w:color="auto"/>
              <w:right w:val="single" w:sz="8" w:color="auto"/>
            </w:tcBorders>
            <w:shd w:val="clear" w:color="auto" w:fill="E5E5E5"/>
          </w:tcPr>
          <w:p>
            <w:pPr>
              <w:spacing w:after="0"/>
              <w:rPr>
                <w:sz w:val="17"/>
                <w:szCs w:val="17"/>
                <w:color w:val="auto"/>
              </w:rPr>
            </w:pPr>
          </w:p>
        </w:tc>
        <w:tc>
          <w:tcPr>
            <w:tcW w:w="1760" w:type="dxa"/>
            <w:vAlign w:val="bottom"/>
            <w:tcBorders>
              <w:bottom w:val="single" w:sz="8" w:color="auto"/>
            </w:tcBorders>
            <w:shd w:val="clear" w:color="auto" w:fill="E5E5E5"/>
          </w:tcPr>
          <w:p>
            <w:pPr>
              <w:jc w:val="right"/>
              <w:ind w:right="268"/>
              <w:spacing w:after="0"/>
              <w:rPr>
                <w:sz w:val="20"/>
                <w:szCs w:val="20"/>
                <w:color w:val="auto"/>
              </w:rPr>
            </w:pPr>
            <w:r>
              <w:rPr>
                <w:rFonts w:ascii="Arial" w:cs="Arial" w:eastAsia="Arial" w:hAnsi="Arial"/>
                <w:sz w:val="14"/>
                <w:szCs w:val="14"/>
                <w:b w:val="1"/>
                <w:bCs w:val="1"/>
                <w:color w:val="auto"/>
              </w:rPr>
              <w:t xml:space="preserve">Shares Owned </w:t>
            </w:r>
            <w:r>
              <w:rPr>
                <w:rFonts w:ascii="Arial" w:cs="Arial" w:eastAsia="Arial" w:hAnsi="Arial"/>
                <w:sz w:val="17"/>
                <w:szCs w:val="17"/>
                <w:b w:val="1"/>
                <w:bCs w:val="1"/>
                <w:color w:val="auto"/>
                <w:vertAlign w:val="superscript"/>
              </w:rPr>
              <w:t>2</w:t>
            </w:r>
          </w:p>
        </w:tc>
        <w:tc>
          <w:tcPr>
            <w:tcW w:w="240" w:type="dxa"/>
            <w:vAlign w:val="bottom"/>
            <w:tcBorders>
              <w:bottom w:val="single" w:sz="8" w:color="auto"/>
              <w:right w:val="single" w:sz="8" w:color="auto"/>
            </w:tcBorders>
            <w:shd w:val="clear" w:color="auto" w:fill="E5E5E5"/>
          </w:tcPr>
          <w:p>
            <w:pPr>
              <w:spacing w:after="0"/>
              <w:rPr>
                <w:sz w:val="17"/>
                <w:szCs w:val="17"/>
                <w:color w:val="auto"/>
              </w:rPr>
            </w:pPr>
          </w:p>
        </w:tc>
        <w:tc>
          <w:tcPr>
            <w:tcW w:w="1960" w:type="dxa"/>
            <w:vAlign w:val="bottom"/>
            <w:tcBorders>
              <w:bottom w:val="single" w:sz="8" w:color="auto"/>
              <w:right w:val="single" w:sz="8" w:color="auto"/>
            </w:tcBorders>
            <w:shd w:val="clear" w:color="auto" w:fill="E5E5E5"/>
          </w:tcPr>
          <w:p>
            <w:pPr>
              <w:ind w:left="400"/>
              <w:spacing w:after="0"/>
              <w:rPr>
                <w:sz w:val="20"/>
                <w:szCs w:val="20"/>
                <w:color w:val="auto"/>
              </w:rPr>
            </w:pPr>
            <w:r>
              <w:rPr>
                <w:rFonts w:ascii="Arial" w:cs="Arial" w:eastAsia="Arial" w:hAnsi="Arial"/>
                <w:sz w:val="14"/>
                <w:szCs w:val="14"/>
                <w:b w:val="1"/>
                <w:bCs w:val="1"/>
                <w:color w:val="auto"/>
              </w:rPr>
              <w:t xml:space="preserve">Within 60 Days </w:t>
            </w:r>
            <w:r>
              <w:rPr>
                <w:rFonts w:ascii="Arial" w:cs="Arial" w:eastAsia="Arial" w:hAnsi="Arial"/>
                <w:sz w:val="17"/>
                <w:szCs w:val="17"/>
                <w:b w:val="1"/>
                <w:bCs w:val="1"/>
                <w:color w:val="auto"/>
                <w:vertAlign w:val="superscript"/>
              </w:rPr>
              <w:t>3</w:t>
            </w:r>
          </w:p>
        </w:tc>
        <w:tc>
          <w:tcPr>
            <w:tcW w:w="1460" w:type="dxa"/>
            <w:vAlign w:val="bottom"/>
            <w:tcBorders>
              <w:bottom w:val="single" w:sz="8" w:color="auto"/>
              <w:right w:val="single" w:sz="8" w:color="auto"/>
            </w:tcBorders>
            <w:shd w:val="clear" w:color="auto" w:fill="E5E5E5"/>
          </w:tcPr>
          <w:p>
            <w:pPr>
              <w:jc w:val="center"/>
              <w:spacing w:after="0"/>
              <w:rPr>
                <w:sz w:val="20"/>
                <w:szCs w:val="20"/>
                <w:color w:val="auto"/>
              </w:rPr>
            </w:pPr>
            <w:r>
              <w:rPr>
                <w:rFonts w:ascii="Arial" w:cs="Arial" w:eastAsia="Arial" w:hAnsi="Arial"/>
                <w:sz w:val="14"/>
                <w:szCs w:val="14"/>
                <w:b w:val="1"/>
                <w:bCs w:val="1"/>
                <w:color w:val="auto"/>
              </w:rPr>
              <w:t xml:space="preserve">60 Days </w:t>
            </w:r>
            <w:r>
              <w:rPr>
                <w:rFonts w:ascii="Arial" w:cs="Arial" w:eastAsia="Arial" w:hAnsi="Arial"/>
                <w:sz w:val="17"/>
                <w:szCs w:val="17"/>
                <w:b w:val="1"/>
                <w:bCs w:val="1"/>
                <w:color w:val="auto"/>
                <w:vertAlign w:val="superscript"/>
              </w:rPr>
              <w:t>4</w:t>
            </w:r>
          </w:p>
        </w:tc>
      </w:tr>
      <w:tr>
        <w:trPr>
          <w:trHeight w:val="258"/>
        </w:trPr>
        <w:tc>
          <w:tcPr>
            <w:tcW w:w="2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Ralph Alvarez</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right w:val="single" w:sz="8" w:color="auto"/>
            </w:tcBorders>
          </w:tcPr>
          <w:p>
            <w:pPr>
              <w:spacing w:after="0"/>
              <w:rPr>
                <w:sz w:val="22"/>
                <w:szCs w:val="22"/>
                <w:color w:val="auto"/>
              </w:rPr>
            </w:pPr>
          </w:p>
        </w:tc>
        <w:tc>
          <w:tcPr>
            <w:tcW w:w="1960" w:type="dxa"/>
            <w:vAlign w:val="bottom"/>
            <w:tcBorders>
              <w:bottom w:val="single" w:sz="8" w:color="auto"/>
              <w:right w:val="single" w:sz="8" w:color="auto"/>
            </w:tcBorders>
          </w:tcPr>
          <w:p>
            <w:pPr>
              <w:ind w:left="1740"/>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39,627</w:t>
            </w:r>
          </w:p>
        </w:tc>
      </w:tr>
      <w:tr>
        <w:trPr>
          <w:trHeight w:val="264"/>
        </w:trPr>
        <w:tc>
          <w:tcPr>
            <w:tcW w:w="2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Katherine Baicker, Ph.D.</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right w:val="single" w:sz="8" w:color="auto"/>
            </w:tcBorders>
          </w:tcPr>
          <w:p>
            <w:pPr>
              <w:spacing w:after="0"/>
              <w:rPr>
                <w:sz w:val="22"/>
                <w:szCs w:val="22"/>
                <w:color w:val="auto"/>
              </w:rPr>
            </w:pPr>
          </w:p>
        </w:tc>
        <w:tc>
          <w:tcPr>
            <w:tcW w:w="1960" w:type="dxa"/>
            <w:vAlign w:val="bottom"/>
            <w:tcBorders>
              <w:bottom w:val="single" w:sz="8" w:color="auto"/>
              <w:right w:val="single" w:sz="8" w:color="auto"/>
            </w:tcBorders>
          </w:tcPr>
          <w:p>
            <w:pPr>
              <w:ind w:left="1740"/>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15,001</w:t>
            </w:r>
          </w:p>
        </w:tc>
      </w:tr>
      <w:tr>
        <w:trPr>
          <w:trHeight w:val="264"/>
        </w:trPr>
        <w:tc>
          <w:tcPr>
            <w:tcW w:w="2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Carolyn R Bertozzi, Ph.D.</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right w:val="single" w:sz="8" w:color="auto"/>
            </w:tcBorders>
          </w:tcPr>
          <w:p>
            <w:pPr>
              <w:spacing w:after="0"/>
              <w:rPr>
                <w:sz w:val="22"/>
                <w:szCs w:val="22"/>
                <w:color w:val="auto"/>
              </w:rPr>
            </w:pPr>
          </w:p>
        </w:tc>
        <w:tc>
          <w:tcPr>
            <w:tcW w:w="1960" w:type="dxa"/>
            <w:vAlign w:val="bottom"/>
            <w:tcBorders>
              <w:bottom w:val="single" w:sz="8" w:color="auto"/>
              <w:right w:val="single" w:sz="8" w:color="auto"/>
            </w:tcBorders>
          </w:tcPr>
          <w:p>
            <w:pPr>
              <w:ind w:left="1740"/>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1,764</w:t>
            </w:r>
          </w:p>
        </w:tc>
      </w:tr>
      <w:tr>
        <w:trPr>
          <w:trHeight w:val="264"/>
        </w:trPr>
        <w:tc>
          <w:tcPr>
            <w:tcW w:w="2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Enrique A. Conterno</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143,553</w:t>
            </w:r>
          </w:p>
        </w:tc>
        <w:tc>
          <w:tcPr>
            <w:tcW w:w="240" w:type="dxa"/>
            <w:vAlign w:val="bottom"/>
            <w:tcBorders>
              <w:bottom w:val="single" w:sz="8" w:color="auto"/>
              <w:right w:val="single" w:sz="8" w:color="auto"/>
            </w:tcBorders>
          </w:tcPr>
          <w:p>
            <w:pPr>
              <w:spacing w:after="0"/>
              <w:rPr>
                <w:sz w:val="22"/>
                <w:szCs w:val="22"/>
                <w:color w:val="auto"/>
              </w:rPr>
            </w:pPr>
          </w:p>
        </w:tc>
        <w:tc>
          <w:tcPr>
            <w:tcW w:w="1960" w:type="dxa"/>
            <w:vAlign w:val="bottom"/>
            <w:tcBorders>
              <w:bottom w:val="single" w:sz="8" w:color="auto"/>
              <w:right w:val="single" w:sz="8" w:color="auto"/>
            </w:tcBorders>
          </w:tcPr>
          <w:p>
            <w:pPr>
              <w:ind w:left="1740"/>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66,837</w:t>
            </w:r>
          </w:p>
        </w:tc>
      </w:tr>
      <w:tr>
        <w:trPr>
          <w:trHeight w:val="264"/>
        </w:trPr>
        <w:tc>
          <w:tcPr>
            <w:tcW w:w="2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Michael L. Eskew</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right w:val="single" w:sz="8" w:color="auto"/>
            </w:tcBorders>
          </w:tcPr>
          <w:p>
            <w:pPr>
              <w:spacing w:after="0"/>
              <w:rPr>
                <w:sz w:val="22"/>
                <w:szCs w:val="22"/>
                <w:color w:val="auto"/>
              </w:rPr>
            </w:pPr>
          </w:p>
        </w:tc>
        <w:tc>
          <w:tcPr>
            <w:tcW w:w="1960" w:type="dxa"/>
            <w:vAlign w:val="bottom"/>
            <w:tcBorders>
              <w:bottom w:val="single" w:sz="8" w:color="auto"/>
              <w:right w:val="single" w:sz="8" w:color="auto"/>
            </w:tcBorders>
          </w:tcPr>
          <w:p>
            <w:pPr>
              <w:ind w:left="1740"/>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37,020</w:t>
            </w:r>
          </w:p>
        </w:tc>
      </w:tr>
      <w:tr>
        <w:trPr>
          <w:trHeight w:val="264"/>
        </w:trPr>
        <w:tc>
          <w:tcPr>
            <w:tcW w:w="2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J. Erik Fyrwald</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240" w:type="dxa"/>
            <w:vAlign w:val="bottom"/>
            <w:tcBorders>
              <w:bottom w:val="single" w:sz="8" w:color="auto"/>
              <w:right w:val="single" w:sz="8" w:color="auto"/>
            </w:tcBorders>
          </w:tcPr>
          <w:p>
            <w:pPr>
              <w:spacing w:after="0"/>
              <w:rPr>
                <w:sz w:val="22"/>
                <w:szCs w:val="22"/>
                <w:color w:val="auto"/>
              </w:rPr>
            </w:pPr>
          </w:p>
        </w:tc>
        <w:tc>
          <w:tcPr>
            <w:tcW w:w="1960" w:type="dxa"/>
            <w:vAlign w:val="bottom"/>
            <w:tcBorders>
              <w:bottom w:val="single" w:sz="8" w:color="auto"/>
              <w:right w:val="single" w:sz="8" w:color="auto"/>
            </w:tcBorders>
          </w:tcPr>
          <w:p>
            <w:pPr>
              <w:ind w:left="1740"/>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58,059</w:t>
            </w:r>
          </w:p>
        </w:tc>
      </w:tr>
      <w:tr>
        <w:trPr>
          <w:trHeight w:val="264"/>
        </w:trPr>
        <w:tc>
          <w:tcPr>
            <w:tcW w:w="2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Michael J. Harrington</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92,363</w:t>
            </w:r>
          </w:p>
        </w:tc>
        <w:tc>
          <w:tcPr>
            <w:tcW w:w="240" w:type="dxa"/>
            <w:vAlign w:val="bottom"/>
            <w:tcBorders>
              <w:bottom w:val="single" w:sz="8" w:color="auto"/>
              <w:right w:val="single" w:sz="8" w:color="auto"/>
            </w:tcBorders>
          </w:tcPr>
          <w:p>
            <w:pPr>
              <w:spacing w:after="0"/>
              <w:rPr>
                <w:sz w:val="22"/>
                <w:szCs w:val="22"/>
                <w:color w:val="auto"/>
              </w:rPr>
            </w:pPr>
          </w:p>
        </w:tc>
        <w:tc>
          <w:tcPr>
            <w:tcW w:w="1960" w:type="dxa"/>
            <w:vAlign w:val="bottom"/>
            <w:tcBorders>
              <w:bottom w:val="single" w:sz="8" w:color="auto"/>
              <w:right w:val="single" w:sz="8" w:color="auto"/>
            </w:tcBorders>
          </w:tcPr>
          <w:p>
            <w:pPr>
              <w:ind w:left="1740"/>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12,778</w:t>
            </w:r>
          </w:p>
        </w:tc>
      </w:tr>
      <w:tr>
        <w:trPr>
          <w:trHeight w:val="264"/>
        </w:trPr>
        <w:tc>
          <w:tcPr>
            <w:tcW w:w="2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R. David Hoover</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1,500</w:t>
            </w:r>
          </w:p>
        </w:tc>
        <w:tc>
          <w:tcPr>
            <w:tcW w:w="240" w:type="dxa"/>
            <w:vAlign w:val="bottom"/>
            <w:tcBorders>
              <w:bottom w:val="single" w:sz="8" w:color="auto"/>
              <w:right w:val="single" w:sz="8" w:color="auto"/>
            </w:tcBorders>
          </w:tcPr>
          <w:p>
            <w:pPr>
              <w:spacing w:after="0"/>
              <w:rPr>
                <w:sz w:val="22"/>
                <w:szCs w:val="22"/>
                <w:color w:val="auto"/>
              </w:rPr>
            </w:pPr>
          </w:p>
        </w:tc>
        <w:tc>
          <w:tcPr>
            <w:tcW w:w="1960" w:type="dxa"/>
            <w:vAlign w:val="bottom"/>
            <w:tcBorders>
              <w:bottom w:val="single" w:sz="8" w:color="auto"/>
              <w:right w:val="single" w:sz="8" w:color="auto"/>
            </w:tcBorders>
          </w:tcPr>
          <w:p>
            <w:pPr>
              <w:ind w:left="1740"/>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36,492</w:t>
            </w:r>
          </w:p>
        </w:tc>
      </w:tr>
      <w:tr>
        <w:trPr>
          <w:trHeight w:val="264"/>
        </w:trPr>
        <w:tc>
          <w:tcPr>
            <w:tcW w:w="2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Jamere Jackson</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right w:val="single" w:sz="8" w:color="auto"/>
            </w:tcBorders>
          </w:tcPr>
          <w:p>
            <w:pPr>
              <w:spacing w:after="0"/>
              <w:rPr>
                <w:sz w:val="22"/>
                <w:szCs w:val="22"/>
                <w:color w:val="auto"/>
              </w:rPr>
            </w:pPr>
          </w:p>
        </w:tc>
        <w:tc>
          <w:tcPr>
            <w:tcW w:w="1960" w:type="dxa"/>
            <w:vAlign w:val="bottom"/>
            <w:tcBorders>
              <w:bottom w:val="single" w:sz="8" w:color="auto"/>
              <w:right w:val="single" w:sz="8" w:color="auto"/>
            </w:tcBorders>
          </w:tcPr>
          <w:p>
            <w:pPr>
              <w:ind w:left="1740"/>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2,459</w:t>
            </w:r>
          </w:p>
        </w:tc>
      </w:tr>
      <w:tr>
        <w:trPr>
          <w:trHeight w:val="264"/>
        </w:trPr>
        <w:tc>
          <w:tcPr>
            <w:tcW w:w="2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William G. Kaelin, Jr., M.D.</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right w:val="single" w:sz="8" w:color="auto"/>
            </w:tcBorders>
          </w:tcPr>
          <w:p>
            <w:pPr>
              <w:spacing w:after="0"/>
              <w:rPr>
                <w:sz w:val="22"/>
                <w:szCs w:val="22"/>
                <w:color w:val="auto"/>
              </w:rPr>
            </w:pPr>
          </w:p>
        </w:tc>
        <w:tc>
          <w:tcPr>
            <w:tcW w:w="1960" w:type="dxa"/>
            <w:vAlign w:val="bottom"/>
            <w:tcBorders>
              <w:bottom w:val="single" w:sz="8" w:color="auto"/>
              <w:right w:val="single" w:sz="8" w:color="auto"/>
            </w:tcBorders>
          </w:tcPr>
          <w:p>
            <w:pPr>
              <w:ind w:left="1740"/>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13,516</w:t>
            </w:r>
          </w:p>
        </w:tc>
      </w:tr>
      <w:tr>
        <w:trPr>
          <w:trHeight w:val="264"/>
        </w:trPr>
        <w:tc>
          <w:tcPr>
            <w:tcW w:w="2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Juan R. Luciano</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right w:val="single" w:sz="8" w:color="auto"/>
            </w:tcBorders>
          </w:tcPr>
          <w:p>
            <w:pPr>
              <w:spacing w:after="0"/>
              <w:rPr>
                <w:sz w:val="22"/>
                <w:szCs w:val="22"/>
                <w:color w:val="auto"/>
              </w:rPr>
            </w:pPr>
          </w:p>
        </w:tc>
        <w:tc>
          <w:tcPr>
            <w:tcW w:w="1960" w:type="dxa"/>
            <w:vAlign w:val="bottom"/>
            <w:tcBorders>
              <w:bottom w:val="single" w:sz="8" w:color="auto"/>
              <w:right w:val="single" w:sz="8" w:color="auto"/>
            </w:tcBorders>
          </w:tcPr>
          <w:p>
            <w:pPr>
              <w:ind w:left="1740"/>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5,428</w:t>
            </w:r>
          </w:p>
        </w:tc>
      </w:tr>
      <w:tr>
        <w:trPr>
          <w:trHeight w:val="264"/>
        </w:trPr>
        <w:tc>
          <w:tcPr>
            <w:tcW w:w="2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Jan M. Lundberg, Ph.D.</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199,220</w:t>
            </w:r>
          </w:p>
        </w:tc>
        <w:tc>
          <w:tcPr>
            <w:tcW w:w="240" w:type="dxa"/>
            <w:vAlign w:val="bottom"/>
            <w:tcBorders>
              <w:bottom w:val="single" w:sz="8" w:color="auto"/>
              <w:right w:val="single" w:sz="8" w:color="auto"/>
            </w:tcBorders>
          </w:tcPr>
          <w:p>
            <w:pPr>
              <w:spacing w:after="0"/>
              <w:rPr>
                <w:sz w:val="22"/>
                <w:szCs w:val="22"/>
                <w:color w:val="auto"/>
              </w:rPr>
            </w:pPr>
          </w:p>
        </w:tc>
        <w:tc>
          <w:tcPr>
            <w:tcW w:w="1960" w:type="dxa"/>
            <w:vAlign w:val="bottom"/>
            <w:tcBorders>
              <w:bottom w:val="single" w:sz="8" w:color="auto"/>
              <w:right w:val="single" w:sz="8" w:color="auto"/>
            </w:tcBorders>
          </w:tcPr>
          <w:p>
            <w:pPr>
              <w:ind w:left="1740"/>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27,871</w:t>
            </w:r>
          </w:p>
        </w:tc>
      </w:tr>
      <w:tr>
        <w:trPr>
          <w:trHeight w:val="264"/>
        </w:trPr>
        <w:tc>
          <w:tcPr>
            <w:tcW w:w="2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Ellen R. Marram</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w:t>
            </w:r>
          </w:p>
        </w:tc>
        <w:tc>
          <w:tcPr>
            <w:tcW w:w="240" w:type="dxa"/>
            <w:vAlign w:val="bottom"/>
            <w:tcBorders>
              <w:bottom w:val="single" w:sz="8" w:color="auto"/>
              <w:right w:val="single" w:sz="8" w:color="auto"/>
            </w:tcBorders>
          </w:tcPr>
          <w:p>
            <w:pPr>
              <w:spacing w:after="0"/>
              <w:rPr>
                <w:sz w:val="22"/>
                <w:szCs w:val="22"/>
                <w:color w:val="auto"/>
              </w:rPr>
            </w:pPr>
          </w:p>
        </w:tc>
        <w:tc>
          <w:tcPr>
            <w:tcW w:w="1960" w:type="dxa"/>
            <w:vAlign w:val="bottom"/>
            <w:tcBorders>
              <w:bottom w:val="single" w:sz="8" w:color="auto"/>
              <w:right w:val="single" w:sz="8" w:color="auto"/>
            </w:tcBorders>
          </w:tcPr>
          <w:p>
            <w:pPr>
              <w:ind w:left="1740"/>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52,373</w:t>
            </w:r>
          </w:p>
        </w:tc>
      </w:tr>
      <w:tr>
        <w:trPr>
          <w:trHeight w:val="210"/>
        </w:trPr>
        <w:tc>
          <w:tcPr>
            <w:tcW w:w="2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David A. Ricks</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136,553</w:t>
            </w:r>
          </w:p>
        </w:tc>
        <w:tc>
          <w:tcPr>
            <w:tcW w:w="240" w:type="dxa"/>
            <w:vAlign w:val="bottom"/>
            <w:tcBorders>
              <w:bottom w:val="single" w:sz="8" w:color="auto"/>
              <w:right w:val="single" w:sz="8" w:color="auto"/>
            </w:tcBorders>
          </w:tcPr>
          <w:p>
            <w:pPr>
              <w:jc w:val="right"/>
              <w:ind w:right="115"/>
              <w:spacing w:after="0"/>
              <w:rPr>
                <w:sz w:val="20"/>
                <w:szCs w:val="20"/>
                <w:color w:val="auto"/>
              </w:rPr>
            </w:pPr>
            <w:r>
              <w:rPr>
                <w:rFonts w:ascii="Arial" w:cs="Arial" w:eastAsia="Arial" w:hAnsi="Arial"/>
                <w:sz w:val="9"/>
                <w:szCs w:val="9"/>
                <w:color w:val="auto"/>
              </w:rPr>
              <w:t>5</w:t>
            </w:r>
          </w:p>
        </w:tc>
        <w:tc>
          <w:tcPr>
            <w:tcW w:w="1960" w:type="dxa"/>
            <w:vAlign w:val="bottom"/>
            <w:tcBorders>
              <w:bottom w:val="single" w:sz="8" w:color="auto"/>
              <w:right w:val="single" w:sz="8" w:color="auto"/>
            </w:tcBorders>
          </w:tcPr>
          <w:p>
            <w:pPr>
              <w:ind w:left="1740"/>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12,222</w:t>
            </w:r>
          </w:p>
        </w:tc>
      </w:tr>
      <w:tr>
        <w:trPr>
          <w:trHeight w:val="264"/>
        </w:trPr>
        <w:tc>
          <w:tcPr>
            <w:tcW w:w="2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Marschall S. Runge, M.D., Ph.D.</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right w:val="single" w:sz="8" w:color="auto"/>
            </w:tcBorders>
          </w:tcPr>
          <w:p>
            <w:pPr>
              <w:spacing w:after="0"/>
              <w:rPr>
                <w:sz w:val="22"/>
                <w:szCs w:val="22"/>
                <w:color w:val="auto"/>
              </w:rPr>
            </w:pPr>
          </w:p>
        </w:tc>
        <w:tc>
          <w:tcPr>
            <w:tcW w:w="1960" w:type="dxa"/>
            <w:vAlign w:val="bottom"/>
            <w:tcBorders>
              <w:bottom w:val="single" w:sz="8" w:color="auto"/>
              <w:right w:val="single" w:sz="8" w:color="auto"/>
            </w:tcBorders>
          </w:tcPr>
          <w:p>
            <w:pPr>
              <w:ind w:left="1740"/>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9,327</w:t>
            </w:r>
          </w:p>
        </w:tc>
      </w:tr>
      <w:tr>
        <w:trPr>
          <w:trHeight w:val="264"/>
        </w:trPr>
        <w:tc>
          <w:tcPr>
            <w:tcW w:w="2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Kathi P. Seifert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3,533</w:t>
            </w:r>
          </w:p>
        </w:tc>
        <w:tc>
          <w:tcPr>
            <w:tcW w:w="240" w:type="dxa"/>
            <w:vAlign w:val="bottom"/>
            <w:tcBorders>
              <w:bottom w:val="single" w:sz="8" w:color="auto"/>
              <w:right w:val="single" w:sz="8" w:color="auto"/>
            </w:tcBorders>
          </w:tcPr>
          <w:p>
            <w:pPr>
              <w:spacing w:after="0"/>
              <w:rPr>
                <w:sz w:val="22"/>
                <w:szCs w:val="22"/>
                <w:color w:val="auto"/>
              </w:rPr>
            </w:pPr>
          </w:p>
        </w:tc>
        <w:tc>
          <w:tcPr>
            <w:tcW w:w="1960" w:type="dxa"/>
            <w:vAlign w:val="bottom"/>
            <w:tcBorders>
              <w:bottom w:val="single" w:sz="8" w:color="auto"/>
              <w:right w:val="single" w:sz="8" w:color="auto"/>
            </w:tcBorders>
          </w:tcPr>
          <w:p>
            <w:pPr>
              <w:ind w:left="1740"/>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65,061</w:t>
            </w:r>
          </w:p>
        </w:tc>
      </w:tr>
      <w:tr>
        <w:trPr>
          <w:trHeight w:val="264"/>
        </w:trPr>
        <w:tc>
          <w:tcPr>
            <w:tcW w:w="2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Joshua L. Smiley</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24,868</w:t>
            </w:r>
          </w:p>
        </w:tc>
        <w:tc>
          <w:tcPr>
            <w:tcW w:w="240" w:type="dxa"/>
            <w:vAlign w:val="bottom"/>
            <w:tcBorders>
              <w:bottom w:val="single" w:sz="8" w:color="auto"/>
              <w:right w:val="single" w:sz="8" w:color="auto"/>
            </w:tcBorders>
          </w:tcPr>
          <w:p>
            <w:pPr>
              <w:spacing w:after="0"/>
              <w:rPr>
                <w:sz w:val="22"/>
                <w:szCs w:val="22"/>
                <w:color w:val="auto"/>
              </w:rPr>
            </w:pPr>
          </w:p>
        </w:tc>
        <w:tc>
          <w:tcPr>
            <w:tcW w:w="1960" w:type="dxa"/>
            <w:vAlign w:val="bottom"/>
            <w:tcBorders>
              <w:bottom w:val="single" w:sz="8" w:color="auto"/>
              <w:right w:val="single" w:sz="8" w:color="auto"/>
            </w:tcBorders>
          </w:tcPr>
          <w:p>
            <w:pPr>
              <w:ind w:left="1740"/>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7,947</w:t>
            </w:r>
          </w:p>
        </w:tc>
      </w:tr>
      <w:tr>
        <w:trPr>
          <w:trHeight w:val="264"/>
        </w:trPr>
        <w:tc>
          <w:tcPr>
            <w:tcW w:w="2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Jackson P. Tai</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42,141</w:t>
            </w:r>
          </w:p>
        </w:tc>
        <w:tc>
          <w:tcPr>
            <w:tcW w:w="240" w:type="dxa"/>
            <w:vAlign w:val="bottom"/>
            <w:tcBorders>
              <w:bottom w:val="single" w:sz="8" w:color="auto"/>
              <w:right w:val="single" w:sz="8" w:color="auto"/>
            </w:tcBorders>
          </w:tcPr>
          <w:p>
            <w:pPr>
              <w:spacing w:after="0"/>
              <w:rPr>
                <w:sz w:val="22"/>
                <w:szCs w:val="22"/>
                <w:color w:val="auto"/>
              </w:rPr>
            </w:pPr>
          </w:p>
        </w:tc>
        <w:tc>
          <w:tcPr>
            <w:tcW w:w="1960" w:type="dxa"/>
            <w:vAlign w:val="bottom"/>
            <w:tcBorders>
              <w:bottom w:val="single" w:sz="8" w:color="auto"/>
              <w:right w:val="single" w:sz="8" w:color="auto"/>
            </w:tcBorders>
          </w:tcPr>
          <w:p>
            <w:pPr>
              <w:ind w:left="1740"/>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8,799</w:t>
            </w:r>
          </w:p>
        </w:tc>
      </w:tr>
      <w:tr>
        <w:trPr>
          <w:trHeight w:val="193"/>
        </w:trPr>
        <w:tc>
          <w:tcPr>
            <w:tcW w:w="2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All directors and executive officers as a</w:t>
            </w:r>
          </w:p>
        </w:tc>
        <w:tc>
          <w:tcPr>
            <w:tcW w:w="176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196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tcPr>
          <w:p>
            <w:pPr>
              <w:spacing w:after="0"/>
              <w:rPr>
                <w:sz w:val="16"/>
                <w:szCs w:val="16"/>
                <w:color w:val="auto"/>
              </w:rPr>
            </w:pPr>
          </w:p>
        </w:tc>
      </w:tr>
      <w:tr>
        <w:trPr>
          <w:trHeight w:val="178"/>
        </w:trPr>
        <w:tc>
          <w:tcPr>
            <w:tcW w:w="2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group (28 people):</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1,179,936</w:t>
            </w:r>
          </w:p>
        </w:tc>
        <w:tc>
          <w:tcPr>
            <w:tcW w:w="240" w:type="dxa"/>
            <w:vAlign w:val="bottom"/>
            <w:tcBorders>
              <w:bottom w:val="single" w:sz="8" w:color="auto"/>
              <w:right w:val="single" w:sz="8" w:color="auto"/>
            </w:tcBorders>
          </w:tcPr>
          <w:p>
            <w:pPr>
              <w:spacing w:after="0"/>
              <w:rPr>
                <w:sz w:val="15"/>
                <w:szCs w:val="15"/>
                <w:color w:val="auto"/>
              </w:rPr>
            </w:pPr>
          </w:p>
        </w:tc>
        <w:tc>
          <w:tcPr>
            <w:tcW w:w="1960" w:type="dxa"/>
            <w:vAlign w:val="bottom"/>
            <w:tcBorders>
              <w:bottom w:val="single" w:sz="8" w:color="auto"/>
              <w:right w:val="single" w:sz="8" w:color="auto"/>
            </w:tcBorders>
          </w:tcPr>
          <w:p>
            <w:pPr>
              <w:ind w:left="1740"/>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586,114</w:t>
            </w:r>
          </w:p>
        </w:tc>
      </w:tr>
    </w:tbl>
    <w:p>
      <w:pPr>
        <w:spacing w:after="0" w:line="215" w:lineRule="exact"/>
        <w:rPr>
          <w:sz w:val="20"/>
          <w:szCs w:val="20"/>
          <w:color w:val="auto"/>
        </w:rPr>
      </w:pPr>
    </w:p>
    <w:p>
      <w:pPr>
        <w:ind w:left="120" w:right="80" w:hanging="112"/>
        <w:spacing w:after="0" w:line="250" w:lineRule="auto"/>
        <w:tabs>
          <w:tab w:leader="none" w:pos="120" w:val="left"/>
        </w:tabs>
        <w:numPr>
          <w:ilvl w:val="0"/>
          <w:numId w:val="51"/>
        </w:numPr>
        <w:rPr>
          <w:rFonts w:ascii="Arial" w:cs="Arial" w:eastAsia="Arial" w:hAnsi="Arial"/>
          <w:sz w:val="21"/>
          <w:szCs w:val="21"/>
          <w:color w:val="auto"/>
          <w:vertAlign w:val="superscript"/>
        </w:rPr>
      </w:pPr>
      <w:r>
        <w:rPr>
          <w:rFonts w:ascii="Arial" w:cs="Arial" w:eastAsia="Arial" w:hAnsi="Arial"/>
          <w:sz w:val="17"/>
          <w:szCs w:val="17"/>
          <w:color w:val="auto"/>
        </w:rPr>
        <w:t>The sum of the "Shares Owned" and "Stock Units Distributable Within 60 Days" columns represents the shares considered "beneficially owned" for purposes of disclosure in the proxy statement. Unless otherwise indicated in a footnote, each person listed in the table possesses sole voting and sole investment power with respect to their shares. No person listed in the table owns more than 0.02 percent of the outstanding common stock of the company. All directors and executive officers as a group own approximately 0.11 percent of the outstanding</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common stock of the company.</w:t>
      </w:r>
    </w:p>
    <w:p>
      <w:pPr>
        <w:spacing w:after="0" w:line="9" w:lineRule="exact"/>
        <w:rPr>
          <w:sz w:val="20"/>
          <w:szCs w:val="20"/>
          <w:color w:val="auto"/>
        </w:rPr>
      </w:pPr>
    </w:p>
    <w:p>
      <w:pPr>
        <w:ind w:left="120" w:right="3160" w:hanging="112"/>
        <w:spacing w:after="0" w:line="224" w:lineRule="auto"/>
        <w:tabs>
          <w:tab w:leader="none" w:pos="102" w:val="left"/>
        </w:tabs>
        <w:numPr>
          <w:ilvl w:val="0"/>
          <w:numId w:val="52"/>
        </w:numPr>
        <w:rPr>
          <w:rFonts w:ascii="Arial" w:cs="Arial" w:eastAsia="Arial" w:hAnsi="Arial"/>
          <w:sz w:val="22"/>
          <w:szCs w:val="22"/>
          <w:color w:val="auto"/>
          <w:vertAlign w:val="superscript"/>
        </w:rPr>
      </w:pPr>
      <w:r>
        <w:rPr>
          <w:rFonts w:ascii="Arial" w:cs="Arial" w:eastAsia="Arial" w:hAnsi="Arial"/>
          <w:sz w:val="18"/>
          <w:szCs w:val="18"/>
          <w:color w:val="auto"/>
        </w:rPr>
        <w:t>This column includes the number of shares of common stock held individually as well as the number of 401(k) Plan shares held by the beneficial owners indirectly through the 401(k) Plan.</w:t>
      </w:r>
    </w:p>
    <w:p>
      <w:pPr>
        <w:ind w:left="120" w:hanging="112"/>
        <w:spacing w:after="0" w:line="205" w:lineRule="auto"/>
        <w:tabs>
          <w:tab w:leader="none" w:pos="120" w:val="left"/>
        </w:tabs>
        <w:numPr>
          <w:ilvl w:val="0"/>
          <w:numId w:val="53"/>
        </w:numPr>
        <w:rPr>
          <w:rFonts w:ascii="Arial" w:cs="Arial" w:eastAsia="Arial" w:hAnsi="Arial"/>
          <w:sz w:val="22"/>
          <w:szCs w:val="22"/>
          <w:color w:val="auto"/>
          <w:vertAlign w:val="superscript"/>
        </w:rPr>
      </w:pPr>
      <w:r>
        <w:rPr>
          <w:rFonts w:ascii="Arial" w:cs="Arial" w:eastAsia="Arial" w:hAnsi="Arial"/>
          <w:sz w:val="18"/>
          <w:szCs w:val="18"/>
          <w:color w:val="auto"/>
        </w:rPr>
        <w:t>This column sets forth restricted stock units that vest within 60 days of February 16, 2018.</w:t>
      </w:r>
    </w:p>
    <w:p>
      <w:pPr>
        <w:spacing w:after="0" w:line="3" w:lineRule="exact"/>
        <w:rPr>
          <w:sz w:val="20"/>
          <w:szCs w:val="20"/>
          <w:color w:val="auto"/>
        </w:rPr>
      </w:pPr>
    </w:p>
    <w:p>
      <w:pPr>
        <w:ind w:left="120" w:hanging="112"/>
        <w:spacing w:after="0" w:line="224" w:lineRule="auto"/>
        <w:tabs>
          <w:tab w:leader="none" w:pos="122" w:val="left"/>
        </w:tabs>
        <w:numPr>
          <w:ilvl w:val="0"/>
          <w:numId w:val="54"/>
        </w:numPr>
        <w:rPr>
          <w:rFonts w:ascii="Arial" w:cs="Arial" w:eastAsia="Arial" w:hAnsi="Arial"/>
          <w:sz w:val="22"/>
          <w:szCs w:val="22"/>
          <w:color w:val="auto"/>
          <w:vertAlign w:val="superscript"/>
        </w:rPr>
      </w:pPr>
      <w:r>
        <w:rPr>
          <w:rFonts w:ascii="Arial" w:cs="Arial" w:eastAsia="Arial" w:hAnsi="Arial"/>
          <w:sz w:val="18"/>
          <w:szCs w:val="18"/>
          <w:color w:val="auto"/>
        </w:rPr>
        <w:t>For the executive officers, this column reflects restricted stock units that will not vest within 60 days of February 16, 2018. For the independent directors, this column includes the number of stock units credited to the directors' accounts in the Lilly Directors' Deferral Plan.</w:t>
      </w:r>
    </w:p>
    <w:p>
      <w:pPr>
        <w:spacing w:after="0" w:line="3" w:lineRule="exact"/>
        <w:rPr>
          <w:sz w:val="20"/>
          <w:szCs w:val="20"/>
          <w:color w:val="auto"/>
        </w:rPr>
      </w:pPr>
    </w:p>
    <w:p>
      <w:pPr>
        <w:ind w:left="120" w:right="180" w:hanging="112"/>
        <w:spacing w:after="0" w:line="225" w:lineRule="auto"/>
        <w:tabs>
          <w:tab w:leader="none" w:pos="102" w:val="left"/>
        </w:tabs>
        <w:numPr>
          <w:ilvl w:val="0"/>
          <w:numId w:val="55"/>
        </w:numPr>
        <w:rPr>
          <w:rFonts w:ascii="Arial" w:cs="Arial" w:eastAsia="Arial" w:hAnsi="Arial"/>
          <w:sz w:val="22"/>
          <w:szCs w:val="22"/>
          <w:color w:val="auto"/>
          <w:vertAlign w:val="superscript"/>
        </w:rPr>
      </w:pPr>
      <w:r>
        <w:rPr>
          <w:rFonts w:ascii="Arial" w:cs="Arial" w:eastAsia="Arial" w:hAnsi="Arial"/>
          <w:sz w:val="18"/>
          <w:szCs w:val="18"/>
          <w:color w:val="auto"/>
        </w:rPr>
        <w:t>The shares shown for Mr. Ricks include 11,389 shares that are owned by a family foundation for which he is a director. Mr. Ricks has shared voting power and shared investment power with respect to the shares held by the foundation.</w:t>
      </w:r>
    </w:p>
    <w:p>
      <w:pPr>
        <w:spacing w:after="0" w:line="200" w:lineRule="exact"/>
        <w:rPr>
          <w:sz w:val="20"/>
          <w:szCs w:val="20"/>
          <w:color w:val="auto"/>
        </w:rPr>
      </w:pPr>
    </w:p>
    <w:p>
      <w:pPr>
        <w:spacing w:after="0" w:line="26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P33</w:t>
      </w:r>
    </w:p>
    <w:p>
      <w:pPr>
        <w:sectPr>
          <w:pgSz w:w="11900" w:h="16838" w:orient="portrait"/>
          <w:cols w:equalWidth="0" w:num="1">
            <w:col w:w="11420"/>
          </w:cols>
          <w:pgMar w:left="240" w:top="829"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Principal Holders of Stock</w:t>
      </w:r>
    </w:p>
    <w:p>
      <w:pPr>
        <w:spacing w:after="0" w:line="31" w:lineRule="exact"/>
        <w:rPr>
          <w:sz w:val="20"/>
          <w:szCs w:val="20"/>
          <w:color w:val="auto"/>
        </w:rPr>
      </w:pPr>
    </w:p>
    <w:p>
      <w:pPr>
        <w:ind w:right="700"/>
        <w:spacing w:after="0" w:line="262" w:lineRule="auto"/>
        <w:rPr>
          <w:sz w:val="20"/>
          <w:szCs w:val="20"/>
          <w:color w:val="auto"/>
        </w:rPr>
      </w:pPr>
      <w:r>
        <w:rPr>
          <w:rFonts w:ascii="Arial" w:cs="Arial" w:eastAsia="Arial" w:hAnsi="Arial"/>
          <w:sz w:val="18"/>
          <w:szCs w:val="18"/>
          <w:color w:val="auto"/>
        </w:rPr>
        <w:t>To the best of the company’s knowledge, the only beneficial owners of more than 5 percent of the outstanding shares of the company’s common stock, as of December 31, 2017, are the shareholders listed below:</w:t>
      </w:r>
    </w:p>
    <w:p>
      <w:pPr>
        <w:spacing w:after="0" w:line="130" w:lineRule="exact"/>
        <w:rPr>
          <w:sz w:val="20"/>
          <w:szCs w:val="20"/>
          <w:color w:val="auto"/>
        </w:rPr>
      </w:pPr>
    </w:p>
    <w:tbl>
      <w:tblPr>
        <w:tblLayout w:type="fixed"/>
        <w:tblInd w:w="1370" w:type="dxa"/>
        <w:tblCellMar>
          <w:top w:w="0" w:type="dxa"/>
          <w:left w:w="0" w:type="dxa"/>
          <w:bottom w:w="0" w:type="dxa"/>
          <w:right w:w="0" w:type="dxa"/>
        </w:tblCellMar>
      </w:tblPr>
      <w:tr>
        <w:trPr>
          <w:trHeight w:val="162"/>
        </w:trPr>
        <w:tc>
          <w:tcPr>
            <w:tcW w:w="3100" w:type="dxa"/>
            <w:vAlign w:val="bottom"/>
          </w:tcPr>
          <w:p>
            <w:pPr>
              <w:spacing w:after="0"/>
              <w:rPr>
                <w:sz w:val="14"/>
                <w:szCs w:val="14"/>
                <w:color w:val="auto"/>
              </w:rPr>
            </w:pPr>
          </w:p>
        </w:tc>
        <w:tc>
          <w:tcPr>
            <w:tcW w:w="2580" w:type="dxa"/>
            <w:vAlign w:val="bottom"/>
          </w:tcPr>
          <w:p>
            <w:pPr>
              <w:ind w:left="600"/>
              <w:spacing w:after="0"/>
              <w:rPr>
                <w:sz w:val="20"/>
                <w:szCs w:val="20"/>
                <w:color w:val="auto"/>
              </w:rPr>
            </w:pPr>
            <w:r>
              <w:rPr>
                <w:rFonts w:ascii="Arial" w:cs="Arial" w:eastAsia="Arial" w:hAnsi="Arial"/>
                <w:sz w:val="14"/>
                <w:szCs w:val="14"/>
                <w:b w:val="1"/>
                <w:bCs w:val="1"/>
                <w:color w:val="auto"/>
              </w:rPr>
              <w:t>Number of Shares</w:t>
            </w:r>
          </w:p>
        </w:tc>
        <w:tc>
          <w:tcPr>
            <w:tcW w:w="3040" w:type="dxa"/>
            <w:vAlign w:val="bottom"/>
          </w:tcPr>
          <w:p>
            <w:pPr>
              <w:spacing w:after="0"/>
              <w:rPr>
                <w:sz w:val="14"/>
                <w:szCs w:val="14"/>
                <w:color w:val="auto"/>
              </w:rPr>
            </w:pPr>
          </w:p>
        </w:tc>
      </w:tr>
      <w:tr>
        <w:trPr>
          <w:trHeight w:val="196"/>
        </w:trPr>
        <w:tc>
          <w:tcPr>
            <w:tcW w:w="3100" w:type="dxa"/>
            <w:vAlign w:val="bottom"/>
            <w:tcBorders>
              <w:bottom w:val="single" w:sz="8" w:color="auto"/>
            </w:tcBorders>
          </w:tcPr>
          <w:p>
            <w:pPr>
              <w:ind w:left="1140"/>
              <w:spacing w:after="0"/>
              <w:rPr>
                <w:sz w:val="20"/>
                <w:szCs w:val="20"/>
                <w:color w:val="auto"/>
              </w:rPr>
            </w:pPr>
            <w:r>
              <w:rPr>
                <w:rFonts w:ascii="Arial" w:cs="Arial" w:eastAsia="Arial" w:hAnsi="Arial"/>
                <w:sz w:val="14"/>
                <w:szCs w:val="14"/>
                <w:b w:val="1"/>
                <w:bCs w:val="1"/>
                <w:color w:val="auto"/>
              </w:rPr>
              <w:t>Name and Address</w:t>
            </w:r>
          </w:p>
        </w:tc>
        <w:tc>
          <w:tcPr>
            <w:tcW w:w="258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Beneficially Owned</w:t>
            </w:r>
          </w:p>
        </w:tc>
        <w:tc>
          <w:tcPr>
            <w:tcW w:w="3040" w:type="dxa"/>
            <w:vAlign w:val="bottom"/>
            <w:tcBorders>
              <w:bottom w:val="single" w:sz="8" w:color="auto"/>
            </w:tcBorders>
          </w:tcPr>
          <w:p>
            <w:pPr>
              <w:ind w:left="660"/>
              <w:spacing w:after="0"/>
              <w:rPr>
                <w:sz w:val="20"/>
                <w:szCs w:val="20"/>
                <w:color w:val="auto"/>
              </w:rPr>
            </w:pPr>
            <w:r>
              <w:rPr>
                <w:rFonts w:ascii="Arial" w:cs="Arial" w:eastAsia="Arial" w:hAnsi="Arial"/>
                <w:sz w:val="14"/>
                <w:szCs w:val="14"/>
                <w:b w:val="1"/>
                <w:bCs w:val="1"/>
                <w:color w:val="auto"/>
              </w:rPr>
              <w:t>Percent of Class</w:t>
            </w:r>
          </w:p>
        </w:tc>
      </w:tr>
      <w:tr>
        <w:trPr>
          <w:trHeight w:val="193"/>
        </w:trPr>
        <w:tc>
          <w:tcPr>
            <w:tcW w:w="310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Lilly Endowment Inc. (the Endowment)</w:t>
            </w:r>
          </w:p>
        </w:tc>
        <w:tc>
          <w:tcPr>
            <w:tcW w:w="2580" w:type="dxa"/>
            <w:vAlign w:val="bottom"/>
          </w:tcPr>
          <w:p>
            <w:pPr>
              <w:jc w:val="center"/>
              <w:ind w:right="28"/>
              <w:spacing w:after="0"/>
              <w:rPr>
                <w:sz w:val="20"/>
                <w:szCs w:val="20"/>
                <w:color w:val="auto"/>
              </w:rPr>
            </w:pPr>
            <w:r>
              <w:rPr>
                <w:rFonts w:ascii="Arial" w:cs="Arial" w:eastAsia="Arial" w:hAnsi="Arial"/>
                <w:sz w:val="14"/>
                <w:szCs w:val="14"/>
                <w:color w:val="auto"/>
              </w:rPr>
              <w:t>123,075,804</w:t>
            </w:r>
          </w:p>
        </w:tc>
        <w:tc>
          <w:tcPr>
            <w:tcW w:w="3040" w:type="dxa"/>
            <w:vAlign w:val="bottom"/>
            <w:tcBorders>
              <w:right w:val="single" w:sz="8" w:color="auto"/>
            </w:tcBorders>
          </w:tcPr>
          <w:p>
            <w:pPr>
              <w:jc w:val="center"/>
              <w:ind w:right="528"/>
              <w:spacing w:after="0"/>
              <w:rPr>
                <w:sz w:val="20"/>
                <w:szCs w:val="20"/>
                <w:color w:val="auto"/>
              </w:rPr>
            </w:pPr>
            <w:r>
              <w:rPr>
                <w:rFonts w:ascii="Arial" w:cs="Arial" w:eastAsia="Arial" w:hAnsi="Arial"/>
                <w:sz w:val="14"/>
                <w:szCs w:val="14"/>
                <w:color w:val="auto"/>
              </w:rPr>
              <w:t>11.2%</w:t>
            </w:r>
          </w:p>
        </w:tc>
      </w:tr>
      <w:tr>
        <w:trPr>
          <w:trHeight w:val="162"/>
        </w:trPr>
        <w:tc>
          <w:tcPr>
            <w:tcW w:w="310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2801 North Meridian Street</w:t>
            </w:r>
          </w:p>
        </w:tc>
        <w:tc>
          <w:tcPr>
            <w:tcW w:w="2580" w:type="dxa"/>
            <w:vAlign w:val="bottom"/>
          </w:tcPr>
          <w:p>
            <w:pPr>
              <w:spacing w:after="0"/>
              <w:rPr>
                <w:sz w:val="14"/>
                <w:szCs w:val="14"/>
                <w:color w:val="auto"/>
              </w:rPr>
            </w:pPr>
          </w:p>
        </w:tc>
        <w:tc>
          <w:tcPr>
            <w:tcW w:w="3040" w:type="dxa"/>
            <w:vAlign w:val="bottom"/>
            <w:tcBorders>
              <w:right w:val="single" w:sz="8" w:color="auto"/>
            </w:tcBorders>
          </w:tcPr>
          <w:p>
            <w:pPr>
              <w:spacing w:after="0"/>
              <w:rPr>
                <w:sz w:val="14"/>
                <w:szCs w:val="14"/>
                <w:color w:val="auto"/>
              </w:rPr>
            </w:pPr>
          </w:p>
        </w:tc>
      </w:tr>
      <w:tr>
        <w:trPr>
          <w:trHeight w:val="178"/>
        </w:trPr>
        <w:tc>
          <w:tcPr>
            <w:tcW w:w="31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Indianapolis, IN 46208</w:t>
            </w:r>
          </w:p>
        </w:tc>
        <w:tc>
          <w:tcPr>
            <w:tcW w:w="2580" w:type="dxa"/>
            <w:vAlign w:val="bottom"/>
            <w:tcBorders>
              <w:bottom w:val="single" w:sz="8" w:color="auto"/>
            </w:tcBorders>
          </w:tcPr>
          <w:p>
            <w:pPr>
              <w:spacing w:after="0"/>
              <w:rPr>
                <w:sz w:val="15"/>
                <w:szCs w:val="15"/>
                <w:color w:val="auto"/>
              </w:rPr>
            </w:pPr>
          </w:p>
        </w:tc>
        <w:tc>
          <w:tcPr>
            <w:tcW w:w="3040" w:type="dxa"/>
            <w:vAlign w:val="bottom"/>
            <w:tcBorders>
              <w:bottom w:val="single" w:sz="8" w:color="auto"/>
              <w:right w:val="single" w:sz="8" w:color="auto"/>
            </w:tcBorders>
          </w:tcPr>
          <w:p>
            <w:pPr>
              <w:spacing w:after="0"/>
              <w:rPr>
                <w:sz w:val="15"/>
                <w:szCs w:val="15"/>
                <w:color w:val="auto"/>
              </w:rPr>
            </w:pPr>
          </w:p>
        </w:tc>
      </w:tr>
      <w:tr>
        <w:trPr>
          <w:trHeight w:val="193"/>
        </w:trPr>
        <w:tc>
          <w:tcPr>
            <w:tcW w:w="310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The Vanguard Group</w:t>
            </w:r>
          </w:p>
        </w:tc>
        <w:tc>
          <w:tcPr>
            <w:tcW w:w="2580" w:type="dxa"/>
            <w:vAlign w:val="bottom"/>
          </w:tcPr>
          <w:p>
            <w:pPr>
              <w:jc w:val="center"/>
              <w:ind w:right="28"/>
              <w:spacing w:after="0"/>
              <w:rPr>
                <w:sz w:val="20"/>
                <w:szCs w:val="20"/>
                <w:color w:val="auto"/>
              </w:rPr>
            </w:pPr>
            <w:r>
              <w:rPr>
                <w:rFonts w:ascii="Arial" w:cs="Arial" w:eastAsia="Arial" w:hAnsi="Arial"/>
                <w:sz w:val="14"/>
                <w:szCs w:val="14"/>
                <w:color w:val="auto"/>
              </w:rPr>
              <w:t>72,222,397</w:t>
            </w:r>
          </w:p>
        </w:tc>
        <w:tc>
          <w:tcPr>
            <w:tcW w:w="3040" w:type="dxa"/>
            <w:vAlign w:val="bottom"/>
            <w:tcBorders>
              <w:right w:val="single" w:sz="8" w:color="auto"/>
            </w:tcBorders>
          </w:tcPr>
          <w:p>
            <w:pPr>
              <w:jc w:val="center"/>
              <w:ind w:right="528"/>
              <w:spacing w:after="0"/>
              <w:rPr>
                <w:sz w:val="20"/>
                <w:szCs w:val="20"/>
                <w:color w:val="auto"/>
              </w:rPr>
            </w:pPr>
            <w:r>
              <w:rPr>
                <w:rFonts w:ascii="Arial" w:cs="Arial" w:eastAsia="Arial" w:hAnsi="Arial"/>
                <w:sz w:val="14"/>
                <w:szCs w:val="14"/>
                <w:color w:val="auto"/>
              </w:rPr>
              <w:t>6.5%</w:t>
            </w:r>
          </w:p>
        </w:tc>
      </w:tr>
      <w:tr>
        <w:trPr>
          <w:trHeight w:val="162"/>
        </w:trPr>
        <w:tc>
          <w:tcPr>
            <w:tcW w:w="310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100 Vanguard Blvd.</w:t>
            </w:r>
          </w:p>
        </w:tc>
        <w:tc>
          <w:tcPr>
            <w:tcW w:w="2580" w:type="dxa"/>
            <w:vAlign w:val="bottom"/>
          </w:tcPr>
          <w:p>
            <w:pPr>
              <w:spacing w:after="0"/>
              <w:rPr>
                <w:sz w:val="14"/>
                <w:szCs w:val="14"/>
                <w:color w:val="auto"/>
              </w:rPr>
            </w:pPr>
          </w:p>
        </w:tc>
        <w:tc>
          <w:tcPr>
            <w:tcW w:w="3040" w:type="dxa"/>
            <w:vAlign w:val="bottom"/>
            <w:tcBorders>
              <w:right w:val="single" w:sz="8" w:color="auto"/>
            </w:tcBorders>
          </w:tcPr>
          <w:p>
            <w:pPr>
              <w:spacing w:after="0"/>
              <w:rPr>
                <w:sz w:val="14"/>
                <w:szCs w:val="14"/>
                <w:color w:val="auto"/>
              </w:rPr>
            </w:pPr>
          </w:p>
        </w:tc>
      </w:tr>
      <w:tr>
        <w:trPr>
          <w:trHeight w:val="178"/>
        </w:trPr>
        <w:tc>
          <w:tcPr>
            <w:tcW w:w="31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Malvern, PA 19355</w:t>
            </w:r>
          </w:p>
        </w:tc>
        <w:tc>
          <w:tcPr>
            <w:tcW w:w="2580" w:type="dxa"/>
            <w:vAlign w:val="bottom"/>
            <w:tcBorders>
              <w:bottom w:val="single" w:sz="8" w:color="auto"/>
            </w:tcBorders>
          </w:tcPr>
          <w:p>
            <w:pPr>
              <w:spacing w:after="0"/>
              <w:rPr>
                <w:sz w:val="15"/>
                <w:szCs w:val="15"/>
                <w:color w:val="auto"/>
              </w:rPr>
            </w:pPr>
          </w:p>
        </w:tc>
        <w:tc>
          <w:tcPr>
            <w:tcW w:w="3040" w:type="dxa"/>
            <w:vAlign w:val="bottom"/>
            <w:tcBorders>
              <w:bottom w:val="single" w:sz="8" w:color="auto"/>
              <w:right w:val="single" w:sz="8" w:color="auto"/>
            </w:tcBorders>
          </w:tcPr>
          <w:p>
            <w:pPr>
              <w:spacing w:after="0"/>
              <w:rPr>
                <w:sz w:val="15"/>
                <w:szCs w:val="15"/>
                <w:color w:val="auto"/>
              </w:rPr>
            </w:pPr>
          </w:p>
        </w:tc>
      </w:tr>
      <w:tr>
        <w:trPr>
          <w:trHeight w:val="193"/>
        </w:trPr>
        <w:tc>
          <w:tcPr>
            <w:tcW w:w="310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BlackRock, Inc.</w:t>
            </w:r>
          </w:p>
        </w:tc>
        <w:tc>
          <w:tcPr>
            <w:tcW w:w="2580" w:type="dxa"/>
            <w:vAlign w:val="bottom"/>
          </w:tcPr>
          <w:p>
            <w:pPr>
              <w:jc w:val="center"/>
              <w:ind w:right="28"/>
              <w:spacing w:after="0"/>
              <w:rPr>
                <w:sz w:val="20"/>
                <w:szCs w:val="20"/>
                <w:color w:val="auto"/>
              </w:rPr>
            </w:pPr>
            <w:r>
              <w:rPr>
                <w:rFonts w:ascii="Arial" w:cs="Arial" w:eastAsia="Arial" w:hAnsi="Arial"/>
                <w:sz w:val="14"/>
                <w:szCs w:val="14"/>
                <w:color w:val="auto"/>
              </w:rPr>
              <w:t>63,854,112</w:t>
            </w:r>
          </w:p>
        </w:tc>
        <w:tc>
          <w:tcPr>
            <w:tcW w:w="3040" w:type="dxa"/>
            <w:vAlign w:val="bottom"/>
            <w:tcBorders>
              <w:right w:val="single" w:sz="8" w:color="auto"/>
            </w:tcBorders>
          </w:tcPr>
          <w:p>
            <w:pPr>
              <w:jc w:val="center"/>
              <w:ind w:right="528"/>
              <w:spacing w:after="0"/>
              <w:rPr>
                <w:sz w:val="20"/>
                <w:szCs w:val="20"/>
                <w:color w:val="auto"/>
              </w:rPr>
            </w:pPr>
            <w:r>
              <w:rPr>
                <w:rFonts w:ascii="Arial" w:cs="Arial" w:eastAsia="Arial" w:hAnsi="Arial"/>
                <w:sz w:val="14"/>
                <w:szCs w:val="14"/>
                <w:color w:val="auto"/>
              </w:rPr>
              <w:t>5.8%</w:t>
            </w:r>
          </w:p>
        </w:tc>
      </w:tr>
      <w:tr>
        <w:trPr>
          <w:trHeight w:val="162"/>
        </w:trPr>
        <w:tc>
          <w:tcPr>
            <w:tcW w:w="310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55 East 52nd Street</w:t>
            </w:r>
          </w:p>
        </w:tc>
        <w:tc>
          <w:tcPr>
            <w:tcW w:w="2580" w:type="dxa"/>
            <w:vAlign w:val="bottom"/>
          </w:tcPr>
          <w:p>
            <w:pPr>
              <w:spacing w:after="0"/>
              <w:rPr>
                <w:sz w:val="14"/>
                <w:szCs w:val="14"/>
                <w:color w:val="auto"/>
              </w:rPr>
            </w:pPr>
          </w:p>
        </w:tc>
        <w:tc>
          <w:tcPr>
            <w:tcW w:w="3040" w:type="dxa"/>
            <w:vAlign w:val="bottom"/>
            <w:tcBorders>
              <w:right w:val="single" w:sz="8" w:color="auto"/>
            </w:tcBorders>
          </w:tcPr>
          <w:p>
            <w:pPr>
              <w:spacing w:after="0"/>
              <w:rPr>
                <w:sz w:val="14"/>
                <w:szCs w:val="14"/>
                <w:color w:val="auto"/>
              </w:rPr>
            </w:pPr>
          </w:p>
        </w:tc>
      </w:tr>
      <w:tr>
        <w:trPr>
          <w:trHeight w:val="178"/>
        </w:trPr>
        <w:tc>
          <w:tcPr>
            <w:tcW w:w="31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New York, NY 10055</w:t>
            </w:r>
          </w:p>
        </w:tc>
        <w:tc>
          <w:tcPr>
            <w:tcW w:w="2580" w:type="dxa"/>
            <w:vAlign w:val="bottom"/>
            <w:tcBorders>
              <w:bottom w:val="single" w:sz="8" w:color="auto"/>
            </w:tcBorders>
          </w:tcPr>
          <w:p>
            <w:pPr>
              <w:spacing w:after="0"/>
              <w:rPr>
                <w:sz w:val="15"/>
                <w:szCs w:val="15"/>
                <w:color w:val="auto"/>
              </w:rPr>
            </w:pPr>
          </w:p>
        </w:tc>
        <w:tc>
          <w:tcPr>
            <w:tcW w:w="3040" w:type="dxa"/>
            <w:vAlign w:val="bottom"/>
            <w:tcBorders>
              <w:bottom w:val="single" w:sz="8" w:color="auto"/>
              <w:right w:val="single" w:sz="8" w:color="auto"/>
            </w:tcBorders>
          </w:tcPr>
          <w:p>
            <w:pPr>
              <w:spacing w:after="0"/>
              <w:rPr>
                <w:sz w:val="15"/>
                <w:szCs w:val="15"/>
                <w:color w:val="auto"/>
              </w:rPr>
            </w:pPr>
          </w:p>
        </w:tc>
      </w:tr>
      <w:tr>
        <w:trPr>
          <w:trHeight w:val="193"/>
        </w:trPr>
        <w:tc>
          <w:tcPr>
            <w:tcW w:w="310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Wellington Management Group LLP</w:t>
            </w:r>
          </w:p>
        </w:tc>
        <w:tc>
          <w:tcPr>
            <w:tcW w:w="2580" w:type="dxa"/>
            <w:vAlign w:val="bottom"/>
          </w:tcPr>
          <w:p>
            <w:pPr>
              <w:jc w:val="center"/>
              <w:ind w:right="28"/>
              <w:spacing w:after="0"/>
              <w:rPr>
                <w:sz w:val="20"/>
                <w:szCs w:val="20"/>
                <w:color w:val="auto"/>
              </w:rPr>
            </w:pPr>
            <w:r>
              <w:rPr>
                <w:rFonts w:ascii="Arial" w:cs="Arial" w:eastAsia="Arial" w:hAnsi="Arial"/>
                <w:sz w:val="14"/>
                <w:szCs w:val="14"/>
                <w:color w:val="auto"/>
              </w:rPr>
              <w:t>56,663,547</w:t>
            </w:r>
          </w:p>
        </w:tc>
        <w:tc>
          <w:tcPr>
            <w:tcW w:w="3040" w:type="dxa"/>
            <w:vAlign w:val="bottom"/>
            <w:tcBorders>
              <w:right w:val="single" w:sz="8" w:color="auto"/>
            </w:tcBorders>
          </w:tcPr>
          <w:p>
            <w:pPr>
              <w:jc w:val="center"/>
              <w:ind w:right="528"/>
              <w:spacing w:after="0"/>
              <w:rPr>
                <w:sz w:val="20"/>
                <w:szCs w:val="20"/>
                <w:color w:val="auto"/>
              </w:rPr>
            </w:pPr>
            <w:r>
              <w:rPr>
                <w:rFonts w:ascii="Arial" w:cs="Arial" w:eastAsia="Arial" w:hAnsi="Arial"/>
                <w:sz w:val="14"/>
                <w:szCs w:val="14"/>
                <w:color w:val="auto"/>
              </w:rPr>
              <w:t>5.1%</w:t>
            </w:r>
          </w:p>
        </w:tc>
      </w:tr>
      <w:tr>
        <w:trPr>
          <w:trHeight w:val="162"/>
        </w:trPr>
        <w:tc>
          <w:tcPr>
            <w:tcW w:w="310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280 Congress Street</w:t>
            </w:r>
          </w:p>
        </w:tc>
        <w:tc>
          <w:tcPr>
            <w:tcW w:w="2580" w:type="dxa"/>
            <w:vAlign w:val="bottom"/>
          </w:tcPr>
          <w:p>
            <w:pPr>
              <w:spacing w:after="0"/>
              <w:rPr>
                <w:sz w:val="14"/>
                <w:szCs w:val="14"/>
                <w:color w:val="auto"/>
              </w:rPr>
            </w:pPr>
          </w:p>
        </w:tc>
        <w:tc>
          <w:tcPr>
            <w:tcW w:w="3040" w:type="dxa"/>
            <w:vAlign w:val="bottom"/>
            <w:tcBorders>
              <w:right w:val="single" w:sz="8" w:color="auto"/>
            </w:tcBorders>
          </w:tcPr>
          <w:p>
            <w:pPr>
              <w:spacing w:after="0"/>
              <w:rPr>
                <w:sz w:val="14"/>
                <w:szCs w:val="14"/>
                <w:color w:val="auto"/>
              </w:rPr>
            </w:pPr>
          </w:p>
        </w:tc>
      </w:tr>
      <w:tr>
        <w:trPr>
          <w:trHeight w:val="178"/>
        </w:trPr>
        <w:tc>
          <w:tcPr>
            <w:tcW w:w="31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Boston, MA 02210</w:t>
            </w:r>
          </w:p>
        </w:tc>
        <w:tc>
          <w:tcPr>
            <w:tcW w:w="2580" w:type="dxa"/>
            <w:vAlign w:val="bottom"/>
            <w:tcBorders>
              <w:bottom w:val="single" w:sz="8" w:color="auto"/>
            </w:tcBorders>
          </w:tcPr>
          <w:p>
            <w:pPr>
              <w:spacing w:after="0"/>
              <w:rPr>
                <w:sz w:val="15"/>
                <w:szCs w:val="15"/>
                <w:color w:val="auto"/>
              </w:rPr>
            </w:pPr>
          </w:p>
        </w:tc>
        <w:tc>
          <w:tcPr>
            <w:tcW w:w="3040" w:type="dxa"/>
            <w:vAlign w:val="bottom"/>
            <w:tcBorders>
              <w:bottom w:val="single" w:sz="8" w:color="auto"/>
              <w:right w:val="single" w:sz="8" w:color="auto"/>
            </w:tcBorders>
          </w:tcPr>
          <w:p>
            <w:pPr>
              <w:spacing w:after="0"/>
              <w:rPr>
                <w:sz w:val="15"/>
                <w:szCs w:val="15"/>
                <w:color w:val="auto"/>
              </w:rPr>
            </w:pPr>
          </w:p>
        </w:tc>
      </w:tr>
    </w:tbl>
    <w:p>
      <w:pPr>
        <w:spacing w:after="0" w:line="161"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Endowment has sole voting and sole dispositive power with respect to all of its shares. The Board of Directors of the Endowment is composed of N. Clay Robbins, chairman, president &amp; chief executive officer; Mary K. Lisher; William G. Enright; Daniel P. Carmichael; Charles E. Golden; Eli Lilly II; David N. Shane; Craig Dykstra; and Jennett M. Hill.</w:t>
      </w:r>
    </w:p>
    <w:p>
      <w:pPr>
        <w:spacing w:after="0" w:line="202"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The Vanguard Group provides investment management services for various clients. It has sole voting power with respect to 1,396,140 of its shares and sole dispositive power with respect to 70,638,700 of its shares.</w:t>
      </w:r>
    </w:p>
    <w:p>
      <w:pPr>
        <w:spacing w:after="0" w:line="196"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BlackRock, Inc. provides investment management services for various clients. It has sole voting power with respect to 54,703,471 of its shares and sole dispositive power with respect to all of its shares.</w:t>
      </w:r>
    </w:p>
    <w:p>
      <w:pPr>
        <w:spacing w:after="0" w:line="196"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Wellington Management Group LLP provides investment management services for various clients. It has shared voting power with respect to 10,291,969 shares and shared dispositive power with respect to all of its shares.</w:t>
      </w:r>
    </w:p>
    <w:p>
      <w:pPr>
        <w:spacing w:after="0" w:line="275" w:lineRule="exact"/>
        <w:rPr>
          <w:sz w:val="20"/>
          <w:szCs w:val="20"/>
          <w:color w:val="auto"/>
        </w:rPr>
      </w:pPr>
    </w:p>
    <w:p>
      <w:pPr>
        <w:spacing w:after="0"/>
        <w:rPr>
          <w:sz w:val="20"/>
          <w:szCs w:val="20"/>
          <w:color w:val="auto"/>
        </w:rPr>
      </w:pPr>
      <w:r>
        <w:rPr>
          <w:rFonts w:ascii="Arial" w:cs="Arial" w:eastAsia="Arial" w:hAnsi="Arial"/>
          <w:sz w:val="40"/>
          <w:szCs w:val="40"/>
          <w:b w:val="1"/>
          <w:bCs w:val="1"/>
          <w:color w:val="EE2724"/>
        </w:rPr>
        <w:t>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2720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26" w:lineRule="exact"/>
        <w:rPr>
          <w:sz w:val="20"/>
          <w:szCs w:val="20"/>
          <w:color w:val="auto"/>
        </w:rPr>
      </w:pPr>
    </w:p>
    <w:p>
      <w:pPr>
        <w:spacing w:after="0"/>
        <w:rPr>
          <w:sz w:val="20"/>
          <w:szCs w:val="20"/>
          <w:color w:val="auto"/>
        </w:rPr>
      </w:pPr>
      <w:r>
        <w:rPr>
          <w:rFonts w:ascii="Arial" w:cs="Arial" w:eastAsia="Arial" w:hAnsi="Arial"/>
          <w:sz w:val="29"/>
          <w:szCs w:val="29"/>
          <w:b w:val="1"/>
          <w:bCs w:val="1"/>
          <w:color w:val="FF0000"/>
        </w:rPr>
        <w:t>Item 2. Advisory Vote on Compensation Paid to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720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66" w:lineRule="exact"/>
        <w:rPr>
          <w:sz w:val="20"/>
          <w:szCs w:val="20"/>
          <w:color w:val="auto"/>
        </w:rPr>
      </w:pPr>
    </w:p>
    <w:p>
      <w:pPr>
        <w:ind w:right="480"/>
        <w:spacing w:after="0" w:line="254" w:lineRule="auto"/>
        <w:rPr>
          <w:sz w:val="20"/>
          <w:szCs w:val="20"/>
          <w:color w:val="auto"/>
        </w:rPr>
      </w:pPr>
      <w:r>
        <w:rPr>
          <w:rFonts w:ascii="Arial" w:cs="Arial" w:eastAsia="Arial" w:hAnsi="Arial"/>
          <w:sz w:val="18"/>
          <w:szCs w:val="18"/>
          <w:color w:val="auto"/>
        </w:rPr>
        <w:t>Section 14A of the Securities Exchange Act of 1934 provides the company's shareholders with the opportunity to approve, on an advisory basis, the compensation of the company's named executive officers as disclosed in the proxy statement. Our compensation philosophy is designed to attract and retain highly talented individuals and motivate them to create long-term shareholder value by achieving top-tier corporate performance while embracing the company’s values of integrity, excellence, and respect for people.</w:t>
      </w:r>
    </w:p>
    <w:p>
      <w:pPr>
        <w:spacing w:after="0" w:line="20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Compensation Committee and the Board of Directors believe that our executive compensation aligns well with our philosophy and with corporate performance. Executive compensation is an important matter for our shareholders. We routinely review our compensation practices and engage in ongoing dialogue with our shareholders to ensure our practices are aligned with stakeholder interests and reflect best practices.</w:t>
      </w:r>
    </w:p>
    <w:p>
      <w:pPr>
        <w:spacing w:after="0" w:line="202"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color w:val="auto"/>
        </w:rPr>
        <w:t>We request shareholder approval, on an advisory basis, of the compensation of the company’s named executive officers as disclosed in this proxy statement. As an advisory vote, this proposal is not binding on the company. However, the Compensation Committee values input from shareholders and will consider the outcome of the vote when making future executive compensation decisions.</w:t>
      </w: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P34</w:t>
      </w:r>
    </w:p>
    <w:p>
      <w:pPr>
        <w:sectPr>
          <w:pgSz w:w="11900" w:h="16838" w:orient="portrait"/>
          <w:cols w:equalWidth="0" w:num="1">
            <w:col w:w="11420"/>
          </w:cols>
          <w:pgMar w:left="240" w:top="576" w:right="239" w:bottom="1440" w:gutter="0" w:footer="0" w:header="0"/>
        </w:sectPr>
      </w:pPr>
    </w:p>
    <w:bookmarkStart w:id="38" w:name="page39"/>
    <w:bookmarkEnd w:id="38"/>
    <w:p>
      <w:pPr>
        <w:spacing w:after="0"/>
        <w:rPr>
          <w:sz w:val="20"/>
          <w:szCs w:val="20"/>
          <w:color w:val="auto"/>
        </w:rPr>
      </w:pPr>
      <w:r>
        <w:rPr>
          <w:rFonts w:ascii="Arial" w:cs="Arial" w:eastAsia="Arial" w:hAnsi="Arial"/>
          <w:sz w:val="22"/>
          <w:szCs w:val="22"/>
          <w:b w:val="1"/>
          <w:bCs w:val="1"/>
          <w:color w:val="FF0000"/>
        </w:rPr>
        <w:t>Board Recommendation on Item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23" w:lineRule="exact"/>
        <w:rPr>
          <w:sz w:val="20"/>
          <w:szCs w:val="20"/>
          <w:color w:val="auto"/>
        </w:rPr>
      </w:pPr>
    </w:p>
    <w:p>
      <w:pPr>
        <w:ind w:right="240"/>
        <w:spacing w:after="0" w:line="269" w:lineRule="auto"/>
        <w:rPr>
          <w:sz w:val="20"/>
          <w:szCs w:val="20"/>
          <w:color w:val="auto"/>
        </w:rPr>
      </w:pPr>
      <w:r>
        <w:rPr>
          <w:rFonts w:ascii="Arial" w:cs="Arial" w:eastAsia="Arial" w:hAnsi="Arial"/>
          <w:sz w:val="18"/>
          <w:szCs w:val="18"/>
          <w:b w:val="1"/>
          <w:bCs w:val="1"/>
          <w:color w:val="auto"/>
        </w:rPr>
        <w:t>The Board of Directors recommends that you vote FOR the approval, on an advisory basis, of the compensation paid to the named executive officers, as disclosed pursuant to Item 402 of Regulation S-K, including the Compensation Discussion and Analysis (CD&amp;A), the compensation tables, and related narratives provided below in this proxy statement.</w:t>
      </w:r>
    </w:p>
    <w:p>
      <w:pPr>
        <w:spacing w:after="0" w:line="209" w:lineRule="exact"/>
        <w:rPr>
          <w:sz w:val="20"/>
          <w:szCs w:val="20"/>
          <w:color w:val="auto"/>
        </w:rPr>
      </w:pPr>
    </w:p>
    <w:p>
      <w:pPr>
        <w:spacing w:after="0"/>
        <w:rPr>
          <w:sz w:val="20"/>
          <w:szCs w:val="20"/>
          <w:color w:val="auto"/>
        </w:rPr>
      </w:pPr>
      <w:r>
        <w:rPr>
          <w:rFonts w:ascii="Arial" w:cs="Arial" w:eastAsia="Arial" w:hAnsi="Arial"/>
          <w:sz w:val="32"/>
          <w:szCs w:val="32"/>
          <w:b w:val="1"/>
          <w:bCs w:val="1"/>
          <w:color w:val="FF0000"/>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6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This CD&amp;A describes our executive compensation philosophy, the Compensation Committee's process for setting executive compensation, the elements of our compensation program, the factors the committee considered when setting executive compensation in 2017, and how the company's results affected incentive payouts for 2017 performance.</w:t>
      </w:r>
    </w:p>
    <w:p>
      <w:pPr>
        <w:spacing w:after="0" w:line="172" w:lineRule="exact"/>
        <w:rPr>
          <w:sz w:val="20"/>
          <w:szCs w:val="20"/>
          <w:color w:val="auto"/>
        </w:rPr>
      </w:pPr>
    </w:p>
    <w:p>
      <w:pPr>
        <w:spacing w:after="0"/>
        <w:rPr>
          <w:sz w:val="20"/>
          <w:szCs w:val="20"/>
          <w:color w:val="auto"/>
        </w:rPr>
      </w:pPr>
      <w:r>
        <w:rPr>
          <w:rFonts w:ascii="Arial" w:cs="Arial" w:eastAsia="Arial" w:hAnsi="Arial"/>
          <w:sz w:val="25"/>
          <w:szCs w:val="25"/>
          <w:b w:val="1"/>
          <w:bCs w:val="1"/>
          <w:color w:val="FF0000"/>
        </w:rPr>
        <w:t>Say-on-Pay Results for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81280</wp:posOffset>
            </wp:positionV>
            <wp:extent cx="72720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62" w:lineRule="exact"/>
        <w:rPr>
          <w:sz w:val="20"/>
          <w:szCs w:val="20"/>
          <w:color w:val="auto"/>
        </w:rPr>
      </w:pPr>
    </w:p>
    <w:p>
      <w:pPr>
        <w:ind w:right="500"/>
        <w:spacing w:after="0" w:line="256" w:lineRule="auto"/>
        <w:rPr>
          <w:sz w:val="20"/>
          <w:szCs w:val="20"/>
          <w:color w:val="auto"/>
        </w:rPr>
      </w:pPr>
      <w:r>
        <w:rPr>
          <w:rFonts w:ascii="Arial" w:cs="Arial" w:eastAsia="Arial" w:hAnsi="Arial"/>
          <w:sz w:val="18"/>
          <w:szCs w:val="18"/>
          <w:color w:val="auto"/>
        </w:rPr>
        <w:t>At last year's annual meeting, more than 97 percent of the shares cast voted in favor of the company's Say-on-Pay proposal on executive compensation. Management and the Compensation Committee view this vote as supportive of the company's overall approach toward executive compensation.</w:t>
      </w:r>
    </w:p>
    <w:p>
      <w:pPr>
        <w:spacing w:after="0" w:line="172" w:lineRule="exact"/>
        <w:rPr>
          <w:sz w:val="20"/>
          <w:szCs w:val="20"/>
          <w:color w:val="auto"/>
        </w:rPr>
      </w:pPr>
    </w:p>
    <w:p>
      <w:pPr>
        <w:spacing w:after="0"/>
        <w:rPr>
          <w:sz w:val="20"/>
          <w:szCs w:val="20"/>
          <w:color w:val="auto"/>
        </w:rPr>
      </w:pPr>
      <w:r>
        <w:rPr>
          <w:rFonts w:ascii="Arial" w:cs="Arial" w:eastAsia="Arial" w:hAnsi="Arial"/>
          <w:sz w:val="25"/>
          <w:szCs w:val="25"/>
          <w:b w:val="1"/>
          <w:bCs w:val="1"/>
          <w:color w:val="FF0000"/>
        </w:rPr>
        <w:t>Our Philosophy on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81280</wp:posOffset>
            </wp:positionV>
            <wp:extent cx="72720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62"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At Lilly, our mission is to make medicines that help people live longer, healthier, more active lives. To accomplish our mission, we must attract, engage, and retain highly talented individuals who are committed to the company's core values of integrity, excellence, and respect for people. Our compensation programs are designed to help us achieve these goals while balancing the long-term interests of our shareholders and customers.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Objectives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Our compensation and benefits programs are based on the following objectives:</w:t>
      </w:r>
    </w:p>
    <w:p>
      <w:pPr>
        <w:spacing w:after="0" w:line="203" w:lineRule="exact"/>
        <w:rPr>
          <w:sz w:val="20"/>
          <w:szCs w:val="20"/>
          <w:color w:val="auto"/>
        </w:rPr>
      </w:pPr>
    </w:p>
    <w:p>
      <w:pPr>
        <w:ind w:left="660" w:right="240" w:hanging="328"/>
        <w:spacing w:after="0" w:line="262"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Reflect individual and company performance. </w:t>
      </w:r>
      <w:r>
        <w:rPr>
          <w:rFonts w:ascii="Arial" w:cs="Arial" w:eastAsia="Arial" w:hAnsi="Arial"/>
          <w:sz w:val="18"/>
          <w:szCs w:val="18"/>
          <w:color w:val="auto"/>
        </w:rPr>
        <w:t>We reinforce a high-performance culture by linking pay with individual performance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company performance. As employees assume greater responsibilities, the proportion of total compensation based on company performance and shareholder returns increases. We perform an annual review to ensure the programs provide incentives to deliver long-term, sustainable business results while discouraging excessive risk-taking or other adverse behaviors.</w:t>
      </w:r>
    </w:p>
    <w:p>
      <w:pPr>
        <w:spacing w:after="0" w:line="176" w:lineRule="exact"/>
        <w:rPr>
          <w:rFonts w:ascii="Arial" w:cs="Arial" w:eastAsia="Arial" w:hAnsi="Arial"/>
          <w:sz w:val="18"/>
          <w:szCs w:val="18"/>
          <w:color w:val="auto"/>
        </w:rPr>
      </w:pPr>
    </w:p>
    <w:p>
      <w:pPr>
        <w:ind w:left="660" w:hanging="328"/>
        <w:spacing w:after="0" w:line="287" w:lineRule="auto"/>
        <w:tabs>
          <w:tab w:leader="none" w:pos="660" w:val="left"/>
        </w:tabs>
        <w:numPr>
          <w:ilvl w:val="0"/>
          <w:numId w:val="56"/>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 xml:space="preserve">Attract and retain talented employees. </w:t>
      </w:r>
      <w:r>
        <w:rPr>
          <w:rFonts w:ascii="Arial" w:cs="Arial" w:eastAsia="Arial" w:hAnsi="Arial"/>
          <w:sz w:val="18"/>
          <w:szCs w:val="18"/>
          <w:color w:val="auto"/>
        </w:rPr>
        <w:t>Compensation opportunities should be competitive with our peer group and reflect the level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job impact and responsibilities. Retention of talent is an important factor in the design of our compensation and benefit programs.</w:t>
      </w:r>
    </w:p>
    <w:p>
      <w:pPr>
        <w:spacing w:after="0" w:line="153" w:lineRule="exact"/>
        <w:rPr>
          <w:rFonts w:ascii="Arial" w:cs="Arial" w:eastAsia="Arial" w:hAnsi="Arial"/>
          <w:sz w:val="18"/>
          <w:szCs w:val="18"/>
          <w:i w:val="1"/>
          <w:iCs w:val="1"/>
          <w:color w:val="auto"/>
        </w:rPr>
      </w:pPr>
    </w:p>
    <w:p>
      <w:pPr>
        <w:ind w:left="660" w:right="160" w:hanging="328"/>
        <w:spacing w:after="0" w:line="269"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Implement broad-based programs. </w:t>
      </w:r>
      <w:r>
        <w:rPr>
          <w:rFonts w:ascii="Arial" w:cs="Arial" w:eastAsia="Arial" w:hAnsi="Arial"/>
          <w:sz w:val="18"/>
          <w:szCs w:val="18"/>
          <w:color w:val="auto"/>
        </w:rPr>
        <w:t>While the amount of compensation paid to employees varies, the overall structure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and benefit programs is broadly similar across the organization to encourage and reward all employees who contribute to our success.</w:t>
      </w:r>
    </w:p>
    <w:p>
      <w:pPr>
        <w:spacing w:after="0" w:line="168" w:lineRule="exact"/>
        <w:rPr>
          <w:rFonts w:ascii="Arial" w:cs="Arial" w:eastAsia="Arial" w:hAnsi="Arial"/>
          <w:sz w:val="18"/>
          <w:szCs w:val="18"/>
          <w:color w:val="auto"/>
        </w:rPr>
      </w:pPr>
    </w:p>
    <w:p>
      <w:pPr>
        <w:ind w:left="660" w:right="40" w:hanging="328"/>
        <w:spacing w:after="0" w:line="287"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Consider shareholder input. </w:t>
      </w:r>
      <w:r>
        <w:rPr>
          <w:rFonts w:ascii="Arial" w:cs="Arial" w:eastAsia="Arial" w:hAnsi="Arial"/>
          <w:sz w:val="18"/>
          <w:szCs w:val="18"/>
          <w:color w:val="auto"/>
        </w:rPr>
        <w:t>Management and the Compensation Committee consider the results of our annual Say-on-Pay vote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sources of shareholder feedback when designing compensation and benefit programs.</w:t>
      </w:r>
    </w:p>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P35</w:t>
      </w:r>
    </w:p>
    <w:p>
      <w:pPr>
        <w:sectPr>
          <w:pgSz w:w="11900" w:h="16838" w:orient="portrait"/>
          <w:cols w:equalWidth="0" w:num="1">
            <w:col w:w="11420"/>
          </w:cols>
          <w:pgMar w:left="240" w:top="580" w:right="239" w:bottom="1440" w:gutter="0" w:footer="0" w:header="0"/>
        </w:sectPr>
      </w:pPr>
    </w:p>
    <w:bookmarkStart w:id="39" w:name="page40"/>
    <w:bookmarkEnd w:id="39"/>
    <w:p>
      <w:pPr>
        <w:spacing w:after="0"/>
        <w:rPr>
          <w:sz w:val="20"/>
          <w:szCs w:val="20"/>
          <w:color w:val="auto"/>
        </w:rPr>
      </w:pPr>
      <w:r>
        <w:rPr>
          <w:rFonts w:ascii="Arial" w:cs="Arial" w:eastAsia="Arial" w:hAnsi="Arial"/>
          <w:sz w:val="25"/>
          <w:szCs w:val="25"/>
          <w:b w:val="1"/>
          <w:bCs w:val="1"/>
          <w:color w:val="FF0000"/>
        </w:rPr>
        <w:t>Compensation Committee's Processes and Analyses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81280</wp:posOffset>
            </wp:positionV>
            <wp:extent cx="72720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Process For Setting Compensation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Committee considers the following in determining executive compensation:</w:t>
      </w:r>
    </w:p>
    <w:p>
      <w:pPr>
        <w:spacing w:after="0" w:line="203" w:lineRule="exact"/>
        <w:rPr>
          <w:sz w:val="20"/>
          <w:szCs w:val="20"/>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b w:val="1"/>
          <w:bCs w:val="1"/>
          <w:i w:val="1"/>
          <w:iCs w:val="1"/>
          <w:color w:val="auto"/>
        </w:rPr>
        <w:t>Assessment of the executive's individual performance and contribution</w:t>
      </w:r>
      <w:r>
        <w:rPr>
          <w:rFonts w:ascii="Arial" w:cs="Arial" w:eastAsia="Arial" w:hAnsi="Arial"/>
          <w:sz w:val="18"/>
          <w:szCs w:val="18"/>
          <w:color w:val="auto"/>
        </w:rPr>
        <w:t>.</w:t>
      </w:r>
    </w:p>
    <w:p>
      <w:pPr>
        <w:spacing w:after="0" w:line="31" w:lineRule="exact"/>
        <w:rPr>
          <w:rFonts w:ascii="Arial" w:cs="Arial" w:eastAsia="Arial" w:hAnsi="Arial"/>
          <w:sz w:val="18"/>
          <w:szCs w:val="18"/>
          <w:color w:val="auto"/>
        </w:rPr>
      </w:pPr>
    </w:p>
    <w:p>
      <w:pPr>
        <w:ind w:left="980" w:right="140" w:hanging="324"/>
        <w:spacing w:after="0" w:line="252" w:lineRule="auto"/>
        <w:tabs>
          <w:tab w:leader="none" w:pos="980" w:val="left"/>
        </w:tabs>
        <w:numPr>
          <w:ilvl w:val="1"/>
          <w:numId w:val="57"/>
        </w:numPr>
        <w:rPr>
          <w:rFonts w:ascii="Arial" w:cs="Arial" w:eastAsia="Arial" w:hAnsi="Arial"/>
          <w:sz w:val="18"/>
          <w:szCs w:val="18"/>
          <w:color w:val="auto"/>
        </w:rPr>
      </w:pPr>
      <w:r>
        <w:rPr>
          <w:rFonts w:ascii="Arial" w:cs="Arial" w:eastAsia="Arial" w:hAnsi="Arial"/>
          <w:sz w:val="18"/>
          <w:szCs w:val="18"/>
          <w:i w:val="1"/>
          <w:iCs w:val="1"/>
          <w:color w:val="auto"/>
        </w:rPr>
        <w:t>CEO</w:t>
      </w:r>
      <w:r>
        <w:rPr>
          <w:rFonts w:ascii="Arial" w:cs="Arial" w:eastAsia="Arial" w:hAnsi="Arial"/>
          <w:sz w:val="18"/>
          <w:szCs w:val="18"/>
          <w:color w:val="auto"/>
        </w:rPr>
        <w:t>: Generally, the independent directors, under the direction of the lead independent director, meet with the CEO at the</w:t>
      </w:r>
      <w:r>
        <w:rPr>
          <w:rFonts w:ascii="Arial" w:cs="Arial" w:eastAsia="Arial" w:hAnsi="Arial"/>
          <w:sz w:val="18"/>
          <w:szCs w:val="18"/>
          <w:i w:val="1"/>
          <w:iCs w:val="1"/>
          <w:color w:val="auto"/>
        </w:rPr>
        <w:t xml:space="preserve"> </w:t>
      </w:r>
      <w:r>
        <w:rPr>
          <w:rFonts w:ascii="Arial" w:cs="Arial" w:eastAsia="Arial" w:hAnsi="Arial"/>
          <w:sz w:val="18"/>
          <w:szCs w:val="18"/>
          <w:color w:val="auto"/>
        </w:rPr>
        <w:t>beginning of each year to agree upon the CEO's performance objectives for the year. At the end of the year, the independent directors meet to assess the CEO's achievement of those objectives along with other factors, including contribution to the company's performance and ethics and integrity. The year-end evaluation is used in setting the CEO's compensation for the next year. In June 2016, David A. Ricks was appointed to serve as CEO, effective January 1, 2017, and his 2017 compensation for the role of Chairman, President, and CEO was set at that time.</w:t>
      </w:r>
    </w:p>
    <w:p>
      <w:pPr>
        <w:spacing w:after="0" w:line="28" w:lineRule="exact"/>
        <w:rPr>
          <w:rFonts w:ascii="Arial" w:cs="Arial" w:eastAsia="Arial" w:hAnsi="Arial"/>
          <w:sz w:val="18"/>
          <w:szCs w:val="18"/>
          <w:color w:val="auto"/>
        </w:rPr>
      </w:pPr>
    </w:p>
    <w:p>
      <w:pPr>
        <w:ind w:left="980" w:right="100" w:hanging="324"/>
        <w:spacing w:after="0" w:line="258" w:lineRule="auto"/>
        <w:tabs>
          <w:tab w:leader="none" w:pos="980" w:val="left"/>
        </w:tabs>
        <w:numPr>
          <w:ilvl w:val="1"/>
          <w:numId w:val="57"/>
        </w:numPr>
        <w:rPr>
          <w:rFonts w:ascii="Arial" w:cs="Arial" w:eastAsia="Arial" w:hAnsi="Arial"/>
          <w:sz w:val="18"/>
          <w:szCs w:val="18"/>
          <w:color w:val="auto"/>
        </w:rPr>
      </w:pPr>
      <w:r>
        <w:rPr>
          <w:rFonts w:ascii="Arial" w:cs="Arial" w:eastAsia="Arial" w:hAnsi="Arial"/>
          <w:sz w:val="18"/>
          <w:szCs w:val="18"/>
          <w:i w:val="1"/>
          <w:iCs w:val="1"/>
          <w:color w:val="auto"/>
        </w:rPr>
        <w:t>Other Executive Officers</w:t>
      </w:r>
      <w:r>
        <w:rPr>
          <w:rFonts w:ascii="Arial" w:cs="Arial" w:eastAsia="Arial" w:hAnsi="Arial"/>
          <w:sz w:val="18"/>
          <w:szCs w:val="18"/>
          <w:color w:val="auto"/>
        </w:rPr>
        <w:t>: The committee receives individual performance assessments and compensation recommendations from</w:t>
      </w:r>
      <w:r>
        <w:rPr>
          <w:rFonts w:ascii="Arial" w:cs="Arial" w:eastAsia="Arial" w:hAnsi="Arial"/>
          <w:sz w:val="18"/>
          <w:szCs w:val="18"/>
          <w:i w:val="1"/>
          <w:iCs w:val="1"/>
          <w:color w:val="auto"/>
        </w:rPr>
        <w:t xml:space="preserve"> </w:t>
      </w:r>
      <w:r>
        <w:rPr>
          <w:rFonts w:ascii="Arial" w:cs="Arial" w:eastAsia="Arial" w:hAnsi="Arial"/>
          <w:sz w:val="18"/>
          <w:szCs w:val="18"/>
          <w:color w:val="auto"/>
        </w:rPr>
        <w:t>the CEO and exercises its judgment based on the board's knowledge and interactions with the executive officers. Each executive officer's performance assessment is based on achievement of objectives established between such executive officer and the CEO at the start of the year, as well as other factors, including the demonstration of Lilly values and leadership behaviors. For new executive officers, compensation is set by the Compensation Committee at time of promotion or offer</w:t>
      </w:r>
      <w:r>
        <w:rPr>
          <w:rFonts w:ascii="Arial" w:cs="Arial" w:eastAsia="Arial" w:hAnsi="Arial"/>
          <w:sz w:val="18"/>
          <w:szCs w:val="18"/>
          <w:b w:val="1"/>
          <w:bCs w:val="1"/>
          <w:color w:val="auto"/>
        </w:rPr>
        <w:t>.</w:t>
      </w:r>
    </w:p>
    <w:p>
      <w:pPr>
        <w:spacing w:after="0" w:line="233"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b w:val="1"/>
          <w:bCs w:val="1"/>
          <w:i w:val="1"/>
          <w:iCs w:val="1"/>
          <w:color w:val="auto"/>
        </w:rPr>
        <w:t>Assessment of company performance</w:t>
      </w:r>
      <w:r>
        <w:rPr>
          <w:rFonts w:ascii="Arial" w:cs="Arial" w:eastAsia="Arial" w:hAnsi="Arial"/>
          <w:sz w:val="18"/>
          <w:szCs w:val="18"/>
          <w:color w:val="auto"/>
        </w:rPr>
        <w:t>. The Compensation Committee considers company performance in two ways:</w:t>
      </w:r>
    </w:p>
    <w:p>
      <w:pPr>
        <w:spacing w:after="0" w:line="85" w:lineRule="exact"/>
        <w:rPr>
          <w:rFonts w:ascii="Arial" w:cs="Arial" w:eastAsia="Arial" w:hAnsi="Arial"/>
          <w:sz w:val="18"/>
          <w:szCs w:val="18"/>
          <w:color w:val="auto"/>
        </w:rPr>
      </w:pPr>
    </w:p>
    <w:p>
      <w:pPr>
        <w:ind w:left="980" w:right="100" w:hanging="324"/>
        <w:spacing w:after="0" w:line="262" w:lineRule="auto"/>
        <w:tabs>
          <w:tab w:leader="none" w:pos="9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As a factor in establishing target compensation for the coming year, the committee considers overall company performance during the prior year across a variety of metrics.</w:t>
      </w:r>
    </w:p>
    <w:p>
      <w:pPr>
        <w:spacing w:after="0" w:line="34" w:lineRule="exact"/>
        <w:rPr>
          <w:rFonts w:ascii="Arial" w:cs="Arial" w:eastAsia="Arial" w:hAnsi="Arial"/>
          <w:sz w:val="18"/>
          <w:szCs w:val="18"/>
          <w:color w:val="auto"/>
        </w:rPr>
      </w:pPr>
    </w:p>
    <w:p>
      <w:pPr>
        <w:ind w:left="980" w:right="160" w:hanging="324"/>
        <w:spacing w:after="0" w:line="256" w:lineRule="auto"/>
        <w:tabs>
          <w:tab w:leader="none" w:pos="9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To determine payouts under the cash and equity incentive programs, the committee establishes specific company performance goals related to revenue, EPS, progress of our pipeline portfolio, stock price growth, and total shareholder return (TSR) relative to our peer companies.</w:t>
      </w:r>
    </w:p>
    <w:p>
      <w:pPr>
        <w:spacing w:after="0" w:line="179" w:lineRule="exact"/>
        <w:rPr>
          <w:rFonts w:ascii="Arial" w:cs="Arial" w:eastAsia="Arial" w:hAnsi="Arial"/>
          <w:sz w:val="18"/>
          <w:szCs w:val="18"/>
          <w:color w:val="auto"/>
        </w:rPr>
      </w:pPr>
    </w:p>
    <w:p>
      <w:pPr>
        <w:ind w:left="660" w:right="160" w:hanging="328"/>
        <w:spacing w:after="0" w:line="287"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b w:val="1"/>
          <w:bCs w:val="1"/>
          <w:i w:val="1"/>
          <w:iCs w:val="1"/>
          <w:color w:val="auto"/>
        </w:rPr>
        <w:t>Peer group analysis</w:t>
      </w:r>
      <w:r>
        <w:rPr>
          <w:rFonts w:ascii="Arial" w:cs="Arial" w:eastAsia="Arial" w:hAnsi="Arial"/>
          <w:sz w:val="18"/>
          <w:szCs w:val="18"/>
          <w:color w:val="auto"/>
        </w:rPr>
        <w:t>. The committee uses peer group data as a market check for compensation decisions but does not use this data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the sole basis for its compensation targets. The company does not target a specific position within that range of market data.</w:t>
      </w:r>
    </w:p>
    <w:p>
      <w:pPr>
        <w:spacing w:after="0" w:line="153" w:lineRule="exact"/>
        <w:rPr>
          <w:rFonts w:ascii="Arial" w:cs="Arial" w:eastAsia="Arial" w:hAnsi="Arial"/>
          <w:sz w:val="18"/>
          <w:szCs w:val="18"/>
          <w:color w:val="auto"/>
        </w:rPr>
      </w:pPr>
    </w:p>
    <w:p>
      <w:pPr>
        <w:ind w:left="660" w:right="540" w:hanging="328"/>
        <w:spacing w:after="0" w:line="287"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b w:val="1"/>
          <w:bCs w:val="1"/>
          <w:i w:val="1"/>
          <w:iCs w:val="1"/>
          <w:color w:val="auto"/>
        </w:rPr>
        <w:t>Input from an independent compensation consultant concerning executive pay</w:t>
      </w:r>
      <w:r>
        <w:rPr>
          <w:rFonts w:ascii="Arial" w:cs="Arial" w:eastAsia="Arial" w:hAnsi="Arial"/>
          <w:sz w:val="18"/>
          <w:szCs w:val="18"/>
          <w:color w:val="auto"/>
        </w:rPr>
        <w:t>. The role of the independent compensation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consultant is described under the "Compensation Committee Matters" section that follows the CD&amp;A.</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Competitive Pay Assessment</w:t>
      </w:r>
    </w:p>
    <w:p>
      <w:pPr>
        <w:spacing w:after="0" w:line="85"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Our peer group comprises companies that directly compete with us, operate in a similar business model, and employ people with the unique skills required to operate an established biopharmaceutical company. The committee selects a peer group whose median market cap and revenues are broadly similar to Lilly. The committee reviews the peer group at least every three years. The committee reviewed the peer group for purposes of assessing competitive pay in June 2015 and decided to include Abbvie, Amgen, AstraZeneca, Baxter, Biogen, Bristol-Myers Squibb, Celgene, Gilead, GlaxoSmithKline, Hoffman-La Roche, Johnson &amp; Johnson, Medtronic, Merck, Novartis, Pfizer, Sanofi-Aventis, and Shire Plc. With the exception of Johnson &amp; Johnson, Novartis, and Pfizer, peer companies were no greater than three times our size with regard to both measures. The committee included these three companies despite their size because they compete directly with Lilly, have similar business models, and seek to hire from the same pool of management and scientific talent.</w:t>
      </w:r>
    </w:p>
    <w:p>
      <w:pPr>
        <w:spacing w:after="0" w:line="206" w:lineRule="exact"/>
        <w:rPr>
          <w:sz w:val="20"/>
          <w:szCs w:val="20"/>
          <w:color w:val="auto"/>
        </w:rPr>
      </w:pPr>
    </w:p>
    <w:p>
      <w:pPr>
        <w:ind w:right="500"/>
        <w:spacing w:after="0" w:line="256" w:lineRule="auto"/>
        <w:rPr>
          <w:sz w:val="20"/>
          <w:szCs w:val="20"/>
          <w:color w:val="auto"/>
        </w:rPr>
      </w:pPr>
      <w:r>
        <w:rPr>
          <w:rFonts w:ascii="Arial" w:cs="Arial" w:eastAsia="Arial" w:hAnsi="Arial"/>
          <w:sz w:val="18"/>
          <w:szCs w:val="18"/>
          <w:color w:val="auto"/>
        </w:rPr>
        <w:t>When determining pay levels, the committee considers an analysis provided by management of peer group pay for each executive officer position (except CEO) along with internal factors such as the performance and experience of each executive officer. The independent compensation consultant for the committee provides a</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P36</w:t>
      </w:r>
    </w:p>
    <w:p>
      <w:pPr>
        <w:sectPr>
          <w:pgSz w:w="11900" w:h="16838" w:orient="portrait"/>
          <w:cols w:equalWidth="0" w:num="1">
            <w:col w:w="11420"/>
          </w:cols>
          <w:pgMar w:left="240" w:top="568" w:right="239" w:bottom="1440" w:gutter="0" w:footer="0" w:header="0"/>
        </w:sectPr>
      </w:pPr>
    </w:p>
    <w:bookmarkStart w:id="40" w:name="page41"/>
    <w:bookmarkEnd w:id="40"/>
    <w:p>
      <w:pPr>
        <w:ind w:right="120"/>
        <w:spacing w:after="0" w:line="254" w:lineRule="auto"/>
        <w:rPr>
          <w:sz w:val="20"/>
          <w:szCs w:val="20"/>
          <w:color w:val="auto"/>
        </w:rPr>
      </w:pPr>
      <w:r>
        <w:rPr>
          <w:rFonts w:ascii="Arial" w:cs="Arial" w:eastAsia="Arial" w:hAnsi="Arial"/>
          <w:sz w:val="18"/>
          <w:szCs w:val="18"/>
          <w:color w:val="auto"/>
        </w:rPr>
        <w:t>similar analysis when recommending pay levels for the CEO. This analysis includes a comparison of actual total direct compensation for Lilly’s CEO in the prior year to the peer group, as well as a comparison of current target total direct compensation for Lilly’s CEO to the most recent available data for the peer group. In the aggregate, the company’s target total compensation to named executive officers was in the middle range of the peer group at the end of 2017.</w:t>
      </w:r>
    </w:p>
    <w:p>
      <w:pPr>
        <w:spacing w:after="0" w:line="256" w:lineRule="exact"/>
        <w:rPr>
          <w:sz w:val="20"/>
          <w:szCs w:val="20"/>
          <w:color w:val="auto"/>
        </w:rPr>
      </w:pPr>
    </w:p>
    <w:p>
      <w:pPr>
        <w:spacing w:after="0"/>
        <w:rPr>
          <w:sz w:val="20"/>
          <w:szCs w:val="20"/>
          <w:color w:val="auto"/>
        </w:rPr>
      </w:pPr>
      <w:r>
        <w:rPr>
          <w:rFonts w:ascii="Arial" w:cs="Arial" w:eastAsia="Arial" w:hAnsi="Arial"/>
          <w:sz w:val="25"/>
          <w:szCs w:val="25"/>
          <w:b w:val="1"/>
          <w:bCs w:val="1"/>
          <w:color w:val="FF0000"/>
        </w:rPr>
        <w:t>Components of Our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81280</wp:posOffset>
            </wp:positionV>
            <wp:extent cx="72720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Our executive compensation has three components:</w:t>
      </w:r>
    </w:p>
    <w:p>
      <w:pPr>
        <w:spacing w:after="0" w:line="9" w:lineRule="exact"/>
        <w:rPr>
          <w:sz w:val="20"/>
          <w:szCs w:val="20"/>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9" w:lineRule="exact"/>
        <w:rPr>
          <w:rFonts w:ascii="Arial" w:cs="Arial" w:eastAsia="Arial" w:hAnsi="Arial"/>
          <w:sz w:val="18"/>
          <w:szCs w:val="18"/>
          <w:color w:val="auto"/>
        </w:rPr>
      </w:pPr>
    </w:p>
    <w:p>
      <w:pPr>
        <w:ind w:left="660" w:right="80" w:hanging="328"/>
        <w:spacing w:after="0" w:line="250"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annual cash bonus, which is calculated based on company performance relative to internal targets for revenue, EPS, and the progress of the pipeline; and</w:t>
      </w: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two different forms of equity incentives:</w:t>
      </w:r>
    </w:p>
    <w:p>
      <w:pPr>
        <w:spacing w:after="0" w:line="9" w:lineRule="exact"/>
        <w:rPr>
          <w:rFonts w:ascii="Arial" w:cs="Arial" w:eastAsia="Arial" w:hAnsi="Arial"/>
          <w:sz w:val="18"/>
          <w:szCs w:val="18"/>
          <w:color w:val="auto"/>
        </w:rPr>
      </w:pPr>
    </w:p>
    <w:p>
      <w:pPr>
        <w:ind w:left="980" w:right="200" w:hanging="324"/>
        <w:spacing w:after="0" w:line="250" w:lineRule="auto"/>
        <w:tabs>
          <w:tab w:leader="none" w:pos="980" w:val="left"/>
        </w:tabs>
        <w:numPr>
          <w:ilvl w:val="1"/>
          <w:numId w:val="58"/>
        </w:numPr>
        <w:rPr>
          <w:rFonts w:ascii="Arial" w:cs="Arial" w:eastAsia="Arial" w:hAnsi="Arial"/>
          <w:sz w:val="18"/>
          <w:szCs w:val="18"/>
          <w:color w:val="auto"/>
        </w:rPr>
      </w:pPr>
      <w:r>
        <w:rPr>
          <w:rFonts w:ascii="Arial" w:cs="Arial" w:eastAsia="Arial" w:hAnsi="Arial"/>
          <w:sz w:val="18"/>
          <w:szCs w:val="18"/>
          <w:color w:val="auto"/>
        </w:rPr>
        <w:t>performance awards-equity awards that vest over three years with a performance component measuring the company's two-year growth in EPS relative to the expected peer group growth followed by a 13-month service-vesting period; and</w:t>
      </w:r>
    </w:p>
    <w:p>
      <w:pPr>
        <w:ind w:left="980" w:right="540" w:hanging="324"/>
        <w:spacing w:after="0" w:line="262" w:lineRule="auto"/>
        <w:tabs>
          <w:tab w:leader="none" w:pos="980" w:val="left"/>
        </w:tabs>
        <w:numPr>
          <w:ilvl w:val="1"/>
          <w:numId w:val="58"/>
        </w:numPr>
        <w:rPr>
          <w:rFonts w:ascii="Arial" w:cs="Arial" w:eastAsia="Arial" w:hAnsi="Arial"/>
          <w:sz w:val="18"/>
          <w:szCs w:val="18"/>
          <w:color w:val="auto"/>
        </w:rPr>
      </w:pPr>
      <w:r>
        <w:rPr>
          <w:rFonts w:ascii="Arial" w:cs="Arial" w:eastAsia="Arial" w:hAnsi="Arial"/>
          <w:sz w:val="18"/>
          <w:szCs w:val="18"/>
          <w:color w:val="auto"/>
        </w:rPr>
        <w:t>shareholder value awards, which are performance-based equity awards that pay out based on absolute company stock price growth and TSR relative to peers, both measured over a three-year period, followed by a one-year holding period.</w:t>
      </w:r>
    </w:p>
    <w:p>
      <w:pPr>
        <w:spacing w:after="0" w:line="196" w:lineRule="exact"/>
        <w:rPr>
          <w:sz w:val="20"/>
          <w:szCs w:val="20"/>
          <w:color w:val="auto"/>
        </w:rPr>
      </w:pPr>
    </w:p>
    <w:p>
      <w:pPr>
        <w:ind w:right="460"/>
        <w:spacing w:after="0" w:line="262" w:lineRule="auto"/>
        <w:rPr>
          <w:sz w:val="20"/>
          <w:szCs w:val="20"/>
          <w:color w:val="auto"/>
        </w:rPr>
      </w:pPr>
      <w:r>
        <w:rPr>
          <w:rFonts w:ascii="Arial" w:cs="Arial" w:eastAsia="Arial" w:hAnsi="Arial"/>
          <w:sz w:val="18"/>
          <w:szCs w:val="18"/>
          <w:color w:val="auto"/>
        </w:rPr>
        <w:t>Executives also receive a company benefits package, described below under "Other Compensation Practices and Information - Employee Benefits."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Adjustments to Reported Financial Results</w:t>
      </w:r>
    </w:p>
    <w:p>
      <w:pPr>
        <w:spacing w:after="0" w:line="8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Compensation Committee has authority to adjust the reported revenue and EPS upon which incentive compensation payouts are determined to eliminate the distorting effect of unusual income or expense items. These items may affect year-over-year growth percentages or comparability with peer companies. The committee considers the adjustments approved by the Audit Committee for reporting non-GAAP EPS and other adjustments, based on guidelines approved by the committee prior to the performance period. Further details on the adjustments for 2017 and the rationale for making these adjustments are set forth in Appendix A, "Summary of Adjustments Related to the Annual Cash Bonus and Performance Award." For ease of reference, throughout the CD&amp;A and the other compensation disclosures, we refer simply to "revenue" and "EPS" but we encourage you to review the information in Appendix A to understand the adjustments from GAAP revenue and EPS that were approved.</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FF0000"/>
        </w:rPr>
        <w:t>1. 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2720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4"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Base salaries are reviewed and established annually and may be adjusted upon promotion, following a change in job responsibilities, or to maintain market competitiveness. Salaries are based on each person's level of contribution, responsibility, expertise, and competitiveness with peer group data.</w:t>
      </w:r>
    </w:p>
    <w:p>
      <w:pPr>
        <w:spacing w:after="0" w:line="202" w:lineRule="exact"/>
        <w:rPr>
          <w:sz w:val="20"/>
          <w:szCs w:val="20"/>
          <w:color w:val="auto"/>
        </w:rPr>
      </w:pPr>
    </w:p>
    <w:p>
      <w:pPr>
        <w:ind w:right="240"/>
        <w:spacing w:after="0" w:line="278" w:lineRule="auto"/>
        <w:rPr>
          <w:sz w:val="20"/>
          <w:szCs w:val="20"/>
          <w:color w:val="auto"/>
        </w:rPr>
      </w:pPr>
      <w:r>
        <w:rPr>
          <w:rFonts w:ascii="Arial" w:cs="Arial" w:eastAsia="Arial" w:hAnsi="Arial"/>
          <w:sz w:val="17"/>
          <w:szCs w:val="17"/>
          <w:color w:val="auto"/>
        </w:rPr>
        <w:t>Base salary increases are established based upon a corporate budget for salary increases, which is set considering company performance over the prior year, expected company performance for the following year, and general external trends. In setting salaries, the Compensation Committee seeks to retain, motivate, and reward successful performers while maintaining affordability within the company's business plan.</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FF0000"/>
        </w:rPr>
        <w:t>2. Annual Cash Bonus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45"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The Eli Lilly and Company Bonus Plan (Bonus Plan) is designed to reward the achievement of the company's financial plans and pipeline objectives for the year. The bonus is based on three areas of company performance relative to internal targets: revenue, EPS, and pipeline progress.</w:t>
      </w:r>
    </w:p>
    <w:p>
      <w:pPr>
        <w:spacing w:after="0" w:line="202"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Company performance goals and individual bonus targets are set at the beginning of each year. Actual payout can range from 0 to 200 percent of an individual's bonus target. The Compensation Committee references the</w:t>
      </w:r>
    </w:p>
    <w:p>
      <w:pPr>
        <w:spacing w:after="0" w:line="2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P37</w:t>
      </w:r>
    </w:p>
    <w:p>
      <w:pPr>
        <w:sectPr>
          <w:pgSz w:w="11900" w:h="16838" w:orient="portrait"/>
          <w:cols w:equalWidth="0" w:num="1">
            <w:col w:w="11420"/>
          </w:cols>
          <w:pgMar w:left="240" w:top="598" w:right="239" w:bottom="1440" w:gutter="0" w:footer="0" w:header="0"/>
        </w:sectPr>
      </w:pPr>
    </w:p>
    <w:bookmarkStart w:id="41" w:name="page42"/>
    <w:bookmarkEnd w:id="41"/>
    <w:p>
      <w:pPr>
        <w:ind w:right="140"/>
        <w:spacing w:after="0" w:line="262" w:lineRule="auto"/>
        <w:rPr>
          <w:sz w:val="20"/>
          <w:szCs w:val="20"/>
          <w:color w:val="auto"/>
        </w:rPr>
      </w:pPr>
      <w:r>
        <w:rPr>
          <w:rFonts w:ascii="Arial" w:cs="Arial" w:eastAsia="Arial" w:hAnsi="Arial"/>
          <w:sz w:val="18"/>
          <w:szCs w:val="18"/>
          <w:color w:val="auto"/>
        </w:rPr>
        <w:t>annual operating plan to establish performance targets and to assess the relative weighting for each objective. The 2017 weightings remained unchanged from the prior year:</w:t>
      </w:r>
    </w:p>
    <w:p>
      <w:pPr>
        <w:spacing w:after="0" w:line="312" w:lineRule="exact"/>
        <w:rPr>
          <w:sz w:val="20"/>
          <w:szCs w:val="20"/>
          <w:color w:val="auto"/>
        </w:rPr>
      </w:pPr>
    </w:p>
    <w:tbl>
      <w:tblPr>
        <w:tblLayout w:type="fixed"/>
        <w:tblInd w:w="3590" w:type="dxa"/>
        <w:tblCellMar>
          <w:top w:w="0" w:type="dxa"/>
          <w:left w:w="0" w:type="dxa"/>
          <w:bottom w:w="0" w:type="dxa"/>
          <w:right w:w="0" w:type="dxa"/>
        </w:tblCellMar>
      </w:tblPr>
      <w:tr>
        <w:trPr>
          <w:trHeight w:val="224"/>
        </w:trPr>
        <w:tc>
          <w:tcPr>
            <w:tcW w:w="2220" w:type="dxa"/>
            <w:vAlign w:val="bottom"/>
            <w:tcBorders>
              <w:top w:val="single" w:sz="8" w:color="auto"/>
              <w:left w:val="single" w:sz="8" w:color="auto"/>
              <w:bottom w:val="single" w:sz="8" w:color="auto"/>
              <w:right w:val="single" w:sz="8" w:color="auto"/>
            </w:tcBorders>
            <w:shd w:val="clear" w:color="auto" w:fill="E5E5E5"/>
          </w:tcPr>
          <w:p>
            <w:pPr>
              <w:ind w:left="940"/>
              <w:spacing w:after="0"/>
              <w:rPr>
                <w:sz w:val="20"/>
                <w:szCs w:val="20"/>
                <w:color w:val="auto"/>
              </w:rPr>
            </w:pPr>
            <w:r>
              <w:rPr>
                <w:rFonts w:ascii="Arial" w:cs="Arial" w:eastAsia="Arial" w:hAnsi="Arial"/>
                <w:sz w:val="14"/>
                <w:szCs w:val="14"/>
                <w:b w:val="1"/>
                <w:bCs w:val="1"/>
                <w:color w:val="auto"/>
              </w:rPr>
              <w:t>Goal</w:t>
            </w:r>
          </w:p>
        </w:tc>
        <w:tc>
          <w:tcPr>
            <w:tcW w:w="2080" w:type="dxa"/>
            <w:vAlign w:val="bottom"/>
            <w:tcBorders>
              <w:top w:val="single" w:sz="8" w:color="auto"/>
              <w:bottom w:val="single" w:sz="8" w:color="auto"/>
              <w:right w:val="single" w:sz="8" w:color="auto"/>
            </w:tcBorders>
            <w:shd w:val="clear" w:color="auto" w:fill="E5E5E5"/>
          </w:tcPr>
          <w:p>
            <w:pPr>
              <w:jc w:val="center"/>
              <w:spacing w:after="0"/>
              <w:rPr>
                <w:sz w:val="20"/>
                <w:szCs w:val="20"/>
                <w:color w:val="auto"/>
              </w:rPr>
            </w:pPr>
            <w:r>
              <w:rPr>
                <w:rFonts w:ascii="Arial" w:cs="Arial" w:eastAsia="Arial" w:hAnsi="Arial"/>
                <w:sz w:val="14"/>
                <w:szCs w:val="14"/>
                <w:b w:val="1"/>
                <w:bCs w:val="1"/>
                <w:color w:val="auto"/>
              </w:rPr>
              <w:t>Weighting</w:t>
            </w:r>
          </w:p>
        </w:tc>
      </w:tr>
      <w:tr>
        <w:trPr>
          <w:trHeight w:val="210"/>
        </w:trPr>
        <w:tc>
          <w:tcPr>
            <w:tcW w:w="22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Revenue performance</w:t>
            </w: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25%</w:t>
            </w:r>
          </w:p>
        </w:tc>
      </w:tr>
      <w:tr>
        <w:trPr>
          <w:trHeight w:val="210"/>
        </w:trPr>
        <w:tc>
          <w:tcPr>
            <w:tcW w:w="22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EPS performance</w:t>
            </w: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50%</w:t>
            </w:r>
          </w:p>
        </w:tc>
      </w:tr>
      <w:tr>
        <w:trPr>
          <w:trHeight w:val="210"/>
        </w:trPr>
        <w:tc>
          <w:tcPr>
            <w:tcW w:w="22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Pipeline progress</w:t>
            </w: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25%</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Based on this weighting, the company bonus multiple is calculated as follows: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(0.25 x revenue multiple) + (0.50 x EPS multiple) + (0.25 x pipeline multiple)</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company bonus multiple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The annual cash bonus payout is calculated as follows: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company bonus multiple x individual bonus target x base salary earnings = payout</w:t>
      </w:r>
    </w:p>
    <w:p>
      <w:pPr>
        <w:spacing w:after="0" w:line="247"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To preserve tax deductibility of bonus payouts in 2017, executive officers are subject to the Executive Officer Incentive Plan (EOIP). Under the EOIP, the maximum annual cash bonus allowable is calculated based on non-GAAP net income (generally described in "Adjustments to Reported Results" in Appendix A) for the year. For the CEO, the maximum bonus award is 0.3 percent of non-GAAP net income. For other executive officers, the maximum amount is 0.15 percent of non-GAAP net income. None of the executive officers will receive an annual cash bonus payment unless the company has positive non-GAAP net income for the year.</w:t>
      </w:r>
    </w:p>
    <w:p>
      <w:pPr>
        <w:spacing w:after="0" w:line="206"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Once the maximum payout for an executive officer is determined, the Compensation Committee has the discretion to reduce (but not increase) the amount to be paid. In exercising this discretion, the committee intends to award the lesser of (i) the bonus they would have received under the Bonus Plan or (ii) the EOIP maximum payout.</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FF0000"/>
        </w:rPr>
        <w:t>3. Equity Incentives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45"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The company grants two types of equity incentives to executive officers—performance awards and shareholder value awards. Performance awards are designed to focus company leaders on multi-year operational performance relative to peer companies. Shareholder value awards align earned compensation with long-term growth in shareholder value and relative TSR performance within our industry. The Compensation Committee has the discretion to adjust downward (but not upward) any executive officer's equity award payout from the amount yielded by the applicable formula.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Performance Awards</w:t>
      </w:r>
    </w:p>
    <w:p>
      <w:pPr>
        <w:spacing w:after="0" w:line="8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Performance awards vest over three years. Potential shares are based on achieving EPS growth targets over a two-year performance period, followed by an additional 13-month service-vesting period during which the award is held in the form of restricted stock units. The growth-rate targets are set relative to the median expected EPS growth for our peer group. These awards do not accumulate dividends during the two-year performance period, but they do accumulate dividend equivalent units during the service-vesting period.</w:t>
      </w:r>
    </w:p>
    <w:p>
      <w:pPr>
        <w:spacing w:after="0" w:line="20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Compensation Committee believes EPS growth is an effective measure of operational performance because it is closely linked to shareholder value, is broadly communicated to the public, is easily understood by employees, and allows for objective comparisons to peer group performance. Consistent with our compensation objectives, company performance exceeding the expected peer group median will result in above-target payouts, while company performance lagging the expected peer group median will result in below-target payouts. Possible payouts range from 0 to 150 percent of the target, depending on EPS growth over the performance period.</w:t>
      </w:r>
    </w:p>
    <w:p>
      <w:pPr>
        <w:spacing w:after="0" w:line="200" w:lineRule="exact"/>
        <w:rPr>
          <w:sz w:val="20"/>
          <w:szCs w:val="20"/>
          <w:color w:val="auto"/>
        </w:rPr>
      </w:pPr>
    </w:p>
    <w:p>
      <w:pPr>
        <w:spacing w:after="0" w:line="24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P38</w:t>
      </w:r>
    </w:p>
    <w:p>
      <w:pPr>
        <w:sectPr>
          <w:pgSz w:w="11900" w:h="16838" w:orient="portrait"/>
          <w:cols w:equalWidth="0" w:num="1">
            <w:col w:w="11420"/>
          </w:cols>
          <w:pgMar w:left="240" w:top="598" w:right="239" w:bottom="1440" w:gutter="0" w:footer="0" w:header="0"/>
        </w:sectPr>
      </w:pPr>
    </w:p>
    <w:bookmarkStart w:id="42" w:name="page43"/>
    <w:bookmarkEnd w:id="42"/>
    <w:p>
      <w:pPr>
        <w:ind w:right="240"/>
        <w:spacing w:after="0" w:line="253" w:lineRule="auto"/>
        <w:rPr>
          <w:sz w:val="20"/>
          <w:szCs w:val="20"/>
          <w:color w:val="auto"/>
        </w:rPr>
      </w:pPr>
      <w:r>
        <w:rPr>
          <w:rFonts w:ascii="Arial" w:cs="Arial" w:eastAsia="Arial" w:hAnsi="Arial"/>
          <w:sz w:val="18"/>
          <w:szCs w:val="18"/>
          <w:color w:val="auto"/>
        </w:rPr>
        <w:t>The measure of EPS used in the performance award program differs from the measure used in our annual cash bonus program in two ways. First, the EPS goal in the bonus program is set with reference to internal goals that align to our annual operating plan for the year, while the EPS goal in the performance award program is set based on the expected growth rates of our peer group. Second, the bonus program measures EPS over a one-year period, while the performance award program measures EPS over a two-year period. In a given year, the bonus program may pay out above target while the performance award pays out below target (or vice versa).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Shareholder Value Awards</w:t>
      </w:r>
    </w:p>
    <w:p>
      <w:pPr>
        <w:spacing w:after="0" w:line="85"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Shareholder value awards are earned based on Lilly's share price (and beginning with 2016 grants, relative TSR performance). Shareholder value awards have a three-year performance period, and any shares paid are subject to a one-year holding requirement. No dividends are accrued during the performance period. Shareholder value awards pay above target if Lilly's stock outperforms an expected rate of return and below target if Lilly's stock underperforms that expected rate of return. The expected rate of return is based on the three-year TSR that a reasonable investor would consider appropriate when investing in a basket of large-cap U.S. companies, as determined by the Compensation Committee. The minimum price to achieve target is calculated by multiplying the starting share price of Lilly's stock by the three-year compounded expected rate of return less Lilly's dividend yield. Executive officers receive no payout if Lilly's TSR for the three-year period is zero or negative. Possible payouts are based on share price growth and range from 0 to 150 percent of the target amount.</w:t>
      </w:r>
    </w:p>
    <w:p>
      <w:pPr>
        <w:spacing w:after="0" w:line="206"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Beginning with the 2016-2018 shareholder value awards, a modifier based on Lilly's three-year cumulative TSR relative to our peer companies' median TSR performance will be applied to executive officer payouts. If Lilly's TSR is above the median of our peers, the payout is increased by 1 percent for every percentage point that Lilly's TSR exceeds the median (up to a maximum of 20 percent). Likewise, if Lilly's TSR is below the median, the payout will be reduced by up to a maximum of 20 percent. The committee added the relative TSR modifier to the shareholder value award program because it ensures executive officers' rewards align with shareholder experience while also encouraging strong performance within the industry.</w:t>
      </w:r>
    </w:p>
    <w:p>
      <w:pPr>
        <w:spacing w:after="0" w:line="179" w:lineRule="exact"/>
        <w:rPr>
          <w:sz w:val="20"/>
          <w:szCs w:val="20"/>
          <w:color w:val="auto"/>
        </w:rPr>
      </w:pPr>
    </w:p>
    <w:p>
      <w:pPr>
        <w:spacing w:after="0"/>
        <w:rPr>
          <w:sz w:val="20"/>
          <w:szCs w:val="20"/>
          <w:color w:val="auto"/>
        </w:rPr>
      </w:pPr>
      <w:r>
        <w:rPr>
          <w:rFonts w:ascii="Arial" w:cs="Arial" w:eastAsia="Arial" w:hAnsi="Arial"/>
          <w:sz w:val="25"/>
          <w:szCs w:val="25"/>
          <w:b w:val="1"/>
          <w:bCs w:val="1"/>
          <w:color w:val="FF0000"/>
        </w:rPr>
        <w:t>Pay for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22"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mix of compensation for the CEO and other named executive officers reflects our desire to link executive compensation with company performance. As reflected in the charts below, a substantial portion of the target pay for all named executive officers is performance-based. Both the annual cash bonus and equity payouts are contingent upon company performance, with the bonus factoring in performance over a one-year period, and equity compensation factoring in performance over two- and three-year periods (as described above under "Components of Our Compensation—3. Equity Incentives").</w:t>
      </w: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P39</w:t>
      </w:r>
    </w:p>
    <w:p>
      <w:pPr>
        <w:sectPr>
          <w:pgSz w:w="11900" w:h="16838" w:orient="portrait"/>
          <w:cols w:equalWidth="0" w:num="1">
            <w:col w:w="11420"/>
          </w:cols>
          <w:pgMar w:left="240" w:top="598" w:right="239" w:bottom="1440" w:gutter="0" w:footer="0" w:header="0"/>
        </w:sectPr>
      </w:pPr>
    </w:p>
    <w:bookmarkStart w:id="43" w:name="page44"/>
    <w:bookmarkEnd w:id="4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5505450" cy="275272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505450" cy="2752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25"/>
          <w:szCs w:val="25"/>
          <w:b w:val="1"/>
          <w:bCs w:val="1"/>
          <w:color w:val="FF0000"/>
        </w:rPr>
        <w:t>2017 Target Total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81280</wp:posOffset>
            </wp:positionV>
            <wp:extent cx="72720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Performance Review Process</w:t>
      </w:r>
    </w:p>
    <w:p>
      <w:pPr>
        <w:spacing w:after="0" w:line="85" w:lineRule="exact"/>
        <w:rPr>
          <w:sz w:val="20"/>
          <w:szCs w:val="20"/>
          <w:color w:val="auto"/>
        </w:rPr>
      </w:pPr>
    </w:p>
    <w:p>
      <w:pPr>
        <w:ind w:right="980"/>
        <w:spacing w:after="0" w:line="262" w:lineRule="auto"/>
        <w:rPr>
          <w:sz w:val="20"/>
          <w:szCs w:val="20"/>
          <w:color w:val="auto"/>
        </w:rPr>
      </w:pPr>
      <w:r>
        <w:rPr>
          <w:rFonts w:ascii="Arial" w:cs="Arial" w:eastAsia="Arial" w:hAnsi="Arial"/>
          <w:sz w:val="18"/>
          <w:szCs w:val="18"/>
          <w:color w:val="auto"/>
        </w:rPr>
        <w:t>In setting potential executive officer compensation for 2017, the Compensation Committee considered both individual and company performance during 2016.</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2016 Individual Named Executive Officer Performance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committee's review of the individual named executive officers is provided below:</w:t>
      </w:r>
    </w:p>
    <w:p>
      <w:pPr>
        <w:spacing w:after="0" w:line="207"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David Ricks, Chairman, President and Chief Executive Officer: </w:t>
      </w:r>
      <w:r>
        <w:rPr>
          <w:rFonts w:ascii="Arial" w:cs="Arial" w:eastAsia="Arial" w:hAnsi="Arial"/>
          <w:sz w:val="18"/>
          <w:szCs w:val="18"/>
          <w:color w:val="auto"/>
        </w:rPr>
        <w:t>Mr. Ricks became CEO and President on January 1, 2017, and Chairman on</w:t>
      </w:r>
      <w:r>
        <w:rPr>
          <w:rFonts w:ascii="Arial" w:cs="Arial" w:eastAsia="Arial" w:hAnsi="Arial"/>
          <w:sz w:val="18"/>
          <w:szCs w:val="18"/>
          <w:i w:val="1"/>
          <w:iCs w:val="1"/>
          <w:color w:val="auto"/>
        </w:rPr>
        <w:t xml:space="preserve"> </w:t>
      </w:r>
      <w:r>
        <w:rPr>
          <w:rFonts w:ascii="Arial" w:cs="Arial" w:eastAsia="Arial" w:hAnsi="Arial"/>
          <w:sz w:val="18"/>
          <w:szCs w:val="18"/>
          <w:color w:val="auto"/>
        </w:rPr>
        <w:t>June 1, 2017. Mr. Ricks' 2017 compensation opportunity was determined by the committee with input from its independent consultant and using competitive market data as context. Mr. Ricks was promoted based in part on his experience and success in his prior roles. Prior to his appointment as President and CEO, Mr. Ricks was President, Lilly Bio-Medicines for nearly five years where he successfully guided Lilly Bio-Medicines through a period of profound change. As President, Lilly Bio-Medicines, Mr. Ricks had experience in the areas of product development, global sales and marketing as well as public policy. He is well respected inside and outside the company, consistently builds exceptional teams, and sets high standards of performance. Prior to being named President, Lilly Bio-Medicines, Mr. Ricks led Lilly's business operations in Canada, China, and the U.S.</w:t>
      </w:r>
    </w:p>
    <w:p>
      <w:pPr>
        <w:spacing w:after="0" w:line="185"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Enrique Conterno, Senior Vice President and President, Lilly Diabetes and President Lilly USA</w:t>
      </w:r>
      <w:r>
        <w:rPr>
          <w:rFonts w:ascii="Arial" w:cs="Arial" w:eastAsia="Arial" w:hAnsi="Arial"/>
          <w:sz w:val="18"/>
          <w:szCs w:val="18"/>
          <w:color w:val="auto"/>
        </w:rPr>
        <w:t>: Under Mr. Conterno's leadership, the Diabetes</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had a very strong year in 2016 with volume growth of 28 percent. Mr. Conterno effectively partnered across the value cycle to drive the Diabetes business's strategic plan and provided leadership across our human health commercial businesses. Additionally, effective January 2017, Mr. Conterno assumed additional geographic responsibilities and was named President, Lilly USA. In this role, he led the U.S. affiliate through organization and structural changes as Lilly Diabetes became the host for the company's human pharmaceutical commercial operations in the U.S., China, Japan, and Canada.</w:t>
      </w:r>
    </w:p>
    <w:p>
      <w:pPr>
        <w:spacing w:after="0" w:line="183" w:lineRule="exact"/>
        <w:rPr>
          <w:sz w:val="20"/>
          <w:szCs w:val="20"/>
          <w:color w:val="auto"/>
        </w:rPr>
      </w:pPr>
    </w:p>
    <w:p>
      <w:pPr>
        <w:ind w:right="240"/>
        <w:spacing w:after="0" w:line="266" w:lineRule="auto"/>
        <w:rPr>
          <w:sz w:val="20"/>
          <w:szCs w:val="20"/>
          <w:color w:val="auto"/>
        </w:rPr>
      </w:pPr>
      <w:r>
        <w:rPr>
          <w:rFonts w:ascii="Arial" w:cs="Arial" w:eastAsia="Arial" w:hAnsi="Arial"/>
          <w:sz w:val="18"/>
          <w:szCs w:val="18"/>
          <w:i w:val="1"/>
          <w:iCs w:val="1"/>
          <w:color w:val="auto"/>
        </w:rPr>
        <w:t xml:space="preserve">Derica Rice (retired), Executive Vice President, Global Services and Chief Financial Officer: </w:t>
      </w:r>
      <w:r>
        <w:rPr>
          <w:rFonts w:ascii="Arial" w:cs="Arial" w:eastAsia="Arial" w:hAnsi="Arial"/>
          <w:sz w:val="18"/>
          <w:szCs w:val="18"/>
          <w:color w:val="auto"/>
        </w:rPr>
        <w:t>Mr. Rice demonstrated strong partnership with</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leaders in 2016 by facilitating the completion of the acquisition of Vetmedica. Mr. Rice took an active role in partnering with R&amp;D on portfolio management and business development. Mr. Rice also successfully facilitated key leadership transitions in his function.</w:t>
      </w:r>
    </w:p>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P40</w:t>
      </w:r>
    </w:p>
    <w:p>
      <w:pPr>
        <w:sectPr>
          <w:pgSz w:w="11900" w:h="16838" w:orient="portrait"/>
          <w:cols w:equalWidth="0" w:num="1">
            <w:col w:w="11420"/>
          </w:cols>
          <w:pgMar w:left="240" w:top="1440" w:right="239" w:bottom="1440" w:gutter="0" w:footer="0" w:header="0"/>
        </w:sectPr>
      </w:pPr>
    </w:p>
    <w:bookmarkStart w:id="44" w:name="page45"/>
    <w:bookmarkEnd w:id="44"/>
    <w:p>
      <w:pPr>
        <w:ind w:right="440"/>
        <w:spacing w:after="0" w:line="258" w:lineRule="auto"/>
        <w:rPr>
          <w:sz w:val="20"/>
          <w:szCs w:val="20"/>
          <w:color w:val="auto"/>
        </w:rPr>
      </w:pPr>
      <w:r>
        <w:rPr>
          <w:rFonts w:ascii="Arial" w:cs="Arial" w:eastAsia="Arial" w:hAnsi="Arial"/>
          <w:sz w:val="18"/>
          <w:szCs w:val="18"/>
          <w:i w:val="1"/>
          <w:iCs w:val="1"/>
          <w:color w:val="auto"/>
        </w:rPr>
        <w:t>Jan Lundberg, Executive Vice President, Science and Technology and President, Lilly Research Laboratories</w:t>
      </w:r>
      <w:r>
        <w:rPr>
          <w:rFonts w:ascii="Arial" w:cs="Arial" w:eastAsia="Arial" w:hAnsi="Arial"/>
          <w:sz w:val="18"/>
          <w:szCs w:val="18"/>
          <w:color w:val="auto"/>
        </w:rPr>
        <w:t>: Under Dr. Lundberg's</w:t>
      </w:r>
      <w:r>
        <w:rPr>
          <w:rFonts w:ascii="Arial" w:cs="Arial" w:eastAsia="Arial" w:hAnsi="Arial"/>
          <w:sz w:val="18"/>
          <w:szCs w:val="18"/>
          <w:i w:val="1"/>
          <w:iCs w:val="1"/>
          <w:color w:val="auto"/>
        </w:rPr>
        <w:t xml:space="preserve"> </w:t>
      </w:r>
      <w:r>
        <w:rPr>
          <w:rFonts w:ascii="Arial" w:cs="Arial" w:eastAsia="Arial" w:hAnsi="Arial"/>
          <w:sz w:val="18"/>
          <w:szCs w:val="18"/>
          <w:color w:val="auto"/>
        </w:rPr>
        <w:t>leadership, Lilly Research Laboratories achieved significant pipeline progression in 2016 including regulatory approvals for Taltz, and Lartruvo®, and the launch of Phase 3 trials for all but one planned program. Dr. Lundberg played a key leadership role in increasing the company's focus on external research and initiatives to expand the company's research presence, which yielded positive results under his leadership.</w:t>
      </w:r>
    </w:p>
    <w:p>
      <w:pPr>
        <w:spacing w:after="0" w:line="184"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i w:val="1"/>
          <w:iCs w:val="1"/>
          <w:color w:val="auto"/>
        </w:rPr>
        <w:t>Michael Harrington, Senior Vice President and General Counsel</w:t>
      </w:r>
      <w:r>
        <w:rPr>
          <w:rFonts w:ascii="Arial" w:cs="Arial" w:eastAsia="Arial" w:hAnsi="Arial"/>
          <w:sz w:val="18"/>
          <w:szCs w:val="18"/>
          <w:color w:val="auto"/>
        </w:rPr>
        <w:t>: Mr. Harrington was effective and influential in his role as General Counsel in</w:t>
      </w:r>
      <w:r>
        <w:rPr>
          <w:rFonts w:ascii="Arial" w:cs="Arial" w:eastAsia="Arial" w:hAnsi="Arial"/>
          <w:sz w:val="18"/>
          <w:szCs w:val="18"/>
          <w:i w:val="1"/>
          <w:iCs w:val="1"/>
          <w:color w:val="auto"/>
        </w:rPr>
        <w:t xml:space="preserve"> </w:t>
      </w:r>
      <w:r>
        <w:rPr>
          <w:rFonts w:ascii="Arial" w:cs="Arial" w:eastAsia="Arial" w:hAnsi="Arial"/>
          <w:sz w:val="18"/>
          <w:szCs w:val="18"/>
          <w:color w:val="auto"/>
        </w:rPr>
        <w:t>2016 and he was a productive partner with the executive team. Under Mr. Harrington, the company prevailed in several key patent lawsuits, including defending patent protection for Alimta®. Mr. Harrington also led a company initiative to increase protection of Lilly's intellectual property assets and improve cyber security.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Target Compensation</w:t>
      </w:r>
    </w:p>
    <w:p>
      <w:pPr>
        <w:spacing w:after="0" w:line="31"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The information below reflects total compensation at target for named executive officers for 2017. The actual compensation received in 2017 is summarized below in "2017 Compensation Payouts."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Rationale for Changes to Named Executive Officer Target Compensation</w:t>
      </w:r>
    </w:p>
    <w:p>
      <w:pPr>
        <w:spacing w:after="0" w:line="31"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The committee established 2017 target total compensation opportunities for each named executive officer based on the named executive officer's 2016 performance, internal relativity, and peer group data. In anticipation of Dr. John Lechleiter’s retirement at the end of 2016, the board appointed Mr. Ricks as President and CEO effective January 1, 2017. The committee set Mr. Ricks’ 2017 base salary and bonus target in August 2016 in conjunction with his appointment and approved the value of his 2017 equity in December 2016 to reflect his promotion. For the other named executive officers, the committee approved salary increases, aligned with the company's annual increase guidelines. Bonus targets as a percentage of base salary for all named executive officers remained unchanged from the prior year. In light of the Diabetes business’s strong performance, Mr. Conterno also received an increase in his equity award.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Base Salary</w:t>
      </w:r>
    </w:p>
    <w:p>
      <w:pPr>
        <w:spacing w:after="0" w:line="63"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The following table outlines the salary increase for each named executive approved by the committee in December 2016, except for Mr. Ricks, who took the role of President and CEO in January 2017. Each named executive officer's actual base salary earned during 2017 is reflected in the Summary Compensation Table in the "Executive Compensation" section of this proxy.</w:t>
      </w:r>
    </w:p>
    <w:p>
      <w:pPr>
        <w:spacing w:after="0" w:line="318" w:lineRule="exact"/>
        <w:rPr>
          <w:sz w:val="20"/>
          <w:szCs w:val="20"/>
          <w:color w:val="auto"/>
        </w:rPr>
      </w:pPr>
    </w:p>
    <w:tbl>
      <w:tblPr>
        <w:tblLayout w:type="fixed"/>
        <w:tblInd w:w="970" w:type="dxa"/>
        <w:tblCellMar>
          <w:top w:w="0" w:type="dxa"/>
          <w:left w:w="0" w:type="dxa"/>
          <w:bottom w:w="0" w:type="dxa"/>
          <w:right w:w="0" w:type="dxa"/>
        </w:tblCellMar>
      </w:tblPr>
      <w:tr>
        <w:trPr>
          <w:trHeight w:val="224"/>
        </w:trPr>
        <w:tc>
          <w:tcPr>
            <w:tcW w:w="1640" w:type="dxa"/>
            <w:vAlign w:val="bottom"/>
            <w:tcBorders>
              <w:top w:val="single" w:sz="8" w:color="auto"/>
              <w:left w:val="single" w:sz="8" w:color="auto"/>
              <w:bottom w:val="single" w:sz="8" w:color="auto"/>
              <w:right w:val="single" w:sz="8" w:color="auto"/>
            </w:tcBorders>
            <w:shd w:val="clear" w:color="auto" w:fill="E5E5E5"/>
          </w:tcPr>
          <w:p>
            <w:pPr>
              <w:ind w:left="40"/>
              <w:spacing w:after="0"/>
              <w:rPr>
                <w:sz w:val="20"/>
                <w:szCs w:val="20"/>
                <w:color w:val="auto"/>
              </w:rPr>
            </w:pPr>
            <w:r>
              <w:rPr>
                <w:rFonts w:ascii="Arial" w:cs="Arial" w:eastAsia="Arial" w:hAnsi="Arial"/>
                <w:sz w:val="14"/>
                <w:szCs w:val="14"/>
                <w:b w:val="1"/>
                <w:bCs w:val="1"/>
                <w:color w:val="auto"/>
              </w:rPr>
              <w:t>Name</w:t>
            </w:r>
          </w:p>
        </w:tc>
        <w:tc>
          <w:tcPr>
            <w:tcW w:w="2380" w:type="dxa"/>
            <w:vAlign w:val="bottom"/>
            <w:tcBorders>
              <w:top w:val="single" w:sz="8" w:color="auto"/>
              <w:bottom w:val="single" w:sz="8" w:color="auto"/>
              <w:right w:val="single" w:sz="8" w:color="auto"/>
            </w:tcBorders>
            <w:shd w:val="clear" w:color="auto" w:fill="E5E5E5"/>
          </w:tcPr>
          <w:p>
            <w:pPr>
              <w:ind w:left="20"/>
              <w:spacing w:after="0"/>
              <w:rPr>
                <w:sz w:val="20"/>
                <w:szCs w:val="20"/>
                <w:color w:val="auto"/>
              </w:rPr>
            </w:pPr>
            <w:r>
              <w:rPr>
                <w:rFonts w:ascii="Arial" w:cs="Arial" w:eastAsia="Arial" w:hAnsi="Arial"/>
                <w:sz w:val="14"/>
                <w:szCs w:val="14"/>
                <w:b w:val="1"/>
                <w:bCs w:val="1"/>
                <w:color w:val="auto"/>
              </w:rPr>
              <w:t>2016 Annual Base Salary</w:t>
            </w:r>
          </w:p>
        </w:tc>
        <w:tc>
          <w:tcPr>
            <w:tcW w:w="2380" w:type="dxa"/>
            <w:vAlign w:val="bottom"/>
            <w:tcBorders>
              <w:top w:val="single" w:sz="8" w:color="auto"/>
              <w:bottom w:val="single" w:sz="8" w:color="auto"/>
              <w:right w:val="single" w:sz="8" w:color="auto"/>
            </w:tcBorders>
            <w:shd w:val="clear" w:color="auto" w:fill="E5E5E5"/>
          </w:tcPr>
          <w:p>
            <w:pPr>
              <w:ind w:left="20"/>
              <w:spacing w:after="0"/>
              <w:rPr>
                <w:sz w:val="20"/>
                <w:szCs w:val="20"/>
                <w:color w:val="auto"/>
              </w:rPr>
            </w:pPr>
            <w:r>
              <w:rPr>
                <w:rFonts w:ascii="Arial" w:cs="Arial" w:eastAsia="Arial" w:hAnsi="Arial"/>
                <w:sz w:val="14"/>
                <w:szCs w:val="14"/>
                <w:b w:val="1"/>
                <w:bCs w:val="1"/>
                <w:color w:val="auto"/>
              </w:rPr>
              <w:t>2017 Annual Base Salary</w:t>
            </w:r>
          </w:p>
        </w:tc>
        <w:tc>
          <w:tcPr>
            <w:tcW w:w="3140" w:type="dxa"/>
            <w:vAlign w:val="bottom"/>
            <w:tcBorders>
              <w:top w:val="single" w:sz="8" w:color="auto"/>
              <w:bottom w:val="single" w:sz="8" w:color="auto"/>
              <w:right w:val="single" w:sz="8" w:color="auto"/>
            </w:tcBorders>
            <w:shd w:val="clear" w:color="auto" w:fill="E5E5E5"/>
          </w:tcPr>
          <w:p>
            <w:pPr>
              <w:ind w:left="20"/>
              <w:spacing w:after="0"/>
              <w:rPr>
                <w:sz w:val="20"/>
                <w:szCs w:val="20"/>
                <w:color w:val="auto"/>
              </w:rPr>
            </w:pPr>
            <w:r>
              <w:rPr>
                <w:rFonts w:ascii="Arial" w:cs="Arial" w:eastAsia="Arial" w:hAnsi="Arial"/>
                <w:sz w:val="14"/>
                <w:szCs w:val="14"/>
                <w:b w:val="1"/>
                <w:bCs w:val="1"/>
                <w:color w:val="auto"/>
              </w:rPr>
              <w:t>Increase (effective March 1, 2017)</w:t>
            </w:r>
          </w:p>
        </w:tc>
      </w:tr>
      <w:tr>
        <w:trPr>
          <w:trHeight w:val="210"/>
        </w:trPr>
        <w:tc>
          <w:tcPr>
            <w:tcW w:w="1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Mr. Ricks</w:t>
            </w:r>
          </w:p>
        </w:tc>
        <w:tc>
          <w:tcPr>
            <w:tcW w:w="2380" w:type="dxa"/>
            <w:vAlign w:val="bottom"/>
            <w:tcBorders>
              <w:bottom w:val="single" w:sz="8" w:color="auto"/>
              <w:right w:val="single" w:sz="8" w:color="auto"/>
            </w:tcBorders>
          </w:tcPr>
          <w:p>
            <w:pPr>
              <w:ind w:left="1060"/>
              <w:spacing w:after="0"/>
              <w:rPr>
                <w:sz w:val="20"/>
                <w:szCs w:val="20"/>
                <w:color w:val="auto"/>
              </w:rPr>
            </w:pPr>
            <w:r>
              <w:rPr>
                <w:rFonts w:ascii="Arial" w:cs="Arial" w:eastAsia="Arial" w:hAnsi="Arial"/>
                <w:sz w:val="14"/>
                <w:szCs w:val="14"/>
                <w:color w:val="auto"/>
              </w:rPr>
              <w:t>N/A</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$1,400,000</w:t>
            </w:r>
          </w:p>
        </w:tc>
        <w:tc>
          <w:tcPr>
            <w:tcW w:w="3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r>
      <w:tr>
        <w:trPr>
          <w:trHeight w:val="210"/>
        </w:trPr>
        <w:tc>
          <w:tcPr>
            <w:tcW w:w="1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Mr. Conterno</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$731,511</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$768,100</w:t>
            </w:r>
          </w:p>
        </w:tc>
        <w:tc>
          <w:tcPr>
            <w:tcW w:w="3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5%</w:t>
            </w:r>
          </w:p>
        </w:tc>
      </w:tr>
      <w:tr>
        <w:trPr>
          <w:trHeight w:val="210"/>
        </w:trPr>
        <w:tc>
          <w:tcPr>
            <w:tcW w:w="1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Mr. Rice (retired)</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$1,071,306</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$1,092,700</w:t>
            </w:r>
          </w:p>
        </w:tc>
        <w:tc>
          <w:tcPr>
            <w:tcW w:w="3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w:t>
            </w:r>
          </w:p>
        </w:tc>
      </w:tr>
      <w:tr>
        <w:trPr>
          <w:trHeight w:val="210"/>
        </w:trPr>
        <w:tc>
          <w:tcPr>
            <w:tcW w:w="1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Dr. Lundberg</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$1,007,855</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$1,028,000</w:t>
            </w:r>
          </w:p>
        </w:tc>
        <w:tc>
          <w:tcPr>
            <w:tcW w:w="3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w:t>
            </w:r>
          </w:p>
        </w:tc>
      </w:tr>
      <w:tr>
        <w:trPr>
          <w:trHeight w:val="210"/>
        </w:trPr>
        <w:tc>
          <w:tcPr>
            <w:tcW w:w="1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Mr. Harrington</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$835,280</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$860,300</w:t>
            </w:r>
          </w:p>
        </w:tc>
        <w:tc>
          <w:tcPr>
            <w:tcW w:w="3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3%</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Annual Cash Bonus Targets</w:t>
      </w:r>
    </w:p>
    <w:p>
      <w:pPr>
        <w:spacing w:after="0" w:line="63" w:lineRule="exact"/>
        <w:rPr>
          <w:sz w:val="20"/>
          <w:szCs w:val="20"/>
          <w:color w:val="auto"/>
        </w:rPr>
      </w:pPr>
    </w:p>
    <w:p>
      <w:pPr>
        <w:jc w:val="both"/>
        <w:ind w:right="220"/>
        <w:spacing w:after="0" w:line="256" w:lineRule="auto"/>
        <w:rPr>
          <w:sz w:val="20"/>
          <w:szCs w:val="20"/>
          <w:color w:val="auto"/>
        </w:rPr>
      </w:pPr>
      <w:r>
        <w:rPr>
          <w:rFonts w:ascii="Arial" w:cs="Arial" w:eastAsia="Arial" w:hAnsi="Arial"/>
          <w:sz w:val="18"/>
          <w:szCs w:val="18"/>
          <w:color w:val="auto"/>
        </w:rPr>
        <w:t>Based on a review of internal relativity, peer group data, and individual performance, the committee decided to retain the same bonus targets for all named executive officers in 2017. Bonus targets are shown in the table below as a percentage of each named executive officer’s base salary earnings:</w:t>
      </w:r>
    </w:p>
    <w:p>
      <w:pPr>
        <w:spacing w:after="0" w:line="102" w:lineRule="exact"/>
        <w:rPr>
          <w:sz w:val="20"/>
          <w:szCs w:val="20"/>
          <w:color w:val="auto"/>
        </w:rPr>
      </w:pPr>
    </w:p>
    <w:tbl>
      <w:tblPr>
        <w:tblLayout w:type="fixed"/>
        <w:tblInd w:w="3010" w:type="dxa"/>
        <w:tblCellMar>
          <w:top w:w="0" w:type="dxa"/>
          <w:left w:w="0" w:type="dxa"/>
          <w:bottom w:w="0" w:type="dxa"/>
          <w:right w:w="0" w:type="dxa"/>
        </w:tblCellMar>
      </w:tblPr>
      <w:tr>
        <w:trPr>
          <w:trHeight w:val="224"/>
        </w:trPr>
        <w:tc>
          <w:tcPr>
            <w:tcW w:w="1760" w:type="dxa"/>
            <w:vAlign w:val="bottom"/>
            <w:tcBorders>
              <w:top w:val="single" w:sz="8" w:color="auto"/>
              <w:left w:val="single" w:sz="8" w:color="auto"/>
              <w:bottom w:val="single" w:sz="8" w:color="auto"/>
              <w:right w:val="single" w:sz="8" w:color="auto"/>
            </w:tcBorders>
            <w:shd w:val="clear" w:color="auto" w:fill="E5E5E5"/>
          </w:tcPr>
          <w:p>
            <w:pPr>
              <w:ind w:left="40"/>
              <w:spacing w:after="0"/>
              <w:rPr>
                <w:sz w:val="20"/>
                <w:szCs w:val="20"/>
                <w:color w:val="auto"/>
              </w:rPr>
            </w:pPr>
            <w:r>
              <w:rPr>
                <w:rFonts w:ascii="Arial" w:cs="Arial" w:eastAsia="Arial" w:hAnsi="Arial"/>
                <w:sz w:val="14"/>
                <w:szCs w:val="14"/>
                <w:b w:val="1"/>
                <w:bCs w:val="1"/>
                <w:color w:val="auto"/>
              </w:rPr>
              <w:t>Name</w:t>
            </w:r>
          </w:p>
        </w:tc>
        <w:tc>
          <w:tcPr>
            <w:tcW w:w="1840" w:type="dxa"/>
            <w:vAlign w:val="bottom"/>
            <w:tcBorders>
              <w:top w:val="single" w:sz="8" w:color="auto"/>
              <w:bottom w:val="single" w:sz="8" w:color="auto"/>
              <w:right w:val="single" w:sz="8" w:color="auto"/>
            </w:tcBorders>
            <w:shd w:val="clear" w:color="auto" w:fill="E5E5E5"/>
          </w:tcPr>
          <w:p>
            <w:pPr>
              <w:jc w:val="center"/>
              <w:spacing w:after="0"/>
              <w:rPr>
                <w:sz w:val="20"/>
                <w:szCs w:val="20"/>
                <w:color w:val="auto"/>
              </w:rPr>
            </w:pPr>
            <w:r>
              <w:rPr>
                <w:rFonts w:ascii="Arial" w:cs="Arial" w:eastAsia="Arial" w:hAnsi="Arial"/>
                <w:sz w:val="14"/>
                <w:szCs w:val="14"/>
                <w:b w:val="1"/>
                <w:bCs w:val="1"/>
                <w:color w:val="auto"/>
              </w:rPr>
              <w:t>2016 Bonus Target</w:t>
            </w:r>
          </w:p>
        </w:tc>
        <w:tc>
          <w:tcPr>
            <w:tcW w:w="1860" w:type="dxa"/>
            <w:vAlign w:val="bottom"/>
            <w:tcBorders>
              <w:top w:val="single" w:sz="8" w:color="auto"/>
              <w:bottom w:val="single" w:sz="8" w:color="auto"/>
              <w:right w:val="single" w:sz="8" w:color="auto"/>
            </w:tcBorders>
            <w:shd w:val="clear" w:color="auto" w:fill="E5E5E5"/>
          </w:tcPr>
          <w:p>
            <w:pPr>
              <w:ind w:left="280"/>
              <w:spacing w:after="0"/>
              <w:rPr>
                <w:sz w:val="20"/>
                <w:szCs w:val="20"/>
                <w:color w:val="auto"/>
              </w:rPr>
            </w:pPr>
            <w:r>
              <w:rPr>
                <w:rFonts w:ascii="Arial" w:cs="Arial" w:eastAsia="Arial" w:hAnsi="Arial"/>
                <w:sz w:val="14"/>
                <w:szCs w:val="14"/>
                <w:b w:val="1"/>
                <w:bCs w:val="1"/>
                <w:color w:val="auto"/>
              </w:rPr>
              <w:t>2017 Bonus Target</w:t>
            </w:r>
          </w:p>
        </w:tc>
      </w:tr>
      <w:tr>
        <w:trPr>
          <w:trHeight w:val="210"/>
        </w:trPr>
        <w:tc>
          <w:tcPr>
            <w:tcW w:w="17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Mr. Ricks</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N/A</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150%</w:t>
            </w:r>
          </w:p>
        </w:tc>
      </w:tr>
      <w:tr>
        <w:trPr>
          <w:trHeight w:val="210"/>
        </w:trPr>
        <w:tc>
          <w:tcPr>
            <w:tcW w:w="17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Mr. Conterno</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80%</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80%</w:t>
            </w:r>
          </w:p>
        </w:tc>
      </w:tr>
      <w:tr>
        <w:trPr>
          <w:trHeight w:val="210"/>
        </w:trPr>
        <w:tc>
          <w:tcPr>
            <w:tcW w:w="17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Mr. Rice (retired)</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100%</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100%</w:t>
            </w:r>
          </w:p>
        </w:tc>
      </w:tr>
      <w:tr>
        <w:trPr>
          <w:trHeight w:val="210"/>
        </w:trPr>
        <w:tc>
          <w:tcPr>
            <w:tcW w:w="17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Dr. Lundberg</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100%</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100%</w:t>
            </w:r>
          </w:p>
        </w:tc>
      </w:tr>
      <w:tr>
        <w:trPr>
          <w:trHeight w:val="210"/>
        </w:trPr>
        <w:tc>
          <w:tcPr>
            <w:tcW w:w="17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Mr. Harrington</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80%</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80%</w:t>
            </w:r>
          </w:p>
        </w:tc>
      </w:tr>
    </w:tbl>
    <w:p>
      <w:pPr>
        <w:spacing w:after="0" w:line="24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P41</w:t>
      </w:r>
    </w:p>
    <w:p>
      <w:pPr>
        <w:sectPr>
          <w:pgSz w:w="11900" w:h="16838" w:orient="portrait"/>
          <w:cols w:equalWidth="0" w:num="1">
            <w:col w:w="11420"/>
          </w:cols>
          <w:pgMar w:left="240" w:top="796"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auto"/>
        </w:rPr>
        <w:t>Total Equity Program - Target Grant Values</w:t>
      </w:r>
    </w:p>
    <w:p>
      <w:pPr>
        <w:spacing w:after="0" w:line="63"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For 2017 equity grants, the committee set the total target values for named executive officers based on internal relativity, individual performance, and peer group data. Named executive officers have 60 percent of their equity target allocated to shareholder value award and 40 percent to performance award. Total target values for the 2016 and 2017 equity grants to the named executive officers were as follows:</w:t>
      </w:r>
    </w:p>
    <w:p>
      <w:pPr>
        <w:spacing w:after="0" w:line="156" w:lineRule="exact"/>
        <w:rPr>
          <w:sz w:val="20"/>
          <w:szCs w:val="20"/>
          <w:color w:val="auto"/>
        </w:rPr>
      </w:pPr>
    </w:p>
    <w:tbl>
      <w:tblPr>
        <w:tblLayout w:type="fixed"/>
        <w:tblInd w:w="2510" w:type="dxa"/>
        <w:tblCellMar>
          <w:top w:w="0" w:type="dxa"/>
          <w:left w:w="0" w:type="dxa"/>
          <w:bottom w:w="0" w:type="dxa"/>
          <w:right w:w="0" w:type="dxa"/>
        </w:tblCellMar>
      </w:tblPr>
      <w:tr>
        <w:trPr>
          <w:trHeight w:val="224"/>
        </w:trPr>
        <w:tc>
          <w:tcPr>
            <w:tcW w:w="1880" w:type="dxa"/>
            <w:vAlign w:val="bottom"/>
            <w:tcBorders>
              <w:top w:val="single" w:sz="8" w:color="auto"/>
              <w:left w:val="single" w:sz="8" w:color="auto"/>
              <w:bottom w:val="single" w:sz="8" w:color="auto"/>
              <w:right w:val="single" w:sz="8" w:color="auto"/>
            </w:tcBorders>
            <w:shd w:val="clear" w:color="auto" w:fill="E5E5E5"/>
          </w:tcPr>
          <w:p>
            <w:pPr>
              <w:ind w:left="40"/>
              <w:spacing w:after="0"/>
              <w:rPr>
                <w:sz w:val="20"/>
                <w:szCs w:val="20"/>
                <w:color w:val="auto"/>
              </w:rPr>
            </w:pPr>
            <w:r>
              <w:rPr>
                <w:rFonts w:ascii="Arial" w:cs="Arial" w:eastAsia="Arial" w:hAnsi="Arial"/>
                <w:sz w:val="14"/>
                <w:szCs w:val="14"/>
                <w:b w:val="1"/>
                <w:bCs w:val="1"/>
                <w:color w:val="auto"/>
              </w:rPr>
              <w:t>Name</w:t>
            </w:r>
          </w:p>
        </w:tc>
        <w:tc>
          <w:tcPr>
            <w:tcW w:w="2280" w:type="dxa"/>
            <w:vAlign w:val="bottom"/>
            <w:tcBorders>
              <w:top w:val="single" w:sz="8" w:color="auto"/>
              <w:bottom w:val="single" w:sz="8" w:color="auto"/>
              <w:right w:val="single" w:sz="8" w:color="auto"/>
            </w:tcBorders>
            <w:shd w:val="clear" w:color="auto" w:fill="E5E5E5"/>
          </w:tcPr>
          <w:p>
            <w:pPr>
              <w:jc w:val="center"/>
              <w:spacing w:after="0"/>
              <w:rPr>
                <w:sz w:val="20"/>
                <w:szCs w:val="20"/>
                <w:color w:val="auto"/>
              </w:rPr>
            </w:pPr>
            <w:r>
              <w:rPr>
                <w:rFonts w:ascii="Arial" w:cs="Arial" w:eastAsia="Arial" w:hAnsi="Arial"/>
                <w:sz w:val="14"/>
                <w:szCs w:val="14"/>
                <w:b w:val="1"/>
                <w:bCs w:val="1"/>
                <w:color w:val="auto"/>
              </w:rPr>
              <w:t>2016 Annual Equity Grant</w:t>
            </w:r>
          </w:p>
        </w:tc>
        <w:tc>
          <w:tcPr>
            <w:tcW w:w="2300" w:type="dxa"/>
            <w:vAlign w:val="bottom"/>
            <w:tcBorders>
              <w:top w:val="single" w:sz="8" w:color="auto"/>
              <w:bottom w:val="single" w:sz="8" w:color="auto"/>
              <w:right w:val="single" w:sz="8" w:color="auto"/>
            </w:tcBorders>
            <w:shd w:val="clear" w:color="auto" w:fill="E5E5E5"/>
          </w:tcPr>
          <w:p>
            <w:pPr>
              <w:jc w:val="center"/>
              <w:spacing w:after="0"/>
              <w:rPr>
                <w:sz w:val="20"/>
                <w:szCs w:val="20"/>
                <w:color w:val="auto"/>
              </w:rPr>
            </w:pPr>
            <w:r>
              <w:rPr>
                <w:rFonts w:ascii="Arial" w:cs="Arial" w:eastAsia="Arial" w:hAnsi="Arial"/>
                <w:sz w:val="14"/>
                <w:szCs w:val="14"/>
                <w:b w:val="1"/>
                <w:bCs w:val="1"/>
                <w:color w:val="auto"/>
              </w:rPr>
              <w:t>2017 Annual Equity Grant</w:t>
            </w:r>
          </w:p>
        </w:tc>
      </w:tr>
      <w:tr>
        <w:trPr>
          <w:trHeight w:val="210"/>
        </w:trPr>
        <w:tc>
          <w:tcPr>
            <w:tcW w:w="1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Mr. Ricks</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N/A</w:t>
            </w:r>
          </w:p>
        </w:tc>
        <w:tc>
          <w:tcPr>
            <w:tcW w:w="2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$8,500,000</w:t>
            </w:r>
          </w:p>
        </w:tc>
      </w:tr>
      <w:tr>
        <w:trPr>
          <w:trHeight w:val="210"/>
        </w:trPr>
        <w:tc>
          <w:tcPr>
            <w:tcW w:w="1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Mr. Conterno</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$2,200,000</w:t>
            </w:r>
          </w:p>
        </w:tc>
        <w:tc>
          <w:tcPr>
            <w:tcW w:w="2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$2,500,000</w:t>
            </w:r>
          </w:p>
        </w:tc>
      </w:tr>
      <w:tr>
        <w:trPr>
          <w:trHeight w:val="210"/>
        </w:trPr>
        <w:tc>
          <w:tcPr>
            <w:tcW w:w="1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Mr. Rice (retired)</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$3,800,000</w:t>
            </w:r>
          </w:p>
        </w:tc>
        <w:tc>
          <w:tcPr>
            <w:tcW w:w="2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$3,800,000</w:t>
            </w:r>
          </w:p>
        </w:tc>
      </w:tr>
      <w:tr>
        <w:trPr>
          <w:trHeight w:val="210"/>
        </w:trPr>
        <w:tc>
          <w:tcPr>
            <w:tcW w:w="1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Dr. Lundberg</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$3,600,000</w:t>
            </w:r>
          </w:p>
        </w:tc>
        <w:tc>
          <w:tcPr>
            <w:tcW w:w="2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$3,600,000</w:t>
            </w:r>
          </w:p>
        </w:tc>
      </w:tr>
      <w:tr>
        <w:trPr>
          <w:trHeight w:val="210"/>
        </w:trPr>
        <w:tc>
          <w:tcPr>
            <w:tcW w:w="1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Mr. Harrington</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$2,300,000</w:t>
            </w:r>
          </w:p>
        </w:tc>
        <w:tc>
          <w:tcPr>
            <w:tcW w:w="2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$2,300,000</w:t>
            </w:r>
          </w:p>
        </w:tc>
      </w:tr>
    </w:tbl>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Performance Goals for 2017 Incentive Programs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Annual Cash Bonus Goals</w:t>
      </w:r>
    </w:p>
    <w:p>
      <w:pPr>
        <w:spacing w:after="0" w:line="9"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The Compensation Committee established the company performance targets using the company's 2017 corporate operating plan approved by the Board of Directors in 2016. These targets are described below under "2017 Compensation Payouts."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Performance Awards – 2017-2019 Performance Award (PA)</w:t>
      </w:r>
    </w:p>
    <w:p>
      <w:pPr>
        <w:spacing w:after="0" w:line="9" w:lineRule="exact"/>
        <w:rPr>
          <w:sz w:val="20"/>
          <w:szCs w:val="20"/>
          <w:color w:val="auto"/>
        </w:rPr>
      </w:pPr>
    </w:p>
    <w:p>
      <w:pPr>
        <w:ind w:right="740"/>
        <w:spacing w:after="0" w:line="262" w:lineRule="auto"/>
        <w:rPr>
          <w:sz w:val="20"/>
          <w:szCs w:val="20"/>
          <w:color w:val="auto"/>
        </w:rPr>
      </w:pPr>
      <w:r>
        <w:rPr>
          <w:rFonts w:ascii="Arial" w:cs="Arial" w:eastAsia="Arial" w:hAnsi="Arial"/>
          <w:sz w:val="18"/>
          <w:szCs w:val="18"/>
          <w:color w:val="auto"/>
        </w:rPr>
        <w:t>In February 2017, the committee established a cumulative, compounded two-year EPS growth target of 5.3 percent per year based on investment analysts’ EPS growth estimates for our peer group companies at that time.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Payouts for the 2017-2019 performance award range from 0 to 150 percent of the target, as illustrated in the chart below:</w:t>
      </w:r>
    </w:p>
    <w:p>
      <w:pPr>
        <w:spacing w:after="0" w:line="231" w:lineRule="exact"/>
        <w:rPr>
          <w:sz w:val="20"/>
          <w:szCs w:val="20"/>
          <w:color w:val="auto"/>
        </w:rPr>
      </w:pPr>
    </w:p>
    <w:p>
      <w:pPr>
        <w:ind w:left="3880"/>
        <w:spacing w:after="0"/>
        <w:rPr>
          <w:sz w:val="20"/>
          <w:szCs w:val="20"/>
          <w:color w:val="auto"/>
        </w:rPr>
      </w:pPr>
      <w:r>
        <w:rPr>
          <w:rFonts w:ascii="Arial" w:cs="Arial" w:eastAsia="Arial" w:hAnsi="Arial"/>
          <w:sz w:val="14"/>
          <w:szCs w:val="14"/>
          <w:color w:val="auto"/>
        </w:rPr>
        <w:t>50% payout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2148840</wp:posOffset>
            </wp:positionH>
            <wp:positionV relativeFrom="paragraph">
              <wp:posOffset>66040</wp:posOffset>
            </wp:positionV>
            <wp:extent cx="1071880" cy="1371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071880" cy="137160"/>
                    </a:xfrm>
                    <a:prstGeom prst="rect">
                      <a:avLst/>
                    </a:prstGeom>
                    <a:noFill/>
                  </pic:spPr>
                </pic:pic>
              </a:graphicData>
            </a:graphic>
          </wp:anchor>
        </w:drawing>
      </w:r>
    </w:p>
    <w:p>
      <w:pPr>
        <w:spacing w:after="0" w:line="193" w:lineRule="exact"/>
        <w:rPr>
          <w:sz w:val="20"/>
          <w:szCs w:val="20"/>
          <w:color w:val="auto"/>
        </w:rPr>
      </w:pPr>
    </w:p>
    <w:tbl>
      <w:tblPr>
        <w:tblLayout w:type="fixed"/>
        <w:tblInd w:w="1400" w:type="dxa"/>
        <w:tblCellMar>
          <w:top w:w="0" w:type="dxa"/>
          <w:left w:w="0" w:type="dxa"/>
          <w:bottom w:w="0" w:type="dxa"/>
          <w:right w:w="0" w:type="dxa"/>
        </w:tblCellMar>
      </w:tblPr>
      <w:tr>
        <w:trPr>
          <w:trHeight w:val="190"/>
        </w:trPr>
        <w:tc>
          <w:tcPr>
            <w:tcW w:w="1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40" w:type="dxa"/>
            <w:vAlign w:val="bottom"/>
            <w:gridSpan w:val="2"/>
          </w:tcPr>
          <w:p>
            <w:pPr>
              <w:ind w:left="380"/>
              <w:spacing w:after="0"/>
              <w:rPr>
                <w:sz w:val="20"/>
                <w:szCs w:val="20"/>
                <w:color w:val="auto"/>
              </w:rPr>
            </w:pPr>
            <w:r>
              <w:rPr>
                <w:rFonts w:ascii="Arial" w:cs="Arial" w:eastAsia="Arial" w:hAnsi="Arial"/>
                <w:sz w:val="14"/>
                <w:szCs w:val="14"/>
                <w:b w:val="1"/>
                <w:bCs w:val="1"/>
                <w:color w:val="auto"/>
              </w:rPr>
              <w:t>Target</w:t>
            </w:r>
          </w:p>
        </w:tc>
        <w:tc>
          <w:tcPr>
            <w:tcW w:w="5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180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Payout Multiple</w:t>
            </w:r>
          </w:p>
        </w:tc>
        <w:tc>
          <w:tcPr>
            <w:tcW w:w="180" w:type="dxa"/>
            <w:vAlign w:val="bottom"/>
            <w:tcBorders>
              <w:right w:val="single" w:sz="8" w:color="auto"/>
            </w:tcBorders>
          </w:tcPr>
          <w:p>
            <w:pPr>
              <w:spacing w:after="0"/>
              <w:rPr>
                <w:sz w:val="22"/>
                <w:szCs w:val="22"/>
                <w:color w:val="auto"/>
              </w:rPr>
            </w:pPr>
          </w:p>
        </w:tc>
        <w:tc>
          <w:tcPr>
            <w:tcW w:w="920" w:type="dxa"/>
            <w:vAlign w:val="bottom"/>
          </w:tcPr>
          <w:p>
            <w:pPr>
              <w:spacing w:after="0"/>
              <w:rPr>
                <w:sz w:val="22"/>
                <w:szCs w:val="22"/>
                <w:color w:val="auto"/>
              </w:rPr>
            </w:pPr>
          </w:p>
        </w:tc>
        <w:tc>
          <w:tcPr>
            <w:tcW w:w="820" w:type="dxa"/>
            <w:vAlign w:val="bottom"/>
            <w:tcBorders>
              <w:right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540" w:type="dxa"/>
            <w:vAlign w:val="bottom"/>
            <w:tcBorders>
              <w:bottom w:val="single" w:sz="8" w:color="auto"/>
              <w:right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600" w:type="dxa"/>
            <w:vAlign w:val="bottom"/>
            <w:tcBorders>
              <w:bottom w:val="single" w:sz="8" w:color="auto"/>
              <w:right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560" w:type="dxa"/>
            <w:vAlign w:val="bottom"/>
            <w:tcBorders>
              <w:bottom w:val="single" w:sz="8" w:color="auto"/>
              <w:right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680" w:type="dxa"/>
            <w:vAlign w:val="bottom"/>
            <w:tcBorders>
              <w:bottom w:val="single" w:sz="8" w:color="auto"/>
              <w:right w:val="single" w:sz="8" w:color="auto"/>
            </w:tcBorders>
          </w:tcPr>
          <w:p>
            <w:pPr>
              <w:spacing w:after="0"/>
              <w:rPr>
                <w:sz w:val="22"/>
                <w:szCs w:val="22"/>
                <w:color w:val="auto"/>
              </w:rPr>
            </w:pP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tcBorders>
              <w:right w:val="single" w:sz="8" w:color="auto"/>
            </w:tcBorders>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Borders>
              <w:right w:val="single" w:sz="8" w:color="auto"/>
            </w:tcBorders>
          </w:tcPr>
          <w:p>
            <w:pPr>
              <w:spacing w:after="0"/>
              <w:rPr>
                <w:sz w:val="21"/>
                <w:szCs w:val="21"/>
                <w:color w:val="auto"/>
              </w:rPr>
            </w:pPr>
          </w:p>
        </w:tc>
        <w:tc>
          <w:tcPr>
            <w:tcW w:w="540" w:type="dxa"/>
            <w:vAlign w:val="bottom"/>
          </w:tcPr>
          <w:p>
            <w:pPr>
              <w:spacing w:after="0"/>
              <w:rPr>
                <w:sz w:val="21"/>
                <w:szCs w:val="21"/>
                <w:color w:val="auto"/>
              </w:rPr>
            </w:pPr>
          </w:p>
        </w:tc>
        <w:tc>
          <w:tcPr>
            <w:tcW w:w="560" w:type="dxa"/>
            <w:vAlign w:val="bottom"/>
            <w:tcBorders>
              <w:right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Borders>
              <w:right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1800" w:type="dxa"/>
            <w:vAlign w:val="bottom"/>
            <w:vMerge w:val="continue"/>
          </w:tcPr>
          <w:p>
            <w:pPr>
              <w:spacing w:after="0"/>
              <w:rPr>
                <w:sz w:val="22"/>
                <w:szCs w:val="22"/>
                <w:color w:val="auto"/>
              </w:rPr>
            </w:pPr>
          </w:p>
        </w:tc>
        <w:tc>
          <w:tcPr>
            <w:tcW w:w="11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color w:val="auto"/>
              </w:rPr>
              <w:t>0.00</w:t>
            </w:r>
          </w:p>
        </w:tc>
        <w:tc>
          <w:tcPr>
            <w:tcW w:w="1460" w:type="dxa"/>
            <w:vAlign w:val="bottom"/>
            <w:tcBorders>
              <w:bottom w:val="single" w:sz="8" w:color="auto"/>
            </w:tcBorders>
            <w:gridSpan w:val="2"/>
          </w:tcPr>
          <w:p>
            <w:pPr>
              <w:jc w:val="center"/>
              <w:ind w:left="188"/>
              <w:spacing w:after="0"/>
              <w:rPr>
                <w:sz w:val="20"/>
                <w:szCs w:val="20"/>
                <w:color w:val="auto"/>
              </w:rPr>
            </w:pPr>
            <w:r>
              <w:rPr>
                <w:rFonts w:ascii="Arial" w:cs="Arial" w:eastAsia="Arial" w:hAnsi="Arial"/>
                <w:sz w:val="14"/>
                <w:szCs w:val="14"/>
                <w:color w:val="auto"/>
              </w:rPr>
              <w:t>0.50</w:t>
            </w: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0.75</w:t>
            </w: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FF0000"/>
              </w:rPr>
              <w:t>1.00</w:t>
            </w:r>
          </w:p>
        </w:tc>
        <w:tc>
          <w:tcPr>
            <w:tcW w:w="9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1.25</w:t>
            </w:r>
          </w:p>
        </w:tc>
        <w:tc>
          <w:tcPr>
            <w:tcW w:w="11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263"/>
        </w:trPr>
        <w:tc>
          <w:tcPr>
            <w:tcW w:w="1800" w:type="dxa"/>
            <w:vAlign w:val="bottom"/>
          </w:tcPr>
          <w:p>
            <w:pPr>
              <w:jc w:val="right"/>
              <w:spacing w:after="0"/>
              <w:rPr>
                <w:sz w:val="20"/>
                <w:szCs w:val="20"/>
                <w:color w:val="auto"/>
              </w:rPr>
            </w:pPr>
            <w:r>
              <w:rPr>
                <w:rFonts w:ascii="Arial" w:cs="Arial" w:eastAsia="Arial" w:hAnsi="Arial"/>
                <w:sz w:val="14"/>
                <w:szCs w:val="14"/>
                <w:b w:val="1"/>
                <w:bCs w:val="1"/>
                <w:color w:val="auto"/>
              </w:rPr>
              <w:t xml:space="preserve">Cumulative 2-Year EPS </w:t>
            </w:r>
            <w:r>
              <w:rPr>
                <w:rFonts w:ascii="Arial" w:cs="Arial" w:eastAsia="Arial" w:hAnsi="Arial"/>
                <w:sz w:val="18"/>
                <w:szCs w:val="18"/>
                <w:color w:val="auto"/>
              </w:rPr>
              <w:t>≤</w:t>
            </w:r>
          </w:p>
        </w:tc>
        <w:tc>
          <w:tcPr>
            <w:tcW w:w="11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color w:val="auto"/>
              </w:rPr>
              <w:t>$3.52</w:t>
            </w:r>
          </w:p>
        </w:tc>
        <w:tc>
          <w:tcPr>
            <w:tcW w:w="1460" w:type="dxa"/>
            <w:vAlign w:val="bottom"/>
            <w:tcBorders>
              <w:bottom w:val="single" w:sz="8" w:color="auto"/>
            </w:tcBorders>
            <w:gridSpan w:val="2"/>
          </w:tcPr>
          <w:p>
            <w:pPr>
              <w:jc w:val="center"/>
              <w:ind w:left="188"/>
              <w:spacing w:after="0"/>
              <w:rPr>
                <w:sz w:val="20"/>
                <w:szCs w:val="20"/>
                <w:color w:val="auto"/>
              </w:rPr>
            </w:pPr>
            <w:r>
              <w:rPr>
                <w:rFonts w:ascii="Arial" w:cs="Arial" w:eastAsia="Arial" w:hAnsi="Arial"/>
                <w:sz w:val="14"/>
                <w:szCs w:val="14"/>
                <w:color w:val="auto"/>
              </w:rPr>
              <w:t>$6.76</w:t>
            </w: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$7.18</w:t>
            </w: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FF0000"/>
              </w:rPr>
              <w:t>$7.61</w:t>
            </w:r>
          </w:p>
        </w:tc>
        <w:tc>
          <w:tcPr>
            <w:tcW w:w="9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$8.05</w:t>
            </w:r>
          </w:p>
        </w:tc>
        <w:tc>
          <w:tcPr>
            <w:tcW w:w="1100" w:type="dxa"/>
            <w:vAlign w:val="bottom"/>
            <w:tcBorders>
              <w:bottom w:val="single" w:sz="8" w:color="auto"/>
            </w:tcBorders>
            <w:gridSpan w:val="2"/>
          </w:tcPr>
          <w:p>
            <w:pPr>
              <w:ind w:left="28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4"/>
                <w:szCs w:val="14"/>
                <w:color w:val="auto"/>
              </w:rPr>
              <w:t>$8.51+</w:t>
            </w:r>
          </w:p>
        </w:tc>
        <w:tc>
          <w:tcPr>
            <w:tcW w:w="0" w:type="dxa"/>
            <w:vAlign w:val="bottom"/>
          </w:tcPr>
          <w:p>
            <w:pPr>
              <w:spacing w:after="0"/>
              <w:rPr>
                <w:sz w:val="1"/>
                <w:szCs w:val="1"/>
                <w:color w:val="auto"/>
              </w:rPr>
            </w:pPr>
          </w:p>
        </w:tc>
      </w:tr>
      <w:tr>
        <w:trPr>
          <w:trHeight w:val="162"/>
        </w:trPr>
        <w:tc>
          <w:tcPr>
            <w:tcW w:w="1800" w:type="dxa"/>
            <w:vAlign w:val="bottom"/>
          </w:tcPr>
          <w:p>
            <w:pPr>
              <w:jc w:val="right"/>
              <w:ind w:right="148"/>
              <w:spacing w:after="0"/>
              <w:rPr>
                <w:sz w:val="20"/>
                <w:szCs w:val="20"/>
                <w:color w:val="auto"/>
              </w:rPr>
            </w:pPr>
            <w:r>
              <w:rPr>
                <w:rFonts w:ascii="Arial" w:cs="Arial" w:eastAsia="Arial" w:hAnsi="Arial"/>
                <w:sz w:val="14"/>
                <w:szCs w:val="14"/>
                <w:b w:val="1"/>
                <w:bCs w:val="1"/>
                <w:color w:val="auto"/>
              </w:rPr>
              <w:t>EPS Annual Growth</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800" w:type="dxa"/>
            <w:vAlign w:val="bottom"/>
          </w:tcPr>
          <w:p>
            <w:pPr>
              <w:jc w:val="right"/>
              <w:ind w:right="148"/>
              <w:spacing w:after="0"/>
              <w:rPr>
                <w:sz w:val="20"/>
                <w:szCs w:val="20"/>
                <w:color w:val="auto"/>
              </w:rPr>
            </w:pPr>
            <w:r>
              <w:rPr>
                <w:rFonts w:ascii="Arial" w:cs="Arial" w:eastAsia="Arial" w:hAnsi="Arial"/>
                <w:sz w:val="14"/>
                <w:szCs w:val="14"/>
                <w:b w:val="1"/>
                <w:bCs w:val="1"/>
                <w:color w:val="auto"/>
              </w:rPr>
              <w:t>Rate</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60" w:type="dxa"/>
            <w:vAlign w:val="bottom"/>
            <w:gridSpan w:val="2"/>
          </w:tcPr>
          <w:p>
            <w:pPr>
              <w:jc w:val="center"/>
              <w:ind w:left="168"/>
              <w:spacing w:after="0"/>
              <w:rPr>
                <w:sz w:val="20"/>
                <w:szCs w:val="20"/>
                <w:color w:val="auto"/>
              </w:rPr>
            </w:pPr>
            <w:r>
              <w:rPr>
                <w:rFonts w:ascii="Arial" w:cs="Arial" w:eastAsia="Arial" w:hAnsi="Arial"/>
                <w:sz w:val="14"/>
                <w:szCs w:val="14"/>
                <w:color w:val="auto"/>
              </w:rPr>
              <w:t>(2.7)%</w:t>
            </w:r>
          </w:p>
        </w:tc>
        <w:tc>
          <w:tcPr>
            <w:tcW w:w="1140" w:type="dxa"/>
            <w:vAlign w:val="bottom"/>
            <w:gridSpan w:val="2"/>
          </w:tcPr>
          <w:p>
            <w:pPr>
              <w:jc w:val="center"/>
              <w:spacing w:after="0"/>
              <w:rPr>
                <w:sz w:val="20"/>
                <w:szCs w:val="20"/>
                <w:color w:val="auto"/>
              </w:rPr>
            </w:pPr>
            <w:r>
              <w:rPr>
                <w:rFonts w:ascii="Arial" w:cs="Arial" w:eastAsia="Arial" w:hAnsi="Arial"/>
                <w:sz w:val="14"/>
                <w:szCs w:val="14"/>
                <w:color w:val="auto"/>
              </w:rPr>
              <w:t>1.3%</w:t>
            </w:r>
          </w:p>
        </w:tc>
        <w:tc>
          <w:tcPr>
            <w:tcW w:w="1140" w:type="dxa"/>
            <w:vAlign w:val="bottom"/>
            <w:gridSpan w:val="2"/>
          </w:tcPr>
          <w:p>
            <w:pPr>
              <w:jc w:val="center"/>
              <w:spacing w:after="0"/>
              <w:rPr>
                <w:sz w:val="20"/>
                <w:szCs w:val="20"/>
                <w:color w:val="auto"/>
              </w:rPr>
            </w:pPr>
            <w:r>
              <w:rPr>
                <w:rFonts w:ascii="Arial" w:cs="Arial" w:eastAsia="Arial" w:hAnsi="Arial"/>
                <w:sz w:val="14"/>
                <w:szCs w:val="14"/>
                <w:color w:val="FF0000"/>
              </w:rPr>
              <w:t>5.3%</w:t>
            </w:r>
          </w:p>
        </w:tc>
        <w:tc>
          <w:tcPr>
            <w:tcW w:w="980" w:type="dxa"/>
            <w:vAlign w:val="bottom"/>
            <w:gridSpan w:val="2"/>
          </w:tcPr>
          <w:p>
            <w:pPr>
              <w:jc w:val="center"/>
              <w:spacing w:after="0"/>
              <w:rPr>
                <w:sz w:val="20"/>
                <w:szCs w:val="20"/>
                <w:color w:val="auto"/>
              </w:rPr>
            </w:pPr>
            <w:r>
              <w:rPr>
                <w:rFonts w:ascii="Arial" w:cs="Arial" w:eastAsia="Arial" w:hAnsi="Arial"/>
                <w:sz w:val="14"/>
                <w:szCs w:val="14"/>
                <w:color w:val="auto"/>
              </w:rPr>
              <w:t>9.3%</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13.3%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2110740</wp:posOffset>
            </wp:positionH>
            <wp:positionV relativeFrom="paragraph">
              <wp:posOffset>-767715</wp:posOffset>
            </wp:positionV>
            <wp:extent cx="114046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140460" cy="42545"/>
                    </a:xfrm>
                    <a:prstGeom prst="rect">
                      <a:avLst/>
                    </a:prstGeom>
                    <a:noFill/>
                  </pic:spPr>
                </pic:pic>
              </a:graphicData>
            </a:graphic>
          </wp:anchor>
        </w:drawing>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Shareholder Value Awards – 2017-2019 Shareholder Value Award (SVA)</w:t>
      </w:r>
    </w:p>
    <w:p>
      <w:pPr>
        <w:spacing w:after="0" w:line="63"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For purposes of establishing the stock price target for the shareholder value awards, the starting price was $72.15 per share, the average closing stock price for all trading days in November and December 2016. The target share price was established using the expected annual rate of return for large-cap companies (8 percent), less an assumed Lilly dividend yield of 2.88 percent. To determine payout, the ending price will be the average of the closing prices of company stock for all trading days in November and December 2019. The award is designed to deliver no payout to executive officers if the shareholder return (including projected dividends) is zero or negative. Possible payouts based on share price ranges are illustrated in the grid below.</w:t>
      </w: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P42</w:t>
      </w:r>
    </w:p>
    <w:p>
      <w:pPr>
        <w:sectPr>
          <w:pgSz w:w="11900" w:h="16838" w:orient="portrait"/>
          <w:cols w:equalWidth="0" w:num="1">
            <w:col w:w="11420"/>
          </w:cols>
          <w:pgMar w:left="240" w:top="814" w:right="239" w:bottom="1440" w:gutter="0" w:footer="0" w:header="0"/>
        </w:sectPr>
      </w:pPr>
    </w:p>
    <w:bookmarkStart w:id="46" w:name="page47"/>
    <w:bookmarkEnd w:id="46"/>
    <w:tbl>
      <w:tblPr>
        <w:tblLayout w:type="fixed"/>
        <w:tblInd w:w="1850" w:type="dxa"/>
        <w:tblCellMar>
          <w:top w:w="0" w:type="dxa"/>
          <w:left w:w="0" w:type="dxa"/>
          <w:bottom w:w="0" w:type="dxa"/>
          <w:right w:w="0" w:type="dxa"/>
        </w:tblCellMar>
      </w:tblPr>
      <w:tr>
        <w:trPr>
          <w:trHeight w:val="207"/>
        </w:trPr>
        <w:tc>
          <w:tcPr>
            <w:tcW w:w="2300" w:type="dxa"/>
            <w:vAlign w:val="bottom"/>
            <w:tcBorders>
              <w:top w:val="single" w:sz="8" w:color="auto"/>
              <w:left w:val="single" w:sz="8" w:color="auto"/>
              <w:right w:val="single" w:sz="8" w:color="auto"/>
            </w:tcBorders>
            <w:shd w:val="clear" w:color="auto" w:fill="E5E5E5"/>
          </w:tcPr>
          <w:p>
            <w:pPr>
              <w:spacing w:after="0"/>
              <w:rPr>
                <w:sz w:val="18"/>
                <w:szCs w:val="18"/>
                <w:color w:val="auto"/>
              </w:rPr>
            </w:pPr>
          </w:p>
        </w:tc>
        <w:tc>
          <w:tcPr>
            <w:tcW w:w="700" w:type="dxa"/>
            <w:vAlign w:val="bottom"/>
            <w:tcBorders>
              <w:top w:val="single" w:sz="8" w:color="auto"/>
              <w:right w:val="single" w:sz="8" w:color="auto"/>
            </w:tcBorders>
            <w:vMerge w:val="restart"/>
          </w:tcPr>
          <w:p>
            <w:pPr>
              <w:ind w:left="20"/>
              <w:spacing w:after="0"/>
              <w:rPr>
                <w:sz w:val="20"/>
                <w:szCs w:val="20"/>
                <w:color w:val="auto"/>
              </w:rPr>
            </w:pPr>
            <w:r>
              <w:rPr>
                <w:rFonts w:ascii="Arial" w:cs="Arial" w:eastAsia="Arial" w:hAnsi="Arial"/>
                <w:sz w:val="14"/>
                <w:szCs w:val="14"/>
                <w:color w:val="auto"/>
              </w:rPr>
              <w:t>Less than</w:t>
            </w:r>
          </w:p>
        </w:tc>
        <w:tc>
          <w:tcPr>
            <w:tcW w:w="1060" w:type="dxa"/>
            <w:vAlign w:val="bottom"/>
            <w:tcBorders>
              <w:top w:val="single" w:sz="8" w:color="auto"/>
              <w:right w:val="single" w:sz="8" w:color="auto"/>
            </w:tcBorders>
          </w:tcPr>
          <w:p>
            <w:pPr>
              <w:spacing w:after="0"/>
              <w:rPr>
                <w:sz w:val="18"/>
                <w:szCs w:val="18"/>
                <w:color w:val="auto"/>
              </w:rPr>
            </w:pPr>
          </w:p>
        </w:tc>
        <w:tc>
          <w:tcPr>
            <w:tcW w:w="1040" w:type="dxa"/>
            <w:vAlign w:val="bottom"/>
            <w:tcBorders>
              <w:top w:val="single" w:sz="8" w:color="auto"/>
              <w:right w:val="single" w:sz="8" w:color="auto"/>
            </w:tcBorders>
          </w:tcPr>
          <w:p>
            <w:pPr>
              <w:spacing w:after="0"/>
              <w:rPr>
                <w:sz w:val="18"/>
                <w:szCs w:val="18"/>
                <w:color w:val="auto"/>
              </w:rPr>
            </w:pPr>
          </w:p>
        </w:tc>
        <w:tc>
          <w:tcPr>
            <w:tcW w:w="1000" w:type="dxa"/>
            <w:vAlign w:val="bottom"/>
            <w:tcBorders>
              <w:top w:val="single" w:sz="8" w:color="auto"/>
              <w:right w:val="single" w:sz="8" w:color="auto"/>
            </w:tcBorders>
          </w:tcPr>
          <w:p>
            <w:pPr>
              <w:spacing w:after="0"/>
              <w:rPr>
                <w:sz w:val="18"/>
                <w:szCs w:val="18"/>
                <w:color w:val="auto"/>
              </w:rPr>
            </w:pPr>
          </w:p>
        </w:tc>
        <w:tc>
          <w:tcPr>
            <w:tcW w:w="1080" w:type="dxa"/>
            <w:vAlign w:val="bottom"/>
            <w:tcBorders>
              <w:top w:val="single" w:sz="8" w:color="auto"/>
              <w:right w:val="single" w:sz="8" w:color="auto"/>
            </w:tcBorders>
          </w:tcPr>
          <w:p>
            <w:pPr>
              <w:spacing w:after="0"/>
              <w:rPr>
                <w:sz w:val="18"/>
                <w:szCs w:val="18"/>
                <w:color w:val="auto"/>
              </w:rPr>
            </w:pPr>
          </w:p>
        </w:tc>
        <w:tc>
          <w:tcPr>
            <w:tcW w:w="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Greater</w:t>
            </w:r>
          </w:p>
        </w:tc>
        <w:tc>
          <w:tcPr>
            <w:tcW w:w="0" w:type="dxa"/>
            <w:vAlign w:val="bottom"/>
          </w:tcPr>
          <w:p>
            <w:pPr>
              <w:spacing w:after="0"/>
              <w:rPr>
                <w:sz w:val="1"/>
                <w:szCs w:val="1"/>
                <w:color w:val="auto"/>
              </w:rPr>
            </w:pPr>
          </w:p>
        </w:tc>
      </w:tr>
      <w:tr>
        <w:trPr>
          <w:trHeight w:val="130"/>
        </w:trPr>
        <w:tc>
          <w:tcPr>
            <w:tcW w:w="2300" w:type="dxa"/>
            <w:vAlign w:val="bottom"/>
            <w:tcBorders>
              <w:left w:val="single" w:sz="8" w:color="auto"/>
              <w:right w:val="single" w:sz="8" w:color="auto"/>
            </w:tcBorders>
            <w:shd w:val="clear" w:color="auto" w:fill="E5E5E5"/>
          </w:tcPr>
          <w:p>
            <w:pPr>
              <w:ind w:left="20"/>
              <w:spacing w:after="0" w:line="131" w:lineRule="exact"/>
              <w:rPr>
                <w:sz w:val="20"/>
                <w:szCs w:val="20"/>
                <w:color w:val="auto"/>
              </w:rPr>
            </w:pPr>
            <w:r>
              <w:rPr>
                <w:rFonts w:ascii="Arial" w:cs="Arial" w:eastAsia="Arial" w:hAnsi="Arial"/>
                <w:sz w:val="14"/>
                <w:szCs w:val="14"/>
                <w:color w:val="auto"/>
              </w:rPr>
              <w:t>Ending Stock Price</w:t>
            </w:r>
          </w:p>
        </w:tc>
        <w:tc>
          <w:tcPr>
            <w:tcW w:w="700" w:type="dxa"/>
            <w:vAlign w:val="bottom"/>
            <w:tcBorders>
              <w:right w:val="single" w:sz="8" w:color="auto"/>
            </w:tcBorders>
            <w:vMerge w:val="continue"/>
          </w:tcPr>
          <w:p>
            <w:pPr>
              <w:spacing w:after="0"/>
              <w:rPr>
                <w:sz w:val="11"/>
                <w:szCs w:val="11"/>
                <w:color w:val="auto"/>
              </w:rPr>
            </w:pPr>
          </w:p>
        </w:tc>
        <w:tc>
          <w:tcPr>
            <w:tcW w:w="1060" w:type="dxa"/>
            <w:vAlign w:val="bottom"/>
            <w:tcBorders>
              <w:right w:val="single" w:sz="8" w:color="auto"/>
            </w:tcBorders>
          </w:tcPr>
          <w:p>
            <w:pPr>
              <w:jc w:val="center"/>
              <w:spacing w:after="0" w:line="131" w:lineRule="exact"/>
              <w:rPr>
                <w:sz w:val="20"/>
                <w:szCs w:val="20"/>
                <w:color w:val="auto"/>
              </w:rPr>
            </w:pPr>
            <w:r>
              <w:rPr>
                <w:rFonts w:ascii="Arial" w:cs="Arial" w:eastAsia="Arial" w:hAnsi="Arial"/>
                <w:sz w:val="14"/>
                <w:szCs w:val="14"/>
                <w:color w:val="auto"/>
              </w:rPr>
              <w:t>$65.80-$74.79</w:t>
            </w:r>
          </w:p>
        </w:tc>
        <w:tc>
          <w:tcPr>
            <w:tcW w:w="1040" w:type="dxa"/>
            <w:vAlign w:val="bottom"/>
            <w:tcBorders>
              <w:right w:val="single" w:sz="8" w:color="auto"/>
            </w:tcBorders>
          </w:tcPr>
          <w:p>
            <w:pPr>
              <w:jc w:val="right"/>
              <w:ind w:right="28"/>
              <w:spacing w:after="0" w:line="131" w:lineRule="exact"/>
              <w:rPr>
                <w:sz w:val="20"/>
                <w:szCs w:val="20"/>
                <w:color w:val="auto"/>
              </w:rPr>
            </w:pPr>
            <w:r>
              <w:rPr>
                <w:rFonts w:ascii="Arial" w:cs="Arial" w:eastAsia="Arial" w:hAnsi="Arial"/>
                <w:sz w:val="14"/>
                <w:szCs w:val="14"/>
                <w:color w:val="auto"/>
              </w:rPr>
              <w:t>$74.80-$83.79</w:t>
            </w:r>
          </w:p>
        </w:tc>
        <w:tc>
          <w:tcPr>
            <w:tcW w:w="1000" w:type="dxa"/>
            <w:vAlign w:val="bottom"/>
            <w:tcBorders>
              <w:right w:val="single" w:sz="8" w:color="auto"/>
            </w:tcBorders>
          </w:tcPr>
          <w:p>
            <w:pPr>
              <w:jc w:val="center"/>
              <w:spacing w:after="0" w:line="131" w:lineRule="exact"/>
              <w:rPr>
                <w:sz w:val="20"/>
                <w:szCs w:val="20"/>
                <w:color w:val="auto"/>
              </w:rPr>
            </w:pPr>
            <w:r>
              <w:rPr>
                <w:rFonts w:ascii="Arial" w:cs="Arial" w:eastAsia="Arial" w:hAnsi="Arial"/>
                <w:sz w:val="14"/>
                <w:szCs w:val="14"/>
                <w:color w:val="FF0000"/>
              </w:rPr>
              <w:t>$83.80-$92.79</w:t>
            </w:r>
          </w:p>
        </w:tc>
        <w:tc>
          <w:tcPr>
            <w:tcW w:w="1080" w:type="dxa"/>
            <w:vAlign w:val="bottom"/>
            <w:tcBorders>
              <w:right w:val="single" w:sz="8" w:color="auto"/>
            </w:tcBorders>
          </w:tcPr>
          <w:p>
            <w:pPr>
              <w:jc w:val="center"/>
              <w:spacing w:after="0" w:line="131" w:lineRule="exact"/>
              <w:rPr>
                <w:sz w:val="20"/>
                <w:szCs w:val="20"/>
                <w:color w:val="auto"/>
              </w:rPr>
            </w:pPr>
            <w:r>
              <w:rPr>
                <w:rFonts w:ascii="Arial" w:cs="Arial" w:eastAsia="Arial" w:hAnsi="Arial"/>
                <w:sz w:val="14"/>
                <w:szCs w:val="14"/>
                <w:color w:val="auto"/>
              </w:rPr>
              <w:t>$92.80-$101.79</w:t>
            </w:r>
          </w:p>
        </w:tc>
        <w:tc>
          <w:tcPr>
            <w:tcW w:w="620" w:type="dxa"/>
            <w:vAlign w:val="bottom"/>
            <w:tcBorders>
              <w:right w:val="single" w:sz="8" w:color="auto"/>
            </w:tcBorders>
          </w:tcPr>
          <w:p>
            <w:pPr>
              <w:jc w:val="center"/>
              <w:spacing w:after="0" w:line="131" w:lineRule="exact"/>
              <w:rPr>
                <w:sz w:val="20"/>
                <w:szCs w:val="20"/>
                <w:color w:val="auto"/>
              </w:rPr>
            </w:pPr>
            <w:r>
              <w:rPr>
                <w:rFonts w:ascii="Arial" w:cs="Arial" w:eastAsia="Arial" w:hAnsi="Arial"/>
                <w:sz w:val="14"/>
                <w:szCs w:val="14"/>
                <w:color w:val="auto"/>
              </w:rPr>
              <w:t>than</w:t>
            </w:r>
          </w:p>
        </w:tc>
        <w:tc>
          <w:tcPr>
            <w:tcW w:w="0" w:type="dxa"/>
            <w:vAlign w:val="bottom"/>
          </w:tcPr>
          <w:p>
            <w:pPr>
              <w:spacing w:after="0"/>
              <w:rPr>
                <w:sz w:val="1"/>
                <w:szCs w:val="1"/>
                <w:color w:val="auto"/>
              </w:rPr>
            </w:pPr>
          </w:p>
        </w:tc>
      </w:tr>
      <w:tr>
        <w:trPr>
          <w:trHeight w:val="210"/>
        </w:trPr>
        <w:tc>
          <w:tcPr>
            <w:tcW w:w="2300" w:type="dxa"/>
            <w:vAlign w:val="bottom"/>
            <w:tcBorders>
              <w:left w:val="single" w:sz="8" w:color="auto"/>
              <w:bottom w:val="single" w:sz="8" w:color="E5E5E5"/>
              <w:right w:val="single" w:sz="8" w:color="auto"/>
            </w:tcBorders>
            <w:shd w:val="clear" w:color="auto" w:fill="E5E5E5"/>
          </w:tcPr>
          <w:p>
            <w:pPr>
              <w:spacing w:after="0"/>
              <w:rPr>
                <w:sz w:val="18"/>
                <w:szCs w:val="18"/>
                <w:color w:val="auto"/>
              </w:rPr>
            </w:pP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$65.80</w:t>
            </w:r>
          </w:p>
        </w:tc>
        <w:tc>
          <w:tcPr>
            <w:tcW w:w="106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$101.79</w:t>
            </w:r>
          </w:p>
        </w:tc>
        <w:tc>
          <w:tcPr>
            <w:tcW w:w="0" w:type="dxa"/>
            <w:vAlign w:val="bottom"/>
          </w:tcPr>
          <w:p>
            <w:pPr>
              <w:spacing w:after="0"/>
              <w:rPr>
                <w:sz w:val="1"/>
                <w:szCs w:val="1"/>
                <w:color w:val="auto"/>
              </w:rPr>
            </w:pPr>
          </w:p>
        </w:tc>
      </w:tr>
      <w:tr>
        <w:trPr>
          <w:trHeight w:val="193"/>
        </w:trPr>
        <w:tc>
          <w:tcPr>
            <w:tcW w:w="2300" w:type="dxa"/>
            <w:vAlign w:val="bottom"/>
            <w:tcBorders>
              <w:top w:val="single" w:sz="8" w:color="auto"/>
              <w:left w:val="single" w:sz="8" w:color="auto"/>
              <w:right w:val="single" w:sz="8" w:color="auto"/>
            </w:tcBorders>
            <w:vMerge w:val="restart"/>
            <w:shd w:val="clear" w:color="auto" w:fill="E5E5E5"/>
          </w:tcPr>
          <w:p>
            <w:pPr>
              <w:ind w:left="20"/>
              <w:spacing w:after="0"/>
              <w:rPr>
                <w:sz w:val="20"/>
                <w:szCs w:val="20"/>
                <w:color w:val="auto"/>
              </w:rPr>
            </w:pPr>
            <w:r>
              <w:rPr>
                <w:rFonts w:ascii="Arial" w:cs="Arial" w:eastAsia="Arial" w:hAnsi="Arial"/>
                <w:sz w:val="14"/>
                <w:szCs w:val="14"/>
                <w:color w:val="auto"/>
              </w:rPr>
              <w:t>Compounded Annual Share Price</w:t>
            </w:r>
          </w:p>
        </w:tc>
        <w:tc>
          <w:tcPr>
            <w:tcW w:w="700" w:type="dxa"/>
            <w:vAlign w:val="bottom"/>
            <w:tcBorders>
              <w:top w:val="single" w:sz="8" w:color="auto"/>
              <w:right w:val="single" w:sz="8" w:color="auto"/>
            </w:tcBorders>
            <w:vMerge w:val="restart"/>
          </w:tcPr>
          <w:p>
            <w:pPr>
              <w:ind w:left="20"/>
              <w:spacing w:after="0"/>
              <w:rPr>
                <w:sz w:val="20"/>
                <w:szCs w:val="20"/>
                <w:color w:val="auto"/>
              </w:rPr>
            </w:pPr>
            <w:r>
              <w:rPr>
                <w:rFonts w:ascii="Arial" w:cs="Arial" w:eastAsia="Arial" w:hAnsi="Arial"/>
                <w:sz w:val="14"/>
                <w:szCs w:val="14"/>
                <w:color w:val="auto"/>
              </w:rPr>
              <w:t>Less than</w:t>
            </w:r>
          </w:p>
        </w:tc>
        <w:tc>
          <w:tcPr>
            <w:tcW w:w="1060" w:type="dxa"/>
            <w:vAlign w:val="bottom"/>
            <w:tcBorders>
              <w:top w:val="single" w:sz="8" w:color="auto"/>
              <w:right w:val="single" w:sz="8" w:color="auto"/>
            </w:tcBorders>
          </w:tcPr>
          <w:p>
            <w:pPr>
              <w:spacing w:after="0"/>
              <w:rPr>
                <w:sz w:val="16"/>
                <w:szCs w:val="16"/>
                <w:color w:val="auto"/>
              </w:rPr>
            </w:pPr>
          </w:p>
        </w:tc>
        <w:tc>
          <w:tcPr>
            <w:tcW w:w="1040" w:type="dxa"/>
            <w:vAlign w:val="bottom"/>
            <w:tcBorders>
              <w:top w:val="single" w:sz="8" w:color="auto"/>
              <w:right w:val="single" w:sz="8" w:color="auto"/>
            </w:tcBorders>
          </w:tcPr>
          <w:p>
            <w:pPr>
              <w:spacing w:after="0"/>
              <w:rPr>
                <w:sz w:val="16"/>
                <w:szCs w:val="16"/>
                <w:color w:val="auto"/>
              </w:rPr>
            </w:pPr>
          </w:p>
        </w:tc>
        <w:tc>
          <w:tcPr>
            <w:tcW w:w="1000" w:type="dxa"/>
            <w:vAlign w:val="bottom"/>
            <w:tcBorders>
              <w:top w:val="single" w:sz="8" w:color="auto"/>
              <w:right w:val="single" w:sz="8" w:color="auto"/>
            </w:tcBorders>
          </w:tcPr>
          <w:p>
            <w:pPr>
              <w:spacing w:after="0"/>
              <w:rPr>
                <w:sz w:val="16"/>
                <w:szCs w:val="16"/>
                <w:color w:val="auto"/>
              </w:rPr>
            </w:pPr>
          </w:p>
        </w:tc>
        <w:tc>
          <w:tcPr>
            <w:tcW w:w="1080" w:type="dxa"/>
            <w:vAlign w:val="bottom"/>
            <w:tcBorders>
              <w:top w:val="single" w:sz="8" w:color="auto"/>
              <w:right w:val="single" w:sz="8" w:color="auto"/>
            </w:tcBorders>
          </w:tcPr>
          <w:p>
            <w:pPr>
              <w:spacing w:after="0"/>
              <w:rPr>
                <w:sz w:val="16"/>
                <w:szCs w:val="16"/>
                <w:color w:val="auto"/>
              </w:rPr>
            </w:pPr>
          </w:p>
        </w:tc>
        <w:tc>
          <w:tcPr>
            <w:tcW w:w="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Greater</w:t>
            </w:r>
          </w:p>
        </w:tc>
        <w:tc>
          <w:tcPr>
            <w:tcW w:w="0" w:type="dxa"/>
            <w:vAlign w:val="bottom"/>
          </w:tcPr>
          <w:p>
            <w:pPr>
              <w:spacing w:after="0"/>
              <w:rPr>
                <w:sz w:val="1"/>
                <w:szCs w:val="1"/>
                <w:color w:val="auto"/>
              </w:rPr>
            </w:pPr>
          </w:p>
        </w:tc>
      </w:tr>
      <w:tr>
        <w:trPr>
          <w:trHeight w:val="81"/>
        </w:trPr>
        <w:tc>
          <w:tcPr>
            <w:tcW w:w="2300" w:type="dxa"/>
            <w:vAlign w:val="bottom"/>
            <w:tcBorders>
              <w:left w:val="single" w:sz="8" w:color="auto"/>
              <w:right w:val="single" w:sz="8" w:color="auto"/>
            </w:tcBorders>
            <w:vMerge w:val="continue"/>
            <w:shd w:val="clear" w:color="auto" w:fill="E5E5E5"/>
          </w:tcPr>
          <w:p>
            <w:pPr>
              <w:spacing w:after="0"/>
              <w:rPr>
                <w:sz w:val="7"/>
                <w:szCs w:val="7"/>
                <w:color w:val="auto"/>
              </w:rPr>
            </w:pPr>
          </w:p>
        </w:tc>
        <w:tc>
          <w:tcPr>
            <w:tcW w:w="700" w:type="dxa"/>
            <w:vAlign w:val="bottom"/>
            <w:tcBorders>
              <w:right w:val="single" w:sz="8" w:color="auto"/>
            </w:tcBorders>
            <w:vMerge w:val="continue"/>
          </w:tcPr>
          <w:p>
            <w:pPr>
              <w:spacing w:after="0"/>
              <w:rPr>
                <w:sz w:val="7"/>
                <w:szCs w:val="7"/>
                <w:color w:val="auto"/>
              </w:rPr>
            </w:pP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(3.0%)-1.2%</w:t>
            </w:r>
          </w:p>
        </w:tc>
        <w:tc>
          <w:tcPr>
            <w:tcW w:w="1040" w:type="dxa"/>
            <w:vAlign w:val="bottom"/>
            <w:tcBorders>
              <w:right w:val="single" w:sz="8" w:color="auto"/>
            </w:tcBorders>
            <w:vMerge w:val="restart"/>
          </w:tcPr>
          <w:p>
            <w:pPr>
              <w:jc w:val="right"/>
              <w:ind w:right="168"/>
              <w:spacing w:after="0"/>
              <w:rPr>
                <w:sz w:val="20"/>
                <w:szCs w:val="20"/>
                <w:color w:val="auto"/>
              </w:rPr>
            </w:pPr>
            <w:r>
              <w:rPr>
                <w:rFonts w:ascii="Arial" w:cs="Arial" w:eastAsia="Arial" w:hAnsi="Arial"/>
                <w:sz w:val="14"/>
                <w:szCs w:val="14"/>
                <w:color w:val="auto"/>
              </w:rPr>
              <w:t>1.2-5.1%</w:t>
            </w: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EE2724"/>
              </w:rPr>
              <w:t>5.1%-8.8%</w:t>
            </w:r>
          </w:p>
        </w:tc>
        <w:tc>
          <w:tcPr>
            <w:tcW w:w="1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8.8%-12.2%</w:t>
            </w: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than</w:t>
            </w:r>
          </w:p>
        </w:tc>
        <w:tc>
          <w:tcPr>
            <w:tcW w:w="0" w:type="dxa"/>
            <w:vAlign w:val="bottom"/>
          </w:tcPr>
          <w:p>
            <w:pPr>
              <w:spacing w:after="0"/>
              <w:rPr>
                <w:sz w:val="1"/>
                <w:szCs w:val="1"/>
                <w:color w:val="auto"/>
              </w:rPr>
            </w:pPr>
          </w:p>
        </w:tc>
      </w:tr>
      <w:tr>
        <w:trPr>
          <w:trHeight w:val="81"/>
        </w:trPr>
        <w:tc>
          <w:tcPr>
            <w:tcW w:w="2300" w:type="dxa"/>
            <w:vAlign w:val="bottom"/>
            <w:tcBorders>
              <w:left w:val="single" w:sz="8" w:color="auto"/>
              <w:right w:val="single" w:sz="8" w:color="auto"/>
            </w:tcBorders>
            <w:vMerge w:val="restart"/>
            <w:shd w:val="clear" w:color="auto" w:fill="E5E5E5"/>
          </w:tcPr>
          <w:p>
            <w:pPr>
              <w:ind w:left="20"/>
              <w:spacing w:after="0"/>
              <w:rPr>
                <w:sz w:val="20"/>
                <w:szCs w:val="20"/>
                <w:color w:val="auto"/>
              </w:rPr>
            </w:pPr>
            <w:r>
              <w:rPr>
                <w:rFonts w:ascii="Arial" w:cs="Arial" w:eastAsia="Arial" w:hAnsi="Arial"/>
                <w:sz w:val="14"/>
                <w:szCs w:val="14"/>
                <w:color w:val="auto"/>
              </w:rPr>
              <w:t>Growth Rate (excluding dividends)</w:t>
            </w:r>
          </w:p>
        </w:tc>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(3.0%)</w:t>
            </w:r>
          </w:p>
        </w:tc>
        <w:tc>
          <w:tcPr>
            <w:tcW w:w="1060" w:type="dxa"/>
            <w:vAlign w:val="bottom"/>
            <w:tcBorders>
              <w:right w:val="single" w:sz="8" w:color="auto"/>
            </w:tcBorders>
            <w:vMerge w:val="continue"/>
          </w:tcPr>
          <w:p>
            <w:pPr>
              <w:spacing w:after="0"/>
              <w:rPr>
                <w:sz w:val="7"/>
                <w:szCs w:val="7"/>
                <w:color w:val="auto"/>
              </w:rPr>
            </w:pPr>
          </w:p>
        </w:tc>
        <w:tc>
          <w:tcPr>
            <w:tcW w:w="1040" w:type="dxa"/>
            <w:vAlign w:val="bottom"/>
            <w:tcBorders>
              <w:right w:val="single" w:sz="8" w:color="auto"/>
            </w:tcBorders>
            <w:vMerge w:val="continue"/>
          </w:tcPr>
          <w:p>
            <w:pPr>
              <w:spacing w:after="0"/>
              <w:rPr>
                <w:sz w:val="7"/>
                <w:szCs w:val="7"/>
                <w:color w:val="auto"/>
              </w:rPr>
            </w:pPr>
          </w:p>
        </w:tc>
        <w:tc>
          <w:tcPr>
            <w:tcW w:w="1000" w:type="dxa"/>
            <w:vAlign w:val="bottom"/>
            <w:tcBorders>
              <w:right w:val="single" w:sz="8" w:color="auto"/>
            </w:tcBorders>
            <w:vMerge w:val="continue"/>
          </w:tcPr>
          <w:p>
            <w:pPr>
              <w:spacing w:after="0"/>
              <w:rPr>
                <w:sz w:val="7"/>
                <w:szCs w:val="7"/>
                <w:color w:val="auto"/>
              </w:rPr>
            </w:pPr>
          </w:p>
        </w:tc>
        <w:tc>
          <w:tcPr>
            <w:tcW w:w="1080" w:type="dxa"/>
            <w:vAlign w:val="bottom"/>
            <w:tcBorders>
              <w:right w:val="single" w:sz="8" w:color="auto"/>
            </w:tcBorders>
            <w:vMerge w:val="continue"/>
          </w:tcPr>
          <w:p>
            <w:pPr>
              <w:spacing w:after="0"/>
              <w:rPr>
                <w:sz w:val="7"/>
                <w:szCs w:val="7"/>
                <w:color w:val="auto"/>
              </w:rPr>
            </w:pPr>
          </w:p>
        </w:tc>
        <w:tc>
          <w:tcPr>
            <w:tcW w:w="6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300" w:type="dxa"/>
            <w:vAlign w:val="bottom"/>
            <w:tcBorders>
              <w:left w:val="single" w:sz="8" w:color="auto"/>
              <w:right w:val="single" w:sz="8" w:color="auto"/>
            </w:tcBorders>
            <w:vMerge w:val="continue"/>
            <w:shd w:val="clear" w:color="auto" w:fill="E5E5E5"/>
          </w:tcPr>
          <w:p>
            <w:pPr>
              <w:spacing w:after="0"/>
              <w:rPr>
                <w:sz w:val="7"/>
                <w:szCs w:val="7"/>
                <w:color w:val="auto"/>
              </w:rPr>
            </w:pPr>
          </w:p>
        </w:tc>
        <w:tc>
          <w:tcPr>
            <w:tcW w:w="700" w:type="dxa"/>
            <w:vAlign w:val="bottom"/>
            <w:tcBorders>
              <w:right w:val="single" w:sz="8" w:color="auto"/>
            </w:tcBorders>
            <w:vMerge w:val="continue"/>
          </w:tcPr>
          <w:p>
            <w:pPr>
              <w:spacing w:after="0"/>
              <w:rPr>
                <w:sz w:val="7"/>
                <w:szCs w:val="7"/>
                <w:color w:val="auto"/>
              </w:rPr>
            </w:pPr>
          </w:p>
        </w:tc>
        <w:tc>
          <w:tcPr>
            <w:tcW w:w="1060" w:type="dxa"/>
            <w:vAlign w:val="bottom"/>
            <w:tcBorders>
              <w:right w:val="single" w:sz="8" w:color="auto"/>
            </w:tcBorders>
          </w:tcPr>
          <w:p>
            <w:pPr>
              <w:spacing w:after="0"/>
              <w:rPr>
                <w:sz w:val="7"/>
                <w:szCs w:val="7"/>
                <w:color w:val="auto"/>
              </w:rPr>
            </w:pPr>
          </w:p>
        </w:tc>
        <w:tc>
          <w:tcPr>
            <w:tcW w:w="1040" w:type="dxa"/>
            <w:vAlign w:val="bottom"/>
            <w:tcBorders>
              <w:right w:val="single" w:sz="8" w:color="auto"/>
            </w:tcBorders>
          </w:tcPr>
          <w:p>
            <w:pPr>
              <w:spacing w:after="0"/>
              <w:rPr>
                <w:sz w:val="7"/>
                <w:szCs w:val="7"/>
                <w:color w:val="auto"/>
              </w:rPr>
            </w:pPr>
          </w:p>
        </w:tc>
        <w:tc>
          <w:tcPr>
            <w:tcW w:w="1000" w:type="dxa"/>
            <w:vAlign w:val="bottom"/>
            <w:tcBorders>
              <w:right w:val="single" w:sz="8" w:color="auto"/>
            </w:tcBorders>
          </w:tcPr>
          <w:p>
            <w:pPr>
              <w:spacing w:after="0"/>
              <w:rPr>
                <w:sz w:val="7"/>
                <w:szCs w:val="7"/>
                <w:color w:val="auto"/>
              </w:rPr>
            </w:pPr>
          </w:p>
        </w:tc>
        <w:tc>
          <w:tcPr>
            <w:tcW w:w="1080" w:type="dxa"/>
            <w:vAlign w:val="bottom"/>
            <w:tcBorders>
              <w:right w:val="single" w:sz="8" w:color="auto"/>
            </w:tcBorders>
          </w:tcPr>
          <w:p>
            <w:pPr>
              <w:spacing w:after="0"/>
              <w:rPr>
                <w:sz w:val="7"/>
                <w:szCs w:val="7"/>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12.2%</w:t>
            </w:r>
          </w:p>
        </w:tc>
        <w:tc>
          <w:tcPr>
            <w:tcW w:w="0" w:type="dxa"/>
            <w:vAlign w:val="bottom"/>
          </w:tcPr>
          <w:p>
            <w:pPr>
              <w:spacing w:after="0"/>
              <w:rPr>
                <w:sz w:val="1"/>
                <w:szCs w:val="1"/>
                <w:color w:val="auto"/>
              </w:rPr>
            </w:pPr>
          </w:p>
        </w:tc>
      </w:tr>
      <w:tr>
        <w:trPr>
          <w:trHeight w:val="87"/>
        </w:trPr>
        <w:tc>
          <w:tcPr>
            <w:tcW w:w="2300" w:type="dxa"/>
            <w:vAlign w:val="bottom"/>
            <w:tcBorders>
              <w:left w:val="single" w:sz="8" w:color="auto"/>
              <w:bottom w:val="single" w:sz="8" w:color="auto"/>
              <w:right w:val="single" w:sz="8" w:color="auto"/>
            </w:tcBorders>
            <w:shd w:val="clear" w:color="auto" w:fill="E5E5E5"/>
          </w:tcPr>
          <w:p>
            <w:pPr>
              <w:spacing w:after="0"/>
              <w:rPr>
                <w:sz w:val="7"/>
                <w:szCs w:val="7"/>
                <w:color w:val="auto"/>
              </w:rPr>
            </w:pPr>
          </w:p>
        </w:tc>
        <w:tc>
          <w:tcPr>
            <w:tcW w:w="700" w:type="dxa"/>
            <w:vAlign w:val="bottom"/>
            <w:tcBorders>
              <w:bottom w:val="single" w:sz="8" w:color="auto"/>
              <w:right w:val="single" w:sz="8" w:color="auto"/>
            </w:tcBorders>
          </w:tcPr>
          <w:p>
            <w:pPr>
              <w:spacing w:after="0"/>
              <w:rPr>
                <w:sz w:val="7"/>
                <w:szCs w:val="7"/>
                <w:color w:val="auto"/>
              </w:rPr>
            </w:pPr>
          </w:p>
        </w:tc>
        <w:tc>
          <w:tcPr>
            <w:tcW w:w="1060" w:type="dxa"/>
            <w:vAlign w:val="bottom"/>
            <w:tcBorders>
              <w:bottom w:val="single" w:sz="8" w:color="auto"/>
              <w:right w:val="single" w:sz="8" w:color="auto"/>
            </w:tcBorders>
          </w:tcPr>
          <w:p>
            <w:pPr>
              <w:spacing w:after="0"/>
              <w:rPr>
                <w:sz w:val="7"/>
                <w:szCs w:val="7"/>
                <w:color w:val="auto"/>
              </w:rPr>
            </w:pPr>
          </w:p>
        </w:tc>
        <w:tc>
          <w:tcPr>
            <w:tcW w:w="1040" w:type="dxa"/>
            <w:vAlign w:val="bottom"/>
            <w:tcBorders>
              <w:bottom w:val="single" w:sz="8" w:color="auto"/>
              <w:right w:val="single" w:sz="8" w:color="auto"/>
            </w:tcBorders>
          </w:tcPr>
          <w:p>
            <w:pPr>
              <w:spacing w:after="0"/>
              <w:rPr>
                <w:sz w:val="7"/>
                <w:szCs w:val="7"/>
                <w:color w:val="auto"/>
              </w:rPr>
            </w:pPr>
          </w:p>
        </w:tc>
        <w:tc>
          <w:tcPr>
            <w:tcW w:w="1000" w:type="dxa"/>
            <w:vAlign w:val="bottom"/>
            <w:tcBorders>
              <w:bottom w:val="single" w:sz="8" w:color="auto"/>
              <w:right w:val="single" w:sz="8" w:color="auto"/>
            </w:tcBorders>
          </w:tcPr>
          <w:p>
            <w:pPr>
              <w:spacing w:after="0"/>
              <w:rPr>
                <w:sz w:val="7"/>
                <w:szCs w:val="7"/>
                <w:color w:val="auto"/>
              </w:rPr>
            </w:pPr>
          </w:p>
        </w:tc>
        <w:tc>
          <w:tcPr>
            <w:tcW w:w="1080" w:type="dxa"/>
            <w:vAlign w:val="bottom"/>
            <w:tcBorders>
              <w:bottom w:val="single" w:sz="8" w:color="auto"/>
              <w:right w:val="single" w:sz="8" w:color="auto"/>
            </w:tcBorders>
          </w:tcPr>
          <w:p>
            <w:pPr>
              <w:spacing w:after="0"/>
              <w:rPr>
                <w:sz w:val="7"/>
                <w:szCs w:val="7"/>
                <w:color w:val="auto"/>
              </w:rPr>
            </w:pPr>
          </w:p>
        </w:tc>
        <w:tc>
          <w:tcPr>
            <w:tcW w:w="6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300" w:type="dxa"/>
            <w:vAlign w:val="bottom"/>
            <w:tcBorders>
              <w:left w:val="single" w:sz="8" w:color="auto"/>
              <w:bottom w:val="single" w:sz="8" w:color="auto"/>
              <w:right w:val="single" w:sz="8" w:color="auto"/>
            </w:tcBorders>
            <w:shd w:val="clear" w:color="auto" w:fill="E5E5E5"/>
          </w:tcPr>
          <w:p>
            <w:pPr>
              <w:ind w:left="20"/>
              <w:spacing w:after="0"/>
              <w:rPr>
                <w:sz w:val="20"/>
                <w:szCs w:val="20"/>
                <w:color w:val="auto"/>
              </w:rPr>
            </w:pPr>
            <w:r>
              <w:rPr>
                <w:rFonts w:ascii="Arial" w:cs="Arial" w:eastAsia="Arial" w:hAnsi="Arial"/>
                <w:sz w:val="14"/>
                <w:szCs w:val="14"/>
                <w:color w:val="auto"/>
              </w:rPr>
              <w:t>Percent of Target</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8"/>
              </w:rPr>
              <w:t>0%</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50%</w:t>
            </w:r>
          </w:p>
        </w:tc>
        <w:tc>
          <w:tcPr>
            <w:tcW w:w="1040" w:type="dxa"/>
            <w:vAlign w:val="bottom"/>
            <w:tcBorders>
              <w:bottom w:val="single" w:sz="8" w:color="auto"/>
              <w:right w:val="single" w:sz="8" w:color="auto"/>
            </w:tcBorders>
          </w:tcPr>
          <w:p>
            <w:pPr>
              <w:jc w:val="right"/>
              <w:ind w:right="328"/>
              <w:spacing w:after="0"/>
              <w:rPr>
                <w:sz w:val="20"/>
                <w:szCs w:val="20"/>
                <w:color w:val="auto"/>
              </w:rPr>
            </w:pPr>
            <w:r>
              <w:rPr>
                <w:rFonts w:ascii="Arial" w:cs="Arial" w:eastAsia="Arial" w:hAnsi="Arial"/>
                <w:sz w:val="14"/>
                <w:szCs w:val="14"/>
                <w:color w:val="auto"/>
              </w:rPr>
              <w:t>75%</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EE2724"/>
              </w:rPr>
              <w:t>100%</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125%</w:t>
            </w:r>
          </w:p>
        </w:tc>
        <w:tc>
          <w:tcPr>
            <w:tcW w:w="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ind w:right="180"/>
        <w:spacing w:after="0" w:line="256" w:lineRule="auto"/>
        <w:rPr>
          <w:sz w:val="20"/>
          <w:szCs w:val="20"/>
          <w:color w:val="auto"/>
        </w:rPr>
      </w:pPr>
      <w:r>
        <w:rPr>
          <w:rFonts w:ascii="Arial" w:cs="Arial" w:eastAsia="Arial" w:hAnsi="Arial"/>
          <w:sz w:val="18"/>
          <w:szCs w:val="18"/>
          <w:color w:val="auto"/>
        </w:rPr>
        <w:t>Executive officer awards are subject to a relative TSR modifier, as outlined in the grid below. The number of shares to be paid will increase or decrease by 1 percent for every percentage point Lilly's three-year TSR deviates from our peer group's median three-year TSR, capped at 20 percent.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1111250</wp:posOffset>
            </wp:positionH>
            <wp:positionV relativeFrom="paragraph">
              <wp:posOffset>180340</wp:posOffset>
            </wp:positionV>
            <wp:extent cx="5042535" cy="140652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042535" cy="1406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Special Retention Restricted Stock Unit Grant</w:t>
      </w:r>
    </w:p>
    <w:p>
      <w:pPr>
        <w:spacing w:after="0" w:line="50"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Compensation Committee approved a special retention grant of $ 3 million in restricted stock units for Enrique Conterno, Senior Vice President and President, Lilly Diabetes and President, Lilly USA. This type of award is rare at Lilly—we have not delivered a special grant to an executive officer (other than an external hire) in a number of years. Mr. Conterno is a talented leader who built the diabetes business into our largest franchise and accepted the additional responsibility as head of Lilly USA. His leadership of diabetes and across the enterprise is critical to delivering on our strategy under our new Chairman and CEO. In particular, we value the continuity of his leadership in a time of significant transition at the company. The award has a four-year vesting period, and it will be forfeited if Mr. Conterno resigns or retires from the company prior to December 11, 2021.</w:t>
      </w:r>
    </w:p>
    <w:p>
      <w:pPr>
        <w:spacing w:after="0" w:line="259" w:lineRule="exact"/>
        <w:rPr>
          <w:sz w:val="20"/>
          <w:szCs w:val="20"/>
          <w:color w:val="auto"/>
        </w:rPr>
      </w:pPr>
    </w:p>
    <w:p>
      <w:pPr>
        <w:spacing w:after="0"/>
        <w:rPr>
          <w:sz w:val="20"/>
          <w:szCs w:val="20"/>
          <w:color w:val="auto"/>
        </w:rPr>
      </w:pPr>
      <w:r>
        <w:rPr>
          <w:rFonts w:ascii="Arial" w:cs="Arial" w:eastAsia="Arial" w:hAnsi="Arial"/>
          <w:sz w:val="25"/>
          <w:szCs w:val="25"/>
          <w:b w:val="1"/>
          <w:bCs w:val="1"/>
          <w:color w:val="FF0000"/>
        </w:rPr>
        <w:t>2017 Compensation Payouts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22"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The information in this section reflects the amounts paid to named executive officers for the annual cash bonus and for equity awards granted in prior years for which the relevant performance period ended in 2017.</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Company Performance</w:t>
      </w:r>
    </w:p>
    <w:p>
      <w:pPr>
        <w:spacing w:after="0" w:line="8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2017 we exceeded both our annual revenue and EPS targets. We also made significant progress on our pipeline, meeting or exceeding all of our pipeline targets. Key pipeline highlights include first regulatory approval for Verzenio and Olumiant, along with nine other new approvals, indications, or line extensions.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Annual Cash Bonus</w:t>
      </w:r>
    </w:p>
    <w:p>
      <w:pPr>
        <w:spacing w:after="0" w:line="85"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The company's performance compared to targets for revenue, EPS, and pipeline progress, as well as the resulting bonus multiple, is illustrated below.</w:t>
      </w: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P43</w:t>
      </w:r>
    </w:p>
    <w:p>
      <w:pPr>
        <w:sectPr>
          <w:pgSz w:w="11900" w:h="16838" w:orient="portrait"/>
          <w:cols w:equalWidth="0" w:num="1">
            <w:col w:w="11420"/>
          </w:cols>
          <w:pgMar w:left="240" w:top="768" w:right="239" w:bottom="1440" w:gutter="0" w:footer="0" w:header="0"/>
        </w:sectPr>
      </w:pPr>
    </w:p>
    <w:bookmarkStart w:id="47" w:name="page48"/>
    <w:bookmarkEnd w:id="47"/>
    <w:tbl>
      <w:tblPr>
        <w:tblLayout w:type="fixed"/>
        <w:tblInd w:w="1170" w:type="dxa"/>
        <w:tblCellMar>
          <w:top w:w="0" w:type="dxa"/>
          <w:left w:w="0" w:type="dxa"/>
          <w:bottom w:w="0" w:type="dxa"/>
          <w:right w:w="0" w:type="dxa"/>
        </w:tblCellMar>
      </w:tblPr>
      <w:tr>
        <w:trPr>
          <w:trHeight w:val="264"/>
        </w:trPr>
        <w:tc>
          <w:tcPr>
            <w:tcW w:w="2300" w:type="dxa"/>
            <w:vAlign w:val="bottom"/>
            <w:tcBorders>
              <w:bottom w:val="single" w:sz="8" w:color="auto"/>
              <w:right w:val="single" w:sz="8" w:color="auto"/>
            </w:tcBorders>
          </w:tcPr>
          <w:p>
            <w:pPr>
              <w:spacing w:after="0"/>
              <w:rPr>
                <w:sz w:val="22"/>
                <w:szCs w:val="22"/>
                <w:color w:val="auto"/>
              </w:rPr>
            </w:pPr>
          </w:p>
        </w:tc>
        <w:tc>
          <w:tcPr>
            <w:tcW w:w="2280" w:type="dxa"/>
            <w:vAlign w:val="bottom"/>
            <w:tcBorders>
              <w:top w:val="single" w:sz="8" w:color="auto"/>
              <w:bottom w:val="single" w:sz="8" w:color="auto"/>
              <w:right w:val="single" w:sz="8" w:color="auto"/>
            </w:tcBorders>
            <w:shd w:val="clear" w:color="auto" w:fill="E5E5E5"/>
          </w:tcPr>
          <w:p>
            <w:pPr>
              <w:jc w:val="center"/>
              <w:spacing w:after="0"/>
              <w:rPr>
                <w:sz w:val="20"/>
                <w:szCs w:val="20"/>
                <w:color w:val="auto"/>
              </w:rPr>
            </w:pPr>
            <w:r>
              <w:rPr>
                <w:rFonts w:ascii="Arial" w:cs="Arial" w:eastAsia="Arial" w:hAnsi="Arial"/>
                <w:sz w:val="18"/>
                <w:szCs w:val="18"/>
                <w:b w:val="1"/>
                <w:bCs w:val="1"/>
                <w:color w:val="auto"/>
                <w:w w:val="98"/>
              </w:rPr>
              <w:t>2017 Corporate Target</w:t>
            </w:r>
          </w:p>
        </w:tc>
        <w:tc>
          <w:tcPr>
            <w:tcW w:w="2280" w:type="dxa"/>
            <w:vAlign w:val="bottom"/>
            <w:tcBorders>
              <w:top w:val="single" w:sz="8" w:color="auto"/>
              <w:bottom w:val="single" w:sz="8" w:color="auto"/>
              <w:right w:val="single" w:sz="8" w:color="auto"/>
            </w:tcBorders>
            <w:shd w:val="clear" w:color="auto" w:fill="E5E5E5"/>
          </w:tcPr>
          <w:p>
            <w:pPr>
              <w:jc w:val="center"/>
              <w:spacing w:after="0"/>
              <w:rPr>
                <w:sz w:val="20"/>
                <w:szCs w:val="20"/>
                <w:color w:val="auto"/>
              </w:rPr>
            </w:pPr>
            <w:r>
              <w:rPr>
                <w:rFonts w:ascii="Arial" w:cs="Arial" w:eastAsia="Arial" w:hAnsi="Arial"/>
                <w:sz w:val="18"/>
                <w:szCs w:val="18"/>
                <w:b w:val="1"/>
                <w:bCs w:val="1"/>
                <w:color w:val="auto"/>
                <w:w w:val="99"/>
              </w:rPr>
              <w:t>Adjusted Results*</w:t>
            </w:r>
          </w:p>
        </w:tc>
        <w:tc>
          <w:tcPr>
            <w:tcW w:w="2280" w:type="dxa"/>
            <w:vAlign w:val="bottom"/>
            <w:tcBorders>
              <w:top w:val="single" w:sz="8" w:color="auto"/>
              <w:bottom w:val="single" w:sz="8" w:color="auto"/>
              <w:right w:val="single" w:sz="8" w:color="auto"/>
            </w:tcBorders>
            <w:shd w:val="clear" w:color="auto" w:fill="DDDDDD"/>
          </w:tcPr>
          <w:p>
            <w:pPr>
              <w:jc w:val="center"/>
              <w:spacing w:after="0"/>
              <w:rPr>
                <w:sz w:val="20"/>
                <w:szCs w:val="20"/>
                <w:color w:val="auto"/>
              </w:rPr>
            </w:pPr>
            <w:r>
              <w:rPr>
                <w:rFonts w:ascii="Arial" w:cs="Arial" w:eastAsia="Arial" w:hAnsi="Arial"/>
                <w:sz w:val="18"/>
                <w:szCs w:val="18"/>
                <w:b w:val="1"/>
                <w:bCs w:val="1"/>
                <w:color w:val="auto"/>
                <w:w w:val="99"/>
              </w:rPr>
              <w:t>Multiple</w:t>
            </w:r>
          </w:p>
        </w:tc>
      </w:tr>
      <w:tr>
        <w:trPr>
          <w:trHeight w:val="250"/>
        </w:trPr>
        <w:tc>
          <w:tcPr>
            <w:tcW w:w="23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Revenue</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$22.3 billion</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$22.9 billion</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1.30</w:t>
            </w:r>
          </w:p>
        </w:tc>
      </w:tr>
      <w:tr>
        <w:trPr>
          <w:trHeight w:val="250"/>
        </w:trPr>
        <w:tc>
          <w:tcPr>
            <w:tcW w:w="23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EPS</w:t>
            </w:r>
          </w:p>
        </w:tc>
        <w:tc>
          <w:tcPr>
            <w:tcW w:w="2280" w:type="dxa"/>
            <w:vAlign w:val="bottom"/>
            <w:tcBorders>
              <w:bottom w:val="single" w:sz="8" w:color="auto"/>
              <w:right w:val="single" w:sz="8" w:color="auto"/>
            </w:tcBorders>
          </w:tcPr>
          <w:p>
            <w:pPr>
              <w:jc w:val="right"/>
              <w:ind w:right="850"/>
              <w:spacing w:after="0"/>
              <w:rPr>
                <w:sz w:val="20"/>
                <w:szCs w:val="20"/>
                <w:color w:val="auto"/>
              </w:rPr>
            </w:pPr>
            <w:r>
              <w:rPr>
                <w:rFonts w:ascii="Arial" w:cs="Arial" w:eastAsia="Arial" w:hAnsi="Arial"/>
                <w:sz w:val="18"/>
                <w:szCs w:val="18"/>
                <w:color w:val="auto"/>
              </w:rPr>
              <w:t>$4.15</w:t>
            </w:r>
          </w:p>
        </w:tc>
        <w:tc>
          <w:tcPr>
            <w:tcW w:w="2280" w:type="dxa"/>
            <w:vAlign w:val="bottom"/>
            <w:tcBorders>
              <w:bottom w:val="single" w:sz="8" w:color="auto"/>
              <w:right w:val="single" w:sz="8" w:color="auto"/>
            </w:tcBorders>
          </w:tcPr>
          <w:p>
            <w:pPr>
              <w:jc w:val="right"/>
              <w:ind w:right="850"/>
              <w:spacing w:after="0"/>
              <w:rPr>
                <w:sz w:val="20"/>
                <w:szCs w:val="20"/>
                <w:color w:val="auto"/>
              </w:rPr>
            </w:pPr>
            <w:r>
              <w:rPr>
                <w:rFonts w:ascii="Arial" w:cs="Arial" w:eastAsia="Arial" w:hAnsi="Arial"/>
                <w:sz w:val="18"/>
                <w:szCs w:val="18"/>
                <w:color w:val="auto"/>
              </w:rPr>
              <w:t>$4.28</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1.37</w:t>
            </w:r>
          </w:p>
        </w:tc>
      </w:tr>
      <w:tr>
        <w:trPr>
          <w:trHeight w:val="250"/>
        </w:trPr>
        <w:tc>
          <w:tcPr>
            <w:tcW w:w="23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Pipeline score</w:t>
            </w:r>
          </w:p>
        </w:tc>
        <w:tc>
          <w:tcPr>
            <w:tcW w:w="2280" w:type="dxa"/>
            <w:vAlign w:val="bottom"/>
            <w:tcBorders>
              <w:bottom w:val="single" w:sz="8" w:color="auto"/>
              <w:right w:val="single" w:sz="8" w:color="auto"/>
            </w:tcBorders>
          </w:tcPr>
          <w:p>
            <w:pPr>
              <w:jc w:val="right"/>
              <w:ind w:right="890"/>
              <w:spacing w:after="0"/>
              <w:rPr>
                <w:sz w:val="20"/>
                <w:szCs w:val="20"/>
                <w:color w:val="auto"/>
              </w:rPr>
            </w:pPr>
            <w:r>
              <w:rPr>
                <w:rFonts w:ascii="Arial" w:cs="Arial" w:eastAsia="Arial" w:hAnsi="Arial"/>
                <w:sz w:val="18"/>
                <w:szCs w:val="18"/>
                <w:color w:val="auto"/>
              </w:rPr>
              <w:t>3.00</w:t>
            </w:r>
          </w:p>
        </w:tc>
        <w:tc>
          <w:tcPr>
            <w:tcW w:w="2280" w:type="dxa"/>
            <w:vAlign w:val="bottom"/>
            <w:tcBorders>
              <w:bottom w:val="single" w:sz="8" w:color="auto"/>
              <w:right w:val="single" w:sz="8" w:color="auto"/>
            </w:tcBorders>
          </w:tcPr>
          <w:p>
            <w:pPr>
              <w:jc w:val="right"/>
              <w:ind w:right="890"/>
              <w:spacing w:after="0"/>
              <w:rPr>
                <w:sz w:val="20"/>
                <w:szCs w:val="20"/>
                <w:color w:val="auto"/>
              </w:rPr>
            </w:pPr>
            <w:r>
              <w:rPr>
                <w:rFonts w:ascii="Arial" w:cs="Arial" w:eastAsia="Arial" w:hAnsi="Arial"/>
                <w:sz w:val="18"/>
                <w:szCs w:val="18"/>
                <w:color w:val="auto"/>
              </w:rPr>
              <w:t>3.65</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1.33</w:t>
            </w:r>
          </w:p>
        </w:tc>
      </w:tr>
      <w:tr>
        <w:trPr>
          <w:trHeight w:val="250"/>
        </w:trPr>
        <w:tc>
          <w:tcPr>
            <w:tcW w:w="23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Resulting Bonus Multiple</w:t>
            </w:r>
          </w:p>
        </w:tc>
        <w:tc>
          <w:tcPr>
            <w:tcW w:w="2280" w:type="dxa"/>
            <w:vAlign w:val="bottom"/>
            <w:tcBorders>
              <w:bottom w:val="single" w:sz="8" w:color="auto"/>
            </w:tcBorders>
          </w:tcPr>
          <w:p>
            <w:pPr>
              <w:spacing w:after="0"/>
              <w:rPr>
                <w:sz w:val="21"/>
                <w:szCs w:val="21"/>
                <w:color w:val="auto"/>
              </w:rPr>
            </w:pPr>
          </w:p>
        </w:tc>
        <w:tc>
          <w:tcPr>
            <w:tcW w:w="2280" w:type="dxa"/>
            <w:vAlign w:val="bottom"/>
            <w:tcBorders>
              <w:bottom w:val="single" w:sz="8" w:color="auto"/>
              <w:right w:val="single" w:sz="8" w:color="auto"/>
            </w:tcBorders>
          </w:tcPr>
          <w:p>
            <w:pPr>
              <w:spacing w:after="0"/>
              <w:rPr>
                <w:sz w:val="21"/>
                <w:szCs w:val="21"/>
                <w:color w:val="auto"/>
              </w:rPr>
            </w:pP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1.34</w:t>
            </w:r>
          </w:p>
        </w:tc>
      </w:tr>
    </w:tbl>
    <w:p>
      <w:pPr>
        <w:spacing w:after="0" w:line="21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*See Appendix A, “Summary of Adjustments Related to the Annual Cash Bonus and Performance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280670</wp:posOffset>
            </wp:positionV>
            <wp:extent cx="5368290" cy="22809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368290" cy="2280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The Science and Technology Committee's assessment of the company's progress toward achieving product pipeline goals is detailed below:</w:t>
      </w:r>
    </w:p>
    <w:p>
      <w:pPr>
        <w:spacing w:after="0" w:line="341" w:lineRule="exact"/>
        <w:rPr>
          <w:sz w:val="20"/>
          <w:szCs w:val="20"/>
          <w:color w:val="auto"/>
        </w:rPr>
      </w:pPr>
    </w:p>
    <w:tbl>
      <w:tblPr>
        <w:tblLayout w:type="fixed"/>
        <w:tblInd w:w="210" w:type="dxa"/>
        <w:tblCellMar>
          <w:top w:w="0" w:type="dxa"/>
          <w:left w:w="0" w:type="dxa"/>
          <w:bottom w:w="0" w:type="dxa"/>
          <w:right w:w="0" w:type="dxa"/>
        </w:tblCellMar>
      </w:tblPr>
      <w:tr>
        <w:trPr>
          <w:trHeight w:val="264"/>
        </w:trPr>
        <w:tc>
          <w:tcPr>
            <w:tcW w:w="3440" w:type="dxa"/>
            <w:vAlign w:val="bottom"/>
            <w:tcBorders>
              <w:top w:val="single" w:sz="8" w:color="auto"/>
              <w:left w:val="single" w:sz="8" w:color="auto"/>
              <w:bottom w:val="single" w:sz="8" w:color="auto"/>
              <w:right w:val="single" w:sz="8" w:color="auto"/>
            </w:tcBorders>
            <w:shd w:val="clear" w:color="auto" w:fill="DDDDDD"/>
          </w:tcPr>
          <w:p>
            <w:pPr>
              <w:ind w:left="1380"/>
              <w:spacing w:after="0"/>
              <w:rPr>
                <w:sz w:val="20"/>
                <w:szCs w:val="20"/>
                <w:color w:val="auto"/>
              </w:rPr>
            </w:pPr>
            <w:r>
              <w:rPr>
                <w:rFonts w:ascii="Arial" w:cs="Arial" w:eastAsia="Arial" w:hAnsi="Arial"/>
                <w:sz w:val="18"/>
                <w:szCs w:val="18"/>
                <w:b w:val="1"/>
                <w:bCs w:val="1"/>
                <w:color w:val="auto"/>
              </w:rPr>
              <w:t>Activity</w:t>
            </w:r>
          </w:p>
        </w:tc>
        <w:tc>
          <w:tcPr>
            <w:tcW w:w="3440" w:type="dxa"/>
            <w:vAlign w:val="bottom"/>
            <w:tcBorders>
              <w:top w:val="single" w:sz="8" w:color="auto"/>
              <w:bottom w:val="single" w:sz="8" w:color="auto"/>
              <w:right w:val="single" w:sz="8" w:color="auto"/>
            </w:tcBorders>
            <w:shd w:val="clear" w:color="auto" w:fill="DDDDDD"/>
          </w:tcPr>
          <w:p>
            <w:pPr>
              <w:jc w:val="center"/>
              <w:spacing w:after="0"/>
              <w:rPr>
                <w:sz w:val="20"/>
                <w:szCs w:val="20"/>
                <w:color w:val="auto"/>
              </w:rPr>
            </w:pPr>
            <w:r>
              <w:rPr>
                <w:rFonts w:ascii="Arial" w:cs="Arial" w:eastAsia="Arial" w:hAnsi="Arial"/>
                <w:sz w:val="18"/>
                <w:szCs w:val="18"/>
                <w:b w:val="1"/>
                <w:bCs w:val="1"/>
                <w:color w:val="auto"/>
                <w:w w:val="98"/>
              </w:rPr>
              <w:t>Objective</w:t>
            </w:r>
          </w:p>
        </w:tc>
        <w:tc>
          <w:tcPr>
            <w:tcW w:w="4180" w:type="dxa"/>
            <w:vAlign w:val="bottom"/>
            <w:tcBorders>
              <w:top w:val="single" w:sz="8" w:color="auto"/>
              <w:bottom w:val="single" w:sz="8" w:color="auto"/>
              <w:right w:val="single" w:sz="8" w:color="auto"/>
            </w:tcBorders>
            <w:shd w:val="clear" w:color="auto" w:fill="DDDDDD"/>
          </w:tcPr>
          <w:p>
            <w:pPr>
              <w:jc w:val="center"/>
              <w:spacing w:after="0"/>
              <w:rPr>
                <w:sz w:val="20"/>
                <w:szCs w:val="20"/>
                <w:color w:val="auto"/>
              </w:rPr>
            </w:pPr>
            <w:r>
              <w:rPr>
                <w:rFonts w:ascii="Arial" w:cs="Arial" w:eastAsia="Arial" w:hAnsi="Arial"/>
                <w:sz w:val="18"/>
                <w:szCs w:val="18"/>
                <w:b w:val="1"/>
                <w:bCs w:val="1"/>
                <w:color w:val="auto"/>
                <w:w w:val="99"/>
              </w:rPr>
              <w:t>Achievement</w:t>
            </w:r>
          </w:p>
        </w:tc>
        <w:tc>
          <w:tcPr>
            <w:tcW w:w="0" w:type="dxa"/>
            <w:vAlign w:val="bottom"/>
          </w:tcPr>
          <w:p>
            <w:pPr>
              <w:spacing w:after="0"/>
              <w:rPr>
                <w:sz w:val="1"/>
                <w:szCs w:val="1"/>
                <w:color w:val="auto"/>
              </w:rPr>
            </w:pPr>
          </w:p>
        </w:tc>
      </w:tr>
      <w:tr>
        <w:trPr>
          <w:trHeight w:val="229"/>
        </w:trPr>
        <w:tc>
          <w:tcPr>
            <w:tcW w:w="34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Approvals</w:t>
            </w:r>
          </w:p>
        </w:tc>
        <w:tc>
          <w:tcPr>
            <w:tcW w:w="3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 new drug first approval</w:t>
            </w:r>
          </w:p>
        </w:tc>
        <w:tc>
          <w:tcPr>
            <w:tcW w:w="4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 new drug first approvals</w:t>
            </w:r>
          </w:p>
        </w:tc>
        <w:tc>
          <w:tcPr>
            <w:tcW w:w="0" w:type="dxa"/>
            <w:vAlign w:val="bottom"/>
          </w:tcPr>
          <w:p>
            <w:pPr>
              <w:spacing w:after="0"/>
              <w:rPr>
                <w:sz w:val="1"/>
                <w:szCs w:val="1"/>
                <w:color w:val="auto"/>
              </w:rPr>
            </w:pPr>
          </w:p>
        </w:tc>
      </w:tr>
      <w:tr>
        <w:trPr>
          <w:trHeight w:val="109"/>
        </w:trPr>
        <w:tc>
          <w:tcPr>
            <w:tcW w:w="3440" w:type="dxa"/>
            <w:vAlign w:val="bottom"/>
            <w:tcBorders>
              <w:left w:val="single" w:sz="8" w:color="auto"/>
              <w:right w:val="single" w:sz="8" w:color="auto"/>
            </w:tcBorders>
            <w:vMerge w:val="continue"/>
          </w:tcPr>
          <w:p>
            <w:pPr>
              <w:spacing w:after="0"/>
              <w:rPr>
                <w:sz w:val="9"/>
                <w:szCs w:val="9"/>
                <w:color w:val="auto"/>
              </w:rPr>
            </w:pPr>
          </w:p>
        </w:tc>
        <w:tc>
          <w:tcPr>
            <w:tcW w:w="3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9 other approvals</w:t>
            </w:r>
          </w:p>
        </w:tc>
        <w:tc>
          <w:tcPr>
            <w:tcW w:w="4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9 other approvals</w:t>
            </w:r>
          </w:p>
        </w:tc>
        <w:tc>
          <w:tcPr>
            <w:tcW w:w="0" w:type="dxa"/>
            <w:vAlign w:val="bottom"/>
          </w:tcPr>
          <w:p>
            <w:pPr>
              <w:spacing w:after="0"/>
              <w:rPr>
                <w:sz w:val="1"/>
                <w:szCs w:val="1"/>
                <w:color w:val="auto"/>
              </w:rPr>
            </w:pPr>
          </w:p>
        </w:tc>
      </w:tr>
      <w:tr>
        <w:trPr>
          <w:trHeight w:val="115"/>
        </w:trPr>
        <w:tc>
          <w:tcPr>
            <w:tcW w:w="3440" w:type="dxa"/>
            <w:vAlign w:val="bottom"/>
            <w:tcBorders>
              <w:left w:val="single" w:sz="8" w:color="auto"/>
              <w:bottom w:val="single" w:sz="8" w:color="auto"/>
              <w:right w:val="single" w:sz="8" w:color="auto"/>
            </w:tcBorders>
          </w:tcPr>
          <w:p>
            <w:pPr>
              <w:spacing w:after="0"/>
              <w:rPr>
                <w:sz w:val="10"/>
                <w:szCs w:val="10"/>
                <w:color w:val="auto"/>
              </w:rPr>
            </w:pPr>
          </w:p>
        </w:tc>
        <w:tc>
          <w:tcPr>
            <w:tcW w:w="3440" w:type="dxa"/>
            <w:vAlign w:val="bottom"/>
            <w:tcBorders>
              <w:bottom w:val="single" w:sz="8" w:color="auto"/>
              <w:right w:val="single" w:sz="8" w:color="auto"/>
            </w:tcBorders>
            <w:vMerge w:val="continue"/>
          </w:tcPr>
          <w:p>
            <w:pPr>
              <w:spacing w:after="0"/>
              <w:rPr>
                <w:sz w:val="10"/>
                <w:szCs w:val="10"/>
                <w:color w:val="auto"/>
              </w:rPr>
            </w:pPr>
          </w:p>
        </w:tc>
        <w:tc>
          <w:tcPr>
            <w:tcW w:w="418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34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Potential new drug Phase 3 starts</w:t>
            </w:r>
          </w:p>
        </w:tc>
        <w:tc>
          <w:tcPr>
            <w:tcW w:w="3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w:t>
            </w:r>
          </w:p>
        </w:tc>
        <w:tc>
          <w:tcPr>
            <w:tcW w:w="4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50"/>
        </w:trPr>
        <w:tc>
          <w:tcPr>
            <w:tcW w:w="34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Potential new drug Phase 1 starts</w:t>
            </w:r>
          </w:p>
        </w:tc>
        <w:tc>
          <w:tcPr>
            <w:tcW w:w="3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9-10</w:t>
            </w:r>
          </w:p>
        </w:tc>
        <w:tc>
          <w:tcPr>
            <w:tcW w:w="4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11</w:t>
            </w:r>
          </w:p>
        </w:tc>
        <w:tc>
          <w:tcPr>
            <w:tcW w:w="0" w:type="dxa"/>
            <w:vAlign w:val="bottom"/>
          </w:tcPr>
          <w:p>
            <w:pPr>
              <w:spacing w:after="0"/>
              <w:rPr>
                <w:sz w:val="1"/>
                <w:szCs w:val="1"/>
                <w:color w:val="auto"/>
              </w:rPr>
            </w:pPr>
          </w:p>
        </w:tc>
      </w:tr>
      <w:tr>
        <w:trPr>
          <w:trHeight w:val="229"/>
        </w:trPr>
        <w:tc>
          <w:tcPr>
            <w:tcW w:w="3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Potential new indication or line extension</w:t>
            </w:r>
          </w:p>
        </w:tc>
        <w:tc>
          <w:tcPr>
            <w:tcW w:w="3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2</w:t>
            </w:r>
          </w:p>
        </w:tc>
        <w:tc>
          <w:tcPr>
            <w:tcW w:w="4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109"/>
        </w:trPr>
        <w:tc>
          <w:tcPr>
            <w:tcW w:w="34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Phase 3 starts</w:t>
            </w:r>
          </w:p>
        </w:tc>
        <w:tc>
          <w:tcPr>
            <w:tcW w:w="3440" w:type="dxa"/>
            <w:vAlign w:val="bottom"/>
            <w:tcBorders>
              <w:right w:val="single" w:sz="8" w:color="auto"/>
            </w:tcBorders>
            <w:vMerge w:val="continue"/>
          </w:tcPr>
          <w:p>
            <w:pPr>
              <w:spacing w:after="0"/>
              <w:rPr>
                <w:sz w:val="9"/>
                <w:szCs w:val="9"/>
                <w:color w:val="auto"/>
              </w:rPr>
            </w:pPr>
          </w:p>
        </w:tc>
        <w:tc>
          <w:tcPr>
            <w:tcW w:w="41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344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3440" w:type="dxa"/>
            <w:vAlign w:val="bottom"/>
            <w:tcBorders>
              <w:bottom w:val="single" w:sz="8" w:color="auto"/>
              <w:right w:val="single" w:sz="8" w:color="auto"/>
            </w:tcBorders>
          </w:tcPr>
          <w:p>
            <w:pPr>
              <w:spacing w:after="0"/>
              <w:rPr>
                <w:sz w:val="10"/>
                <w:szCs w:val="10"/>
                <w:color w:val="auto"/>
              </w:rPr>
            </w:pPr>
          </w:p>
        </w:tc>
        <w:tc>
          <w:tcPr>
            <w:tcW w:w="41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34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Plan Boldly</w:t>
            </w:r>
          </w:p>
        </w:tc>
        <w:tc>
          <w:tcPr>
            <w:tcW w:w="3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Meet industry benchmark for speed of</w:t>
            </w:r>
          </w:p>
        </w:tc>
        <w:tc>
          <w:tcPr>
            <w:tcW w:w="4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Plans exceeded industry benchmark</w:t>
            </w:r>
          </w:p>
        </w:tc>
        <w:tc>
          <w:tcPr>
            <w:tcW w:w="0" w:type="dxa"/>
            <w:vAlign w:val="bottom"/>
          </w:tcPr>
          <w:p>
            <w:pPr>
              <w:spacing w:after="0"/>
              <w:rPr>
                <w:sz w:val="1"/>
                <w:szCs w:val="1"/>
                <w:color w:val="auto"/>
              </w:rPr>
            </w:pPr>
          </w:p>
        </w:tc>
      </w:tr>
      <w:tr>
        <w:trPr>
          <w:trHeight w:val="109"/>
        </w:trPr>
        <w:tc>
          <w:tcPr>
            <w:tcW w:w="3440" w:type="dxa"/>
            <w:vAlign w:val="bottom"/>
            <w:tcBorders>
              <w:left w:val="single" w:sz="8" w:color="auto"/>
              <w:right w:val="single" w:sz="8" w:color="auto"/>
            </w:tcBorders>
            <w:vMerge w:val="continue"/>
          </w:tcPr>
          <w:p>
            <w:pPr>
              <w:spacing w:after="0"/>
              <w:rPr>
                <w:sz w:val="9"/>
                <w:szCs w:val="9"/>
                <w:color w:val="auto"/>
              </w:rPr>
            </w:pPr>
          </w:p>
        </w:tc>
        <w:tc>
          <w:tcPr>
            <w:tcW w:w="3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development</w:t>
            </w:r>
          </w:p>
        </w:tc>
        <w:tc>
          <w:tcPr>
            <w:tcW w:w="41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3440" w:type="dxa"/>
            <w:vAlign w:val="bottom"/>
            <w:tcBorders>
              <w:left w:val="single" w:sz="8" w:color="auto"/>
              <w:bottom w:val="single" w:sz="8" w:color="auto"/>
              <w:right w:val="single" w:sz="8" w:color="auto"/>
            </w:tcBorders>
          </w:tcPr>
          <w:p>
            <w:pPr>
              <w:spacing w:after="0"/>
              <w:rPr>
                <w:sz w:val="10"/>
                <w:szCs w:val="10"/>
                <w:color w:val="auto"/>
              </w:rPr>
            </w:pPr>
          </w:p>
        </w:tc>
        <w:tc>
          <w:tcPr>
            <w:tcW w:w="3440" w:type="dxa"/>
            <w:vAlign w:val="bottom"/>
            <w:tcBorders>
              <w:bottom w:val="single" w:sz="8" w:color="auto"/>
              <w:right w:val="single" w:sz="8" w:color="auto"/>
            </w:tcBorders>
            <w:vMerge w:val="continue"/>
          </w:tcPr>
          <w:p>
            <w:pPr>
              <w:spacing w:after="0"/>
              <w:rPr>
                <w:sz w:val="10"/>
                <w:szCs w:val="10"/>
                <w:color w:val="auto"/>
              </w:rPr>
            </w:pPr>
          </w:p>
        </w:tc>
        <w:tc>
          <w:tcPr>
            <w:tcW w:w="41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34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Deliver to Launch</w:t>
            </w:r>
          </w:p>
        </w:tc>
        <w:tc>
          <w:tcPr>
            <w:tcW w:w="3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Meet planned project timelines</w:t>
            </w:r>
          </w:p>
        </w:tc>
        <w:tc>
          <w:tcPr>
            <w:tcW w:w="4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Delivered faster than project plans</w:t>
            </w:r>
          </w:p>
        </w:tc>
        <w:tc>
          <w:tcPr>
            <w:tcW w:w="0" w:type="dxa"/>
            <w:vAlign w:val="bottom"/>
          </w:tcPr>
          <w:p>
            <w:pPr>
              <w:spacing w:after="0"/>
              <w:rPr>
                <w:sz w:val="1"/>
                <w:szCs w:val="1"/>
                <w:color w:val="auto"/>
              </w:rPr>
            </w:pPr>
          </w:p>
        </w:tc>
      </w:tr>
      <w:tr>
        <w:trPr>
          <w:trHeight w:val="250"/>
        </w:trPr>
        <w:tc>
          <w:tcPr>
            <w:tcW w:w="34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Qualitative Assessment</w:t>
            </w:r>
          </w:p>
        </w:tc>
        <w:tc>
          <w:tcPr>
            <w:tcW w:w="762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Chief scientific officer's assessment of performance against strategic objectives</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Based on the recommendation of the Science and Technology Committee, the Compensation Committee certified a pipeline score of 3.65, resulting in a pipeline multiple of 1.33.</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When combined, the revenue, EPS, and pipeline multiples yielded a bonus multiple of 1.34.</w:t>
      </w:r>
    </w:p>
    <w:p>
      <w:pPr>
        <w:spacing w:after="0" w:line="149"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(0.25 x 1.30) + (0.50 x 1.37) + (0.25 x 1.33) = 1.34 bonus multiple</w:t>
      </w:r>
    </w:p>
    <w:p>
      <w:pPr>
        <w:spacing w:after="0" w:line="27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P44</w:t>
      </w:r>
    </w:p>
    <w:p>
      <w:pPr>
        <w:sectPr>
          <w:pgSz w:w="11900" w:h="16838" w:orient="portrait"/>
          <w:cols w:equalWidth="0" w:num="1">
            <w:col w:w="11420"/>
          </w:cols>
          <w:pgMar w:left="240" w:top="714"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t>The cash bonus amounts paid to named executive officers for 2017 are reflected in the Summary Compensation Table.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2016-2018 Performance Award</w:t>
      </w:r>
    </w:p>
    <w:p>
      <w:pPr>
        <w:spacing w:after="0" w:line="85"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The target cumulative EPS for the 2016-2018 performance award was set in the first quarter of 2016 reflecting expected industry growth of 7.0 percent each year over the two-year performance period of 2016-2017. The company's actual annual EPS growth for the two-year period was 7.0 percent. This outcome was largely driven by volume growth from our newer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266065</wp:posOffset>
            </wp:positionV>
            <wp:extent cx="5368290" cy="25126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368290" cy="2512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For the named executive officers, the number of shares earned and subject to an additional 13-month service-vesting period under the 2016-2018 performance award is reflected in the table below (this information is also included in footnote 5 to the "Outstanding Equity Awards" table in the "Executive Compensation" section below):</w:t>
      </w:r>
    </w:p>
    <w:p>
      <w:pPr>
        <w:spacing w:after="0" w:line="102" w:lineRule="exact"/>
        <w:rPr>
          <w:sz w:val="20"/>
          <w:szCs w:val="20"/>
          <w:color w:val="auto"/>
        </w:rPr>
      </w:pPr>
    </w:p>
    <w:tbl>
      <w:tblPr>
        <w:tblLayout w:type="fixed"/>
        <w:tblInd w:w="2810" w:type="dxa"/>
        <w:tblCellMar>
          <w:top w:w="0" w:type="dxa"/>
          <w:left w:w="0" w:type="dxa"/>
          <w:bottom w:w="0" w:type="dxa"/>
          <w:right w:w="0" w:type="dxa"/>
        </w:tblCellMar>
      </w:tblPr>
      <w:tr>
        <w:trPr>
          <w:trHeight w:val="224"/>
        </w:trPr>
        <w:tc>
          <w:tcPr>
            <w:tcW w:w="1800" w:type="dxa"/>
            <w:vAlign w:val="bottom"/>
            <w:tcBorders>
              <w:top w:val="single" w:sz="8" w:color="auto"/>
              <w:left w:val="single" w:sz="8" w:color="auto"/>
              <w:bottom w:val="single" w:sz="8" w:color="auto"/>
              <w:right w:val="single" w:sz="8" w:color="auto"/>
            </w:tcBorders>
            <w:shd w:val="clear" w:color="auto" w:fill="E5E5E5"/>
          </w:tcPr>
          <w:p>
            <w:pPr>
              <w:ind w:left="40"/>
              <w:spacing w:after="0"/>
              <w:rPr>
                <w:sz w:val="20"/>
                <w:szCs w:val="20"/>
                <w:color w:val="auto"/>
              </w:rPr>
            </w:pPr>
            <w:r>
              <w:rPr>
                <w:rFonts w:ascii="Arial" w:cs="Arial" w:eastAsia="Arial" w:hAnsi="Arial"/>
                <w:sz w:val="14"/>
                <w:szCs w:val="14"/>
                <w:b w:val="1"/>
                <w:bCs w:val="1"/>
                <w:color w:val="auto"/>
              </w:rPr>
              <w:t>Name</w:t>
            </w:r>
          </w:p>
        </w:tc>
        <w:tc>
          <w:tcPr>
            <w:tcW w:w="2180" w:type="dxa"/>
            <w:vAlign w:val="bottom"/>
            <w:tcBorders>
              <w:top w:val="single" w:sz="8" w:color="auto"/>
              <w:bottom w:val="single" w:sz="8" w:color="auto"/>
              <w:right w:val="single" w:sz="8" w:color="auto"/>
            </w:tcBorders>
            <w:shd w:val="clear" w:color="auto" w:fill="E5E5E5"/>
          </w:tcPr>
          <w:p>
            <w:pPr>
              <w:jc w:val="center"/>
              <w:spacing w:after="0"/>
              <w:rPr>
                <w:sz w:val="20"/>
                <w:szCs w:val="20"/>
                <w:color w:val="auto"/>
              </w:rPr>
            </w:pPr>
            <w:r>
              <w:rPr>
                <w:rFonts w:ascii="Arial" w:cs="Arial" w:eastAsia="Arial" w:hAnsi="Arial"/>
                <w:sz w:val="14"/>
                <w:szCs w:val="14"/>
                <w:b w:val="1"/>
                <w:bCs w:val="1"/>
                <w:color w:val="auto"/>
              </w:rPr>
              <w:t>Target Shares</w:t>
            </w:r>
          </w:p>
        </w:tc>
        <w:tc>
          <w:tcPr>
            <w:tcW w:w="1880" w:type="dxa"/>
            <w:vAlign w:val="bottom"/>
            <w:tcBorders>
              <w:top w:val="single" w:sz="8" w:color="auto"/>
              <w:bottom w:val="single" w:sz="8" w:color="auto"/>
              <w:right w:val="single" w:sz="8" w:color="auto"/>
            </w:tcBorders>
            <w:shd w:val="clear" w:color="auto" w:fill="E5E5E5"/>
          </w:tcPr>
          <w:p>
            <w:pPr>
              <w:jc w:val="center"/>
              <w:spacing w:after="0"/>
              <w:rPr>
                <w:sz w:val="20"/>
                <w:szCs w:val="20"/>
                <w:color w:val="auto"/>
              </w:rPr>
            </w:pPr>
            <w:r>
              <w:rPr>
                <w:rFonts w:ascii="Arial" w:cs="Arial" w:eastAsia="Arial" w:hAnsi="Arial"/>
                <w:sz w:val="14"/>
                <w:szCs w:val="14"/>
                <w:b w:val="1"/>
                <w:bCs w:val="1"/>
                <w:color w:val="auto"/>
              </w:rPr>
              <w:t>RSUs Earned</w:t>
            </w:r>
          </w:p>
        </w:tc>
      </w:tr>
      <w:tr>
        <w:trPr>
          <w:trHeight w:val="210"/>
        </w:trPr>
        <w:tc>
          <w:tcPr>
            <w:tcW w:w="18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Mr. Ricks</w:t>
            </w:r>
          </w:p>
        </w:tc>
        <w:tc>
          <w:tcPr>
            <w:tcW w:w="2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N/A</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N/A</w:t>
            </w:r>
          </w:p>
        </w:tc>
      </w:tr>
      <w:tr>
        <w:trPr>
          <w:trHeight w:val="210"/>
        </w:trPr>
        <w:tc>
          <w:tcPr>
            <w:tcW w:w="18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Mr. Conterno</w:t>
            </w:r>
          </w:p>
        </w:tc>
        <w:tc>
          <w:tcPr>
            <w:tcW w:w="2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12,222</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12,222</w:t>
            </w:r>
          </w:p>
        </w:tc>
      </w:tr>
      <w:tr>
        <w:trPr>
          <w:trHeight w:val="210"/>
        </w:trPr>
        <w:tc>
          <w:tcPr>
            <w:tcW w:w="18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Mr. Rice (retired)</w:t>
            </w:r>
          </w:p>
        </w:tc>
        <w:tc>
          <w:tcPr>
            <w:tcW w:w="2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21,111</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21,111</w:t>
            </w:r>
          </w:p>
        </w:tc>
      </w:tr>
      <w:tr>
        <w:trPr>
          <w:trHeight w:val="210"/>
        </w:trPr>
        <w:tc>
          <w:tcPr>
            <w:tcW w:w="18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Dr. Lundberg</w:t>
            </w:r>
          </w:p>
        </w:tc>
        <w:tc>
          <w:tcPr>
            <w:tcW w:w="2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20,000</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20,000</w:t>
            </w:r>
          </w:p>
        </w:tc>
      </w:tr>
      <w:tr>
        <w:trPr>
          <w:trHeight w:val="210"/>
        </w:trPr>
        <w:tc>
          <w:tcPr>
            <w:tcW w:w="18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Mr. Harrington</w:t>
            </w:r>
          </w:p>
        </w:tc>
        <w:tc>
          <w:tcPr>
            <w:tcW w:w="2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12,778</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12,778</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2015-2017 Shareholder Value Award</w:t>
      </w:r>
    </w:p>
    <w:p>
      <w:pPr>
        <w:spacing w:after="0" w:line="85"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The target stock price range of $80.30 to $86.17 (16.2% to 24.6% stock price growth) for the 2015-2017 shareholder value award was set in 2015 based on a beginning stock price of $ 69.13, which was the average closing price for Lilly stock for all trading days in November and December 2014. The ending stock price of $84.70 represents a stock price growth of approximately 22.5 percent over the relevant three-year period. The company’s performance compared to target (and the resulting payout multiple) for this award is shown below.</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P45</w:t>
      </w:r>
    </w:p>
    <w:p>
      <w:pPr>
        <w:sectPr>
          <w:pgSz w:w="11900" w:h="16838" w:orient="portrait"/>
          <w:cols w:equalWidth="0" w:num="1">
            <w:col w:w="11420"/>
          </w:cols>
          <w:pgMar w:left="240" w:top="814" w:right="239" w:bottom="1440" w:gutter="0" w:footer="0" w:header="0"/>
        </w:sectPr>
      </w:pPr>
    </w:p>
    <w:bookmarkStart w:id="49" w:name="page50"/>
    <w:bookmarkEnd w:id="4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1101090</wp:posOffset>
            </wp:positionH>
            <wp:positionV relativeFrom="page">
              <wp:posOffset>654685</wp:posOffset>
            </wp:positionV>
            <wp:extent cx="5368290" cy="24441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368290" cy="2444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shares paid to named executive officers during 2018 for the 2015-2017 shareholder value award were as follows:</w:t>
      </w:r>
    </w:p>
    <w:p>
      <w:pPr>
        <w:spacing w:after="0" w:line="125" w:lineRule="exact"/>
        <w:rPr>
          <w:sz w:val="20"/>
          <w:szCs w:val="20"/>
          <w:color w:val="auto"/>
        </w:rPr>
      </w:pPr>
    </w:p>
    <w:tbl>
      <w:tblPr>
        <w:tblLayout w:type="fixed"/>
        <w:tblInd w:w="2590" w:type="dxa"/>
        <w:tblCellMar>
          <w:top w:w="0" w:type="dxa"/>
          <w:left w:w="0" w:type="dxa"/>
          <w:bottom w:w="0" w:type="dxa"/>
          <w:right w:w="0" w:type="dxa"/>
        </w:tblCellMar>
      </w:tblPr>
      <w:tr>
        <w:trPr>
          <w:trHeight w:val="224"/>
        </w:trPr>
        <w:tc>
          <w:tcPr>
            <w:tcW w:w="2320" w:type="dxa"/>
            <w:vAlign w:val="bottom"/>
            <w:tcBorders>
              <w:top w:val="single" w:sz="8" w:color="auto"/>
              <w:left w:val="single" w:sz="8" w:color="auto"/>
              <w:bottom w:val="single" w:sz="8" w:color="auto"/>
              <w:right w:val="single" w:sz="8" w:color="auto"/>
            </w:tcBorders>
            <w:shd w:val="clear" w:color="auto" w:fill="E5E5E5"/>
          </w:tcPr>
          <w:p>
            <w:pPr>
              <w:ind w:left="40"/>
              <w:spacing w:after="0"/>
              <w:rPr>
                <w:sz w:val="20"/>
                <w:szCs w:val="20"/>
                <w:color w:val="auto"/>
              </w:rPr>
            </w:pPr>
            <w:r>
              <w:rPr>
                <w:rFonts w:ascii="Arial" w:cs="Arial" w:eastAsia="Arial" w:hAnsi="Arial"/>
                <w:sz w:val="14"/>
                <w:szCs w:val="14"/>
                <w:b w:val="1"/>
                <w:bCs w:val="1"/>
                <w:color w:val="auto"/>
              </w:rPr>
              <w:t>Name</w:t>
            </w:r>
          </w:p>
        </w:tc>
        <w:tc>
          <w:tcPr>
            <w:tcW w:w="1800" w:type="dxa"/>
            <w:vAlign w:val="bottom"/>
            <w:tcBorders>
              <w:top w:val="single" w:sz="8" w:color="auto"/>
              <w:bottom w:val="single" w:sz="8" w:color="auto"/>
              <w:right w:val="single" w:sz="8" w:color="auto"/>
            </w:tcBorders>
            <w:shd w:val="clear" w:color="auto" w:fill="E5E5E5"/>
          </w:tcPr>
          <w:p>
            <w:pPr>
              <w:jc w:val="center"/>
              <w:spacing w:after="0"/>
              <w:rPr>
                <w:sz w:val="20"/>
                <w:szCs w:val="20"/>
                <w:color w:val="auto"/>
              </w:rPr>
            </w:pPr>
            <w:r>
              <w:rPr>
                <w:rFonts w:ascii="Arial" w:cs="Arial" w:eastAsia="Arial" w:hAnsi="Arial"/>
                <w:sz w:val="14"/>
                <w:szCs w:val="14"/>
                <w:b w:val="1"/>
                <w:bCs w:val="1"/>
                <w:color w:val="auto"/>
              </w:rPr>
              <w:t>Target Shares</w:t>
            </w:r>
          </w:p>
        </w:tc>
        <w:tc>
          <w:tcPr>
            <w:tcW w:w="2160" w:type="dxa"/>
            <w:vAlign w:val="bottom"/>
            <w:tcBorders>
              <w:top w:val="single" w:sz="8" w:color="auto"/>
              <w:bottom w:val="single" w:sz="8" w:color="auto"/>
              <w:right w:val="single" w:sz="8" w:color="auto"/>
            </w:tcBorders>
            <w:shd w:val="clear" w:color="auto" w:fill="E5E5E5"/>
          </w:tcPr>
          <w:p>
            <w:pPr>
              <w:jc w:val="center"/>
              <w:spacing w:after="0"/>
              <w:rPr>
                <w:sz w:val="20"/>
                <w:szCs w:val="20"/>
                <w:color w:val="auto"/>
              </w:rPr>
            </w:pPr>
            <w:r>
              <w:rPr>
                <w:rFonts w:ascii="Arial" w:cs="Arial" w:eastAsia="Arial" w:hAnsi="Arial"/>
                <w:sz w:val="14"/>
                <w:szCs w:val="14"/>
                <w:b w:val="1"/>
                <w:bCs w:val="1"/>
                <w:color w:val="auto"/>
              </w:rPr>
              <w:t>Shares Paid Out</w:t>
            </w:r>
          </w:p>
        </w:tc>
      </w:tr>
      <w:tr>
        <w:trPr>
          <w:trHeight w:val="210"/>
        </w:trPr>
        <w:tc>
          <w:tcPr>
            <w:tcW w:w="23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Mr. Ricks</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N/A</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N/A</w:t>
            </w:r>
          </w:p>
        </w:tc>
      </w:tr>
      <w:tr>
        <w:trPr>
          <w:trHeight w:val="210"/>
        </w:trPr>
        <w:tc>
          <w:tcPr>
            <w:tcW w:w="23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Mr. Conterno</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22,507</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22,507</w:t>
            </w:r>
          </w:p>
        </w:tc>
      </w:tr>
      <w:tr>
        <w:trPr>
          <w:trHeight w:val="210"/>
        </w:trPr>
        <w:tc>
          <w:tcPr>
            <w:tcW w:w="23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Mr. Rice (retired)</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42,764</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42,764</w:t>
            </w:r>
          </w:p>
        </w:tc>
      </w:tr>
      <w:tr>
        <w:trPr>
          <w:trHeight w:val="210"/>
        </w:trPr>
        <w:tc>
          <w:tcPr>
            <w:tcW w:w="23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Dr. Lundberg</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38,262</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38,262</w:t>
            </w:r>
          </w:p>
        </w:tc>
      </w:tr>
      <w:tr>
        <w:trPr>
          <w:trHeight w:val="210"/>
        </w:trPr>
        <w:tc>
          <w:tcPr>
            <w:tcW w:w="23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Mr. Harrington</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25,883</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25,883</w:t>
            </w:r>
          </w:p>
        </w:tc>
      </w:tr>
    </w:tbl>
    <w:p>
      <w:pPr>
        <w:spacing w:after="0" w:line="240" w:lineRule="exact"/>
        <w:rPr>
          <w:sz w:val="20"/>
          <w:szCs w:val="20"/>
          <w:color w:val="auto"/>
        </w:rPr>
      </w:pPr>
    </w:p>
    <w:p>
      <w:pPr>
        <w:spacing w:after="0"/>
        <w:rPr>
          <w:sz w:val="20"/>
          <w:szCs w:val="20"/>
          <w:color w:val="auto"/>
        </w:rPr>
      </w:pPr>
      <w:r>
        <w:rPr>
          <w:rFonts w:ascii="Arial" w:cs="Arial" w:eastAsia="Arial" w:hAnsi="Arial"/>
          <w:sz w:val="25"/>
          <w:szCs w:val="25"/>
          <w:b w:val="1"/>
          <w:bCs w:val="1"/>
          <w:color w:val="FF0000"/>
        </w:rPr>
        <w:t>Other Compensation Practices and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81280</wp:posOffset>
            </wp:positionV>
            <wp:extent cx="72720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b w:val="1"/>
          <w:bCs w:val="1"/>
          <w:color w:val="FF0000"/>
        </w:rPr>
        <w:t>Employee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company offers core employee benefits coverage to:</w:t>
      </w:r>
    </w:p>
    <w:p>
      <w:pPr>
        <w:spacing w:after="0" w:line="9" w:lineRule="exact"/>
        <w:rPr>
          <w:sz w:val="20"/>
          <w:szCs w:val="20"/>
          <w:color w:val="auto"/>
        </w:rPr>
      </w:pPr>
    </w:p>
    <w:p>
      <w:pPr>
        <w:ind w:left="340" w:hanging="170"/>
        <w:spacing w:after="0"/>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provide our workforce with a reasonable level of financial support in the event of illness or injury</w:t>
      </w:r>
    </w:p>
    <w:p>
      <w:pPr>
        <w:spacing w:after="0" w:line="9" w:lineRule="exact"/>
        <w:rPr>
          <w:rFonts w:ascii="Arial" w:cs="Arial" w:eastAsia="Arial" w:hAnsi="Arial"/>
          <w:sz w:val="18"/>
          <w:szCs w:val="18"/>
          <w:color w:val="auto"/>
        </w:rPr>
      </w:pPr>
    </w:p>
    <w:p>
      <w:pPr>
        <w:ind w:left="340" w:hanging="170"/>
        <w:spacing w:after="0"/>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provide post-retirement income</w:t>
      </w:r>
    </w:p>
    <w:p>
      <w:pPr>
        <w:spacing w:after="0" w:line="9" w:lineRule="exact"/>
        <w:rPr>
          <w:rFonts w:ascii="Arial" w:cs="Arial" w:eastAsia="Arial" w:hAnsi="Arial"/>
          <w:sz w:val="18"/>
          <w:szCs w:val="18"/>
          <w:color w:val="auto"/>
        </w:rPr>
      </w:pPr>
    </w:p>
    <w:p>
      <w:pPr>
        <w:ind w:left="340" w:hanging="170"/>
        <w:spacing w:after="0"/>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enhance productivity and job satisfaction through benefit programs that focus on overall well-being.</w:t>
      </w:r>
    </w:p>
    <w:p>
      <w:pPr>
        <w:spacing w:after="0" w:line="22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benefits available are the same for all U.S. employees and include medical and dental coverage, disability insurance, and life insurance. In addition, The Lilly Employee 401(k) plan (401(k) Plan) and The Lilly Retirement Plan (the Retirement Plan) provide U.S. employees a reasonable level of retirement income reflecting employees’ careers with the company. To the extent that any employee’s retirement benefit exceeds Internal Revenue Service (IRS) limits for amounts that can be paid through a qualified plan, the company also offers a nonqualified pension plan and a nonqualified savings plan. These plans provide only the difference between the calculated benefits and the IRS limits, and the formula is the same for all U.S. employees. The cost of employee benefits is partially borne by the employee, including each executive officer.</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FF0000"/>
        </w:rPr>
        <w:t>Perquisites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45"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The company provides very limited perquisites to executive officers. The company generally does not allow personal use of the corporate aircraft. In rare cases when the security and efficiency benefits outweigh the expense, the corporate aircraft is made available to Mr. Ricks for personal use. The company did not incur any expenses for personal use of its aircraft in 2017 by Mr. Ricks, and he did not receive any other</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P46</w:t>
      </w:r>
    </w:p>
    <w:p>
      <w:pPr>
        <w:sectPr>
          <w:pgSz w:w="11900" w:h="16838" w:orient="portrait"/>
          <w:cols w:equalWidth="0" w:num="1">
            <w:col w:w="11420"/>
          </w:cols>
          <w:pgMar w:left="240" w:top="1440" w:right="239" w:bottom="1440" w:gutter="0" w:footer="0" w:header="0"/>
        </w:sectPr>
      </w:pPr>
    </w:p>
    <w:bookmarkStart w:id="50" w:name="page51"/>
    <w:bookmarkEnd w:id="50"/>
    <w:p>
      <w:pPr>
        <w:ind w:right="540"/>
        <w:spacing w:after="0" w:line="291" w:lineRule="auto"/>
        <w:rPr>
          <w:sz w:val="20"/>
          <w:szCs w:val="20"/>
          <w:color w:val="auto"/>
        </w:rPr>
      </w:pPr>
      <w:r>
        <w:rPr>
          <w:rFonts w:ascii="Arial" w:cs="Arial" w:eastAsia="Arial" w:hAnsi="Arial"/>
          <w:sz w:val="17"/>
          <w:szCs w:val="17"/>
          <w:color w:val="auto"/>
        </w:rPr>
        <w:t>perquisites. Depending on seat availability, family members and personal guests may accompany executive officers who are traveling for business on the company aircraft. There is no incremental cost to the company for these trips by family members and personal guests.</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b w:val="1"/>
          <w:bCs w:val="1"/>
          <w:color w:val="FF0000"/>
        </w:rPr>
        <w:t>The Lilly Deferred Compensation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4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Members of senior management may defer receipt of part or all of their cash compensation under The Lilly Deferred Compensation Plan (Deferred Compensation Plan), which allows executives to save for retirement in a tax-effective way at minimal cost to the company. Under this unfunded plan, amounts deferred by the executive are credited at an interest rate of 120 percent of the applicable federal long-term rate, as described in more detail following the “Nonqualified Deferred Compensation in 2017” table.</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color w:val="FF0000"/>
        </w:rPr>
        <w:t>Severance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45"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Except in the case of a change in control of the company, the company is not obligated to pay severance to executive officers upon termination of their employment; any such payments are at the discretion of the Compensation Committee.</w:t>
      </w:r>
    </w:p>
    <w:p>
      <w:pPr>
        <w:spacing w:after="0" w:line="223"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company has adopted change-in-control severance pay plans for nearly all employees, including the executive officers. The plans are intended to preserve employee morale and productivity and encourage retention in the face of the disruptive impact of an actual or rumored change in control. In addition, the plans are intended to align executive and shareholder interests by enabling executives to evaluate corporate transactions that may be in the best interests of the shareholders and other constituents of the company without undue concern over whether the transactions may jeopardize the executives’ own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1291590</wp:posOffset>
            </wp:positionH>
            <wp:positionV relativeFrom="paragraph">
              <wp:posOffset>96520</wp:posOffset>
            </wp:positionV>
            <wp:extent cx="4682490" cy="10204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682490" cy="1020445"/>
                    </a:xfrm>
                    <a:prstGeom prst="rect">
                      <a:avLst/>
                    </a:prstGeom>
                    <a:noFill/>
                  </pic:spPr>
                </pic:pic>
              </a:graphicData>
            </a:graphic>
          </wp:anchor>
        </w:drawing>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Highlights of our change-in-control severance plans</w:t>
      </w:r>
    </w:p>
    <w:p>
      <w:pPr>
        <w:spacing w:after="0" w:line="54" w:lineRule="exact"/>
        <w:rPr>
          <w:sz w:val="20"/>
          <w:szCs w:val="20"/>
          <w:color w:val="auto"/>
        </w:rPr>
      </w:pPr>
    </w:p>
    <w:p>
      <w:pPr>
        <w:ind w:left="2440" w:hanging="289"/>
        <w:spacing w:after="0"/>
        <w:tabs>
          <w:tab w:leader="none" w:pos="2440" w:val="left"/>
        </w:tabs>
        <w:numPr>
          <w:ilvl w:val="0"/>
          <w:numId w:val="60"/>
        </w:numPr>
        <w:rPr>
          <w:rFonts w:ascii="Arial" w:cs="Arial" w:eastAsia="Arial" w:hAnsi="Arial"/>
          <w:sz w:val="18"/>
          <w:szCs w:val="18"/>
          <w:color w:val="EE2724"/>
        </w:rPr>
      </w:pPr>
      <w:r>
        <w:rPr>
          <w:rFonts w:ascii="Arial" w:cs="Arial" w:eastAsia="Arial" w:hAnsi="Arial"/>
          <w:sz w:val="18"/>
          <w:szCs w:val="18"/>
          <w:i w:val="1"/>
          <w:iCs w:val="1"/>
          <w:color w:val="auto"/>
        </w:rPr>
        <w:t>all regular employees are covered</w:t>
      </w:r>
    </w:p>
    <w:p>
      <w:pPr>
        <w:spacing w:after="0" w:line="63" w:lineRule="exact"/>
        <w:rPr>
          <w:rFonts w:ascii="Arial" w:cs="Arial" w:eastAsia="Arial" w:hAnsi="Arial"/>
          <w:sz w:val="18"/>
          <w:szCs w:val="18"/>
          <w:color w:val="EE2724"/>
        </w:rPr>
      </w:pPr>
    </w:p>
    <w:p>
      <w:pPr>
        <w:ind w:left="2440" w:hanging="289"/>
        <w:spacing w:after="0"/>
        <w:tabs>
          <w:tab w:leader="none" w:pos="2440" w:val="left"/>
        </w:tabs>
        <w:numPr>
          <w:ilvl w:val="0"/>
          <w:numId w:val="60"/>
        </w:numPr>
        <w:rPr>
          <w:rFonts w:ascii="Arial" w:cs="Arial" w:eastAsia="Arial" w:hAnsi="Arial"/>
          <w:sz w:val="18"/>
          <w:szCs w:val="18"/>
          <w:color w:val="EE2724"/>
        </w:rPr>
      </w:pPr>
      <w:r>
        <w:rPr>
          <w:rFonts w:ascii="Arial" w:cs="Arial" w:eastAsia="Arial" w:hAnsi="Arial"/>
          <w:sz w:val="18"/>
          <w:szCs w:val="18"/>
          <w:i w:val="1"/>
          <w:iCs w:val="1"/>
          <w:color w:val="auto"/>
        </w:rPr>
        <w:t>double trigger generally required</w:t>
      </w:r>
    </w:p>
    <w:p>
      <w:pPr>
        <w:spacing w:after="0" w:line="63" w:lineRule="exact"/>
        <w:rPr>
          <w:rFonts w:ascii="Arial" w:cs="Arial" w:eastAsia="Arial" w:hAnsi="Arial"/>
          <w:sz w:val="18"/>
          <w:szCs w:val="18"/>
          <w:color w:val="EE2724"/>
        </w:rPr>
      </w:pPr>
    </w:p>
    <w:p>
      <w:pPr>
        <w:ind w:left="2440" w:hanging="289"/>
        <w:spacing w:after="0"/>
        <w:tabs>
          <w:tab w:leader="none" w:pos="2440" w:val="left"/>
        </w:tabs>
        <w:numPr>
          <w:ilvl w:val="0"/>
          <w:numId w:val="60"/>
        </w:numPr>
        <w:rPr>
          <w:rFonts w:ascii="Arial" w:cs="Arial" w:eastAsia="Arial" w:hAnsi="Arial"/>
          <w:sz w:val="18"/>
          <w:szCs w:val="18"/>
          <w:color w:val="EE2724"/>
        </w:rPr>
      </w:pPr>
      <w:r>
        <w:rPr>
          <w:rFonts w:ascii="Arial" w:cs="Arial" w:eastAsia="Arial" w:hAnsi="Arial"/>
          <w:sz w:val="18"/>
          <w:szCs w:val="18"/>
          <w:i w:val="1"/>
          <w:iCs w:val="1"/>
          <w:color w:val="auto"/>
        </w:rPr>
        <w:t>no tax gross-ups</w:t>
      </w:r>
    </w:p>
    <w:p>
      <w:pPr>
        <w:spacing w:after="0" w:line="63" w:lineRule="exact"/>
        <w:rPr>
          <w:rFonts w:ascii="Arial" w:cs="Arial" w:eastAsia="Arial" w:hAnsi="Arial"/>
          <w:sz w:val="18"/>
          <w:szCs w:val="18"/>
          <w:color w:val="EE2724"/>
        </w:rPr>
      </w:pPr>
    </w:p>
    <w:p>
      <w:pPr>
        <w:ind w:left="2440" w:hanging="289"/>
        <w:spacing w:after="0"/>
        <w:tabs>
          <w:tab w:leader="none" w:pos="2440" w:val="left"/>
        </w:tabs>
        <w:numPr>
          <w:ilvl w:val="0"/>
          <w:numId w:val="60"/>
        </w:numPr>
        <w:rPr>
          <w:rFonts w:ascii="Arial" w:cs="Arial" w:eastAsia="Arial" w:hAnsi="Arial"/>
          <w:sz w:val="18"/>
          <w:szCs w:val="18"/>
          <w:color w:val="EE2724"/>
        </w:rPr>
      </w:pPr>
      <w:r>
        <w:rPr>
          <w:rFonts w:ascii="Arial" w:cs="Arial" w:eastAsia="Arial" w:hAnsi="Arial"/>
          <w:sz w:val="18"/>
          <w:szCs w:val="18"/>
          <w:i w:val="1"/>
          <w:iCs w:val="1"/>
          <w:color w:val="auto"/>
        </w:rPr>
        <w:t>up to two-year pay protection</w:t>
      </w:r>
    </w:p>
    <w:p>
      <w:pPr>
        <w:spacing w:after="0" w:line="63" w:lineRule="exact"/>
        <w:rPr>
          <w:rFonts w:ascii="Arial" w:cs="Arial" w:eastAsia="Arial" w:hAnsi="Arial"/>
          <w:sz w:val="18"/>
          <w:szCs w:val="18"/>
          <w:color w:val="EE2724"/>
        </w:rPr>
      </w:pPr>
    </w:p>
    <w:p>
      <w:pPr>
        <w:ind w:left="2440" w:hanging="289"/>
        <w:spacing w:after="0"/>
        <w:tabs>
          <w:tab w:leader="none" w:pos="2440" w:val="left"/>
        </w:tabs>
        <w:numPr>
          <w:ilvl w:val="0"/>
          <w:numId w:val="60"/>
        </w:numPr>
        <w:rPr>
          <w:rFonts w:ascii="Arial" w:cs="Arial" w:eastAsia="Arial" w:hAnsi="Arial"/>
          <w:sz w:val="18"/>
          <w:szCs w:val="18"/>
          <w:color w:val="EE2724"/>
        </w:rPr>
      </w:pPr>
      <w:r>
        <w:rPr>
          <w:rFonts w:ascii="Arial" w:cs="Arial" w:eastAsia="Arial" w:hAnsi="Arial"/>
          <w:sz w:val="18"/>
          <w:szCs w:val="18"/>
          <w:i w:val="1"/>
          <w:iCs w:val="1"/>
          <w:color w:val="auto"/>
        </w:rPr>
        <w:t>18-month benefit continuation</w:t>
      </w:r>
    </w:p>
    <w:p>
      <w:pPr>
        <w:spacing w:after="0" w:line="270"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Although benefit levels may differ depending on the employee’s job level and seniority, the basic elements of the plans are comparable for all eligible employees:</w:t>
      </w:r>
    </w:p>
    <w:p>
      <w:pPr>
        <w:spacing w:after="0" w:line="174" w:lineRule="exact"/>
        <w:rPr>
          <w:sz w:val="20"/>
          <w:szCs w:val="20"/>
          <w:color w:val="auto"/>
        </w:rPr>
      </w:pPr>
    </w:p>
    <w:p>
      <w:pPr>
        <w:ind w:left="340" w:right="40" w:hanging="170"/>
        <w:spacing w:after="0" w:line="256" w:lineRule="auto"/>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b w:val="1"/>
          <w:bCs w:val="1"/>
          <w:i w:val="1"/>
          <w:iCs w:val="1"/>
          <w:color w:val="auto"/>
        </w:rPr>
        <w:t>Double trigger</w:t>
      </w:r>
      <w:r>
        <w:rPr>
          <w:rFonts w:ascii="Arial" w:cs="Arial" w:eastAsia="Arial" w:hAnsi="Arial"/>
          <w:sz w:val="18"/>
          <w:szCs w:val="18"/>
          <w:color w:val="auto"/>
        </w:rPr>
        <w:t>. Unlike “single trigger” plans that pay out immediately upon a change in control, our plans require a “double trigger”—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change in control followed by an involuntary loss of employment within two years. This is consistent with the plan's intent to provide employees with financial protection upon loss of employment. With respect to unvested equity, accrued performance will be used to determine the number of shares earned under an award, but vesting does not accelerate immediately upon a change in control. Rather the performance-adjusted awards will convert to restricted stock units that continue to vest with the new company. Shares will pay out upon the earlier of the completion of the original award period; upon a covered termination; or if the successor entity does not assume, substitute, or otherwise replace the awards.</w:t>
      </w:r>
    </w:p>
    <w:p>
      <w:pPr>
        <w:spacing w:after="0" w:line="183" w:lineRule="exact"/>
        <w:rPr>
          <w:rFonts w:ascii="Arial" w:cs="Arial" w:eastAsia="Arial" w:hAnsi="Arial"/>
          <w:sz w:val="18"/>
          <w:szCs w:val="18"/>
          <w:color w:val="auto"/>
        </w:rPr>
      </w:pPr>
    </w:p>
    <w:p>
      <w:pPr>
        <w:ind w:left="340" w:hanging="170"/>
        <w:spacing w:after="0"/>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b w:val="1"/>
          <w:bCs w:val="1"/>
          <w:i w:val="1"/>
          <w:iCs w:val="1"/>
          <w:color w:val="auto"/>
        </w:rPr>
        <w:t>Covered terminations</w:t>
      </w:r>
      <w:r>
        <w:rPr>
          <w:rFonts w:ascii="Arial" w:cs="Arial" w:eastAsia="Arial" w:hAnsi="Arial"/>
          <w:sz w:val="18"/>
          <w:szCs w:val="18"/>
          <w:color w:val="auto"/>
        </w:rPr>
        <w:t>. Employees are eligible for payments if, within two years of the change in control, their employment is terminated</w:t>
      </w:r>
    </w:p>
    <w:p>
      <w:pPr>
        <w:spacing w:after="0" w:line="31" w:lineRule="exact"/>
        <w:rPr>
          <w:rFonts w:ascii="Arial" w:cs="Arial" w:eastAsia="Arial" w:hAnsi="Arial"/>
          <w:sz w:val="18"/>
          <w:szCs w:val="18"/>
          <w:color w:val="auto"/>
        </w:rPr>
      </w:pPr>
    </w:p>
    <w:p>
      <w:pPr>
        <w:jc w:val="both"/>
        <w:ind w:left="340" w:right="240"/>
        <w:spacing w:after="0" w:line="256" w:lineRule="auto"/>
        <w:rPr>
          <w:rFonts w:ascii="Arial" w:cs="Arial" w:eastAsia="Arial" w:hAnsi="Arial"/>
          <w:sz w:val="18"/>
          <w:szCs w:val="18"/>
          <w:color w:val="auto"/>
        </w:rPr>
      </w:pPr>
      <w:r>
        <w:rPr>
          <w:rFonts w:ascii="Arial" w:cs="Arial" w:eastAsia="Arial" w:hAnsi="Arial"/>
          <w:sz w:val="18"/>
          <w:szCs w:val="18"/>
          <w:color w:val="auto"/>
        </w:rPr>
        <w:t>(i) without cause by the company or (ii) for good reason by the employee, each as is defined in the plan. See “Executive Compensation - Payments Upon Termination or Change in Control” for a more detailed discussion, including a discussion of what constitutes a change in control.</w:t>
      </w:r>
    </w:p>
    <w:p>
      <w:pPr>
        <w:spacing w:after="0" w:line="179" w:lineRule="exact"/>
        <w:rPr>
          <w:rFonts w:ascii="Arial" w:cs="Arial" w:eastAsia="Arial" w:hAnsi="Arial"/>
          <w:sz w:val="18"/>
          <w:szCs w:val="18"/>
          <w:color w:val="auto"/>
        </w:rPr>
      </w:pPr>
    </w:p>
    <w:p>
      <w:pPr>
        <w:ind w:left="340" w:right="820" w:hanging="170"/>
        <w:spacing w:after="0" w:line="287" w:lineRule="auto"/>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b w:val="1"/>
          <w:bCs w:val="1"/>
          <w:i w:val="1"/>
          <w:iCs w:val="1"/>
          <w:color w:val="auto"/>
        </w:rPr>
        <w:t>Employees who suffer a covered termination receive up to two years of pay and 18 months of benefits protection</w:t>
      </w:r>
      <w:r>
        <w:rPr>
          <w:rFonts w:ascii="Arial" w:cs="Arial" w:eastAsia="Arial" w:hAnsi="Arial"/>
          <w:sz w:val="18"/>
          <w:szCs w:val="18"/>
          <w:color w:val="auto"/>
        </w:rPr>
        <w:t>. These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provisions assure employees a reasonable period of protection of their income and core employee benefits.</w:t>
      </w:r>
    </w:p>
    <w:p>
      <w:pPr>
        <w:spacing w:after="0" w:line="2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P47</w:t>
      </w:r>
    </w:p>
    <w:p>
      <w:pPr>
        <w:sectPr>
          <w:pgSz w:w="11900" w:h="16838" w:orient="portrait"/>
          <w:cols w:equalWidth="0" w:num="1">
            <w:col w:w="11420"/>
          </w:cols>
          <w:pgMar w:left="240" w:top="598" w:right="239" w:bottom="1440" w:gutter="0" w:footer="0" w:header="0"/>
        </w:sectPr>
      </w:pPr>
    </w:p>
    <w:bookmarkStart w:id="51" w:name="page52"/>
    <w:bookmarkEnd w:id="51"/>
    <w:p>
      <w:pPr>
        <w:ind w:left="980" w:right="340" w:hanging="162"/>
        <w:spacing w:after="0" w:line="260" w:lineRule="auto"/>
        <w:tabs>
          <w:tab w:leader="none" w:pos="980" w:val="left"/>
        </w:tabs>
        <w:numPr>
          <w:ilvl w:val="1"/>
          <w:numId w:val="6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Severance payment. </w:t>
      </w:r>
      <w:r>
        <w:rPr>
          <w:rFonts w:ascii="Arial" w:cs="Arial" w:eastAsia="Arial" w:hAnsi="Arial"/>
          <w:sz w:val="18"/>
          <w:szCs w:val="18"/>
          <w:color w:val="auto"/>
        </w:rPr>
        <w:t>Eligible terminated employees would receive a severance payment ranging from six months’ to two years’</w:t>
      </w:r>
      <w:r>
        <w:rPr>
          <w:rFonts w:ascii="Arial" w:cs="Arial" w:eastAsia="Arial" w:hAnsi="Arial"/>
          <w:sz w:val="18"/>
          <w:szCs w:val="18"/>
          <w:i w:val="1"/>
          <w:iCs w:val="1"/>
          <w:color w:val="auto"/>
        </w:rPr>
        <w:t xml:space="preserve"> </w:t>
      </w:r>
      <w:r>
        <w:rPr>
          <w:rFonts w:ascii="Arial" w:cs="Arial" w:eastAsia="Arial" w:hAnsi="Arial"/>
          <w:sz w:val="18"/>
          <w:szCs w:val="18"/>
          <w:color w:val="auto"/>
        </w:rPr>
        <w:t>base salary. Executives are all eligible for two years’ base salary plus two times the then-current year’s target bonus.</w:t>
      </w:r>
    </w:p>
    <w:p>
      <w:pPr>
        <w:spacing w:after="0" w:line="1" w:lineRule="exact"/>
        <w:rPr>
          <w:rFonts w:ascii="Arial" w:cs="Arial" w:eastAsia="Arial" w:hAnsi="Arial"/>
          <w:sz w:val="18"/>
          <w:szCs w:val="18"/>
          <w:i w:val="1"/>
          <w:iCs w:val="1"/>
          <w:color w:val="auto"/>
        </w:rPr>
      </w:pPr>
    </w:p>
    <w:p>
      <w:pPr>
        <w:ind w:left="980" w:right="40" w:hanging="162"/>
        <w:spacing w:after="0" w:line="254" w:lineRule="auto"/>
        <w:tabs>
          <w:tab w:leader="none" w:pos="980" w:val="left"/>
        </w:tabs>
        <w:numPr>
          <w:ilvl w:val="1"/>
          <w:numId w:val="6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Benefit continuation. </w:t>
      </w:r>
      <w:r>
        <w:rPr>
          <w:rFonts w:ascii="Arial" w:cs="Arial" w:eastAsia="Arial" w:hAnsi="Arial"/>
          <w:sz w:val="18"/>
          <w:szCs w:val="18"/>
          <w:color w:val="auto"/>
        </w:rPr>
        <w:t>Basic employee benefits such as health and life insurance would continue for 18 months following termination</w:t>
      </w:r>
      <w:r>
        <w:rPr>
          <w:rFonts w:ascii="Arial" w:cs="Arial" w:eastAsia="Arial" w:hAnsi="Arial"/>
          <w:sz w:val="18"/>
          <w:szCs w:val="18"/>
          <w:i w:val="1"/>
          <w:iCs w:val="1"/>
          <w:color w:val="auto"/>
        </w:rPr>
        <w:t xml:space="preserve"> </w:t>
      </w:r>
      <w:r>
        <w:rPr>
          <w:rFonts w:ascii="Arial" w:cs="Arial" w:eastAsia="Arial" w:hAnsi="Arial"/>
          <w:sz w:val="18"/>
          <w:szCs w:val="18"/>
          <w:color w:val="auto"/>
        </w:rPr>
        <w:t>of employment, unless the individual becomes eligible for coverage with a new employer. All employees would receive an additional two years of both age and years-of-service credit for purposes of determining eligibility for retiree medical and dental benefits.</w:t>
      </w:r>
    </w:p>
    <w:p>
      <w:pPr>
        <w:spacing w:after="0" w:line="182" w:lineRule="exact"/>
        <w:rPr>
          <w:rFonts w:ascii="Arial" w:cs="Arial" w:eastAsia="Arial" w:hAnsi="Arial"/>
          <w:sz w:val="18"/>
          <w:szCs w:val="18"/>
          <w:i w:val="1"/>
          <w:iCs w:val="1"/>
          <w:color w:val="auto"/>
        </w:rPr>
      </w:pPr>
    </w:p>
    <w:p>
      <w:pPr>
        <w:ind w:left="340" w:hanging="170"/>
        <w:spacing w:after="0"/>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b w:val="1"/>
          <w:bCs w:val="1"/>
          <w:i w:val="1"/>
          <w:iCs w:val="1"/>
          <w:color w:val="auto"/>
        </w:rPr>
        <w:t>Accelerated vesting of equity awards</w:t>
      </w:r>
      <w:r>
        <w:rPr>
          <w:rFonts w:ascii="Arial" w:cs="Arial" w:eastAsia="Arial" w:hAnsi="Arial"/>
          <w:sz w:val="18"/>
          <w:szCs w:val="18"/>
          <w:color w:val="auto"/>
        </w:rPr>
        <w:t>. Any unvested equity awards would vest at the time of a covered termination.</w:t>
      </w:r>
    </w:p>
    <w:p>
      <w:pPr>
        <w:spacing w:after="0" w:line="225" w:lineRule="exact"/>
        <w:rPr>
          <w:rFonts w:ascii="Arial" w:cs="Arial" w:eastAsia="Arial" w:hAnsi="Arial"/>
          <w:sz w:val="18"/>
          <w:szCs w:val="18"/>
          <w:color w:val="auto"/>
        </w:rPr>
      </w:pPr>
    </w:p>
    <w:p>
      <w:pPr>
        <w:ind w:left="340" w:right="20" w:hanging="170"/>
        <w:spacing w:after="0" w:line="259" w:lineRule="auto"/>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b w:val="1"/>
          <w:bCs w:val="1"/>
          <w:i w:val="1"/>
          <w:iCs w:val="1"/>
          <w:color w:val="auto"/>
        </w:rPr>
        <w:t>Excise tax</w:t>
      </w:r>
      <w:r>
        <w:rPr>
          <w:rFonts w:ascii="Arial" w:cs="Arial" w:eastAsia="Arial" w:hAnsi="Arial"/>
          <w:sz w:val="18"/>
          <w:szCs w:val="18"/>
          <w:color w:val="auto"/>
        </w:rPr>
        <w:t>. In some circumstances, the payments or other benefits received by the employee in connection with a change in control could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exceed limits established under Section 280G of the Internal Revenue Code. The employee would then be subject to an excise tax on top of normal federal income tax. The company does not reimburse employees for these taxes. However, the amount of change in control-related benefits will be reduced to the 280G limit if the effect would be to deliver a greater after-tax benefit than the employee would receive with an unreduced benefit.</w:t>
      </w:r>
    </w:p>
    <w:p>
      <w:pPr>
        <w:spacing w:after="0" w:line="172" w:lineRule="exact"/>
        <w:rPr>
          <w:sz w:val="20"/>
          <w:szCs w:val="20"/>
          <w:color w:val="auto"/>
        </w:rPr>
      </w:pPr>
    </w:p>
    <w:p>
      <w:pPr>
        <w:spacing w:after="0"/>
        <w:rPr>
          <w:sz w:val="20"/>
          <w:szCs w:val="20"/>
          <w:color w:val="auto"/>
        </w:rPr>
      </w:pPr>
      <w:r>
        <w:rPr>
          <w:rFonts w:ascii="Arial" w:cs="Arial" w:eastAsia="Arial" w:hAnsi="Arial"/>
          <w:sz w:val="25"/>
          <w:szCs w:val="25"/>
          <w:b w:val="1"/>
          <w:bCs w:val="1"/>
          <w:color w:val="FF0000"/>
        </w:rPr>
        <w:t>Share Ownership and Retention Guidelines; Prohibition on Hedging and Pledging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81280</wp:posOffset>
            </wp:positionV>
            <wp:extent cx="72720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6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Share ownership and retention guidelines help to foster a focus on long-term growth. The CEO is required to own company stock valued at least six times annual base salary. During 2017, the holding requirement for other executive officers ranged from two to three times annual base salary depending on the position. Beginning in 2018, the holding requirement for other executive officers will range from two to four times annual base salary depending on the position. Until the required number of shares is reached, the executive officer must retain 50 percent of shares net of taxes received from new equity payouts. Our executives have a long history of maintaining significant levels of company stock. As of December 31, 2017, Mr. Ricks held shares valued at approximately 8 times his annual salary. The following table shows the share requirements for the named executive officers:</w:t>
      </w:r>
    </w:p>
    <w:p>
      <w:pPr>
        <w:spacing w:after="0" w:line="107" w:lineRule="exact"/>
        <w:rPr>
          <w:sz w:val="20"/>
          <w:szCs w:val="20"/>
          <w:color w:val="auto"/>
        </w:rPr>
      </w:pPr>
    </w:p>
    <w:tbl>
      <w:tblPr>
        <w:tblLayout w:type="fixed"/>
        <w:tblInd w:w="2130" w:type="dxa"/>
        <w:tblCellMar>
          <w:top w:w="0" w:type="dxa"/>
          <w:left w:w="0" w:type="dxa"/>
          <w:bottom w:w="0" w:type="dxa"/>
          <w:right w:w="0" w:type="dxa"/>
        </w:tblCellMar>
      </w:tblPr>
      <w:tr>
        <w:trPr>
          <w:trHeight w:val="189"/>
        </w:trPr>
        <w:tc>
          <w:tcPr>
            <w:tcW w:w="1820" w:type="dxa"/>
            <w:vAlign w:val="bottom"/>
            <w:tcBorders>
              <w:top w:val="single" w:sz="8" w:color="auto"/>
              <w:left w:val="single" w:sz="8" w:color="auto"/>
              <w:right w:val="single" w:sz="8" w:color="auto"/>
            </w:tcBorders>
            <w:shd w:val="clear" w:color="auto" w:fill="E5E5E5"/>
          </w:tcPr>
          <w:p>
            <w:pPr>
              <w:spacing w:after="0"/>
              <w:rPr>
                <w:sz w:val="16"/>
                <w:szCs w:val="16"/>
                <w:color w:val="auto"/>
              </w:rPr>
            </w:pPr>
          </w:p>
        </w:tc>
        <w:tc>
          <w:tcPr>
            <w:tcW w:w="3600" w:type="dxa"/>
            <w:vAlign w:val="bottom"/>
            <w:tcBorders>
              <w:top w:val="single" w:sz="8" w:color="auto"/>
              <w:right w:val="single" w:sz="8" w:color="auto"/>
            </w:tcBorders>
            <w:gridSpan w:val="2"/>
            <w:shd w:val="clear" w:color="auto" w:fill="DDDDDD"/>
          </w:tcPr>
          <w:p>
            <w:pPr>
              <w:jc w:val="right"/>
              <w:ind w:right="1088"/>
              <w:spacing w:after="0"/>
              <w:rPr>
                <w:sz w:val="20"/>
                <w:szCs w:val="20"/>
                <w:color w:val="auto"/>
              </w:rPr>
            </w:pPr>
            <w:r>
              <w:rPr>
                <w:rFonts w:ascii="Arial" w:cs="Arial" w:eastAsia="Arial" w:hAnsi="Arial"/>
                <w:sz w:val="14"/>
                <w:szCs w:val="14"/>
                <w:b w:val="1"/>
                <w:bCs w:val="1"/>
                <w:color w:val="auto"/>
              </w:rPr>
              <w:t>Share Requirement</w:t>
            </w:r>
          </w:p>
        </w:tc>
        <w:tc>
          <w:tcPr>
            <w:tcW w:w="1800" w:type="dxa"/>
            <w:vAlign w:val="bottom"/>
            <w:tcBorders>
              <w:top w:val="single" w:sz="8" w:color="auto"/>
              <w:right w:val="single" w:sz="8" w:color="auto"/>
            </w:tcBorders>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820" w:type="dxa"/>
            <w:vAlign w:val="bottom"/>
            <w:tcBorders>
              <w:left w:val="single" w:sz="8" w:color="auto"/>
              <w:right w:val="single" w:sz="8" w:color="auto"/>
            </w:tcBorders>
            <w:shd w:val="clear" w:color="auto" w:fill="E5E5E5"/>
          </w:tcPr>
          <w:p>
            <w:pPr>
              <w:spacing w:after="0"/>
              <w:rPr>
                <w:sz w:val="14"/>
                <w:szCs w:val="14"/>
                <w:color w:val="auto"/>
              </w:rPr>
            </w:pPr>
          </w:p>
        </w:tc>
        <w:tc>
          <w:tcPr>
            <w:tcW w:w="1800" w:type="dxa"/>
            <w:vAlign w:val="bottom"/>
            <w:tcBorders>
              <w:right w:val="single" w:sz="8" w:color="DDDDDD"/>
            </w:tcBorders>
            <w:shd w:val="clear" w:color="auto" w:fill="DDDDDD"/>
          </w:tcPr>
          <w:p>
            <w:pPr>
              <w:jc w:val="right"/>
              <w:ind w:right="548"/>
              <w:spacing w:after="0"/>
              <w:rPr>
                <w:sz w:val="20"/>
                <w:szCs w:val="20"/>
                <w:color w:val="auto"/>
              </w:rPr>
            </w:pPr>
            <w:r>
              <w:rPr>
                <w:rFonts w:ascii="Arial" w:cs="Arial" w:eastAsia="Arial" w:hAnsi="Arial"/>
                <w:sz w:val="14"/>
                <w:szCs w:val="14"/>
                <w:b w:val="1"/>
                <w:bCs w:val="1"/>
                <w:color w:val="auto"/>
              </w:rPr>
              <w:t>2017</w:t>
            </w:r>
          </w:p>
        </w:tc>
        <w:tc>
          <w:tcPr>
            <w:tcW w:w="1800" w:type="dxa"/>
            <w:vAlign w:val="bottom"/>
            <w:tcBorders>
              <w:right w:val="single" w:sz="8" w:color="auto"/>
            </w:tcBorders>
            <w:shd w:val="clear" w:color="auto" w:fill="DDDDDD"/>
          </w:tcPr>
          <w:p>
            <w:pPr>
              <w:jc w:val="right"/>
              <w:ind w:right="828"/>
              <w:spacing w:after="0"/>
              <w:rPr>
                <w:sz w:val="20"/>
                <w:szCs w:val="20"/>
                <w:color w:val="auto"/>
              </w:rPr>
            </w:pPr>
            <w:r>
              <w:rPr>
                <w:rFonts w:ascii="Arial" w:cs="Arial" w:eastAsia="Arial" w:hAnsi="Arial"/>
                <w:sz w:val="14"/>
                <w:szCs w:val="14"/>
                <w:b w:val="1"/>
                <w:bCs w:val="1"/>
                <w:color w:val="auto"/>
              </w:rPr>
              <w:t>2018</w:t>
            </w:r>
          </w:p>
        </w:tc>
        <w:tc>
          <w:tcPr>
            <w:tcW w:w="1800" w:type="dxa"/>
            <w:vAlign w:val="bottom"/>
            <w:tcBorders>
              <w:right w:val="single" w:sz="8" w:color="auto"/>
            </w:tcBorders>
            <w:shd w:val="clear" w:color="auto" w:fill="DDDDDD"/>
          </w:tcPr>
          <w:p>
            <w:pPr>
              <w:jc w:val="center"/>
              <w:spacing w:after="0"/>
              <w:rPr>
                <w:sz w:val="20"/>
                <w:szCs w:val="20"/>
                <w:color w:val="auto"/>
              </w:rPr>
            </w:pPr>
            <w:r>
              <w:rPr>
                <w:rFonts w:ascii="Arial" w:cs="Arial" w:eastAsia="Arial" w:hAnsi="Arial"/>
                <w:sz w:val="14"/>
                <w:szCs w:val="14"/>
                <w:b w:val="1"/>
                <w:bCs w:val="1"/>
                <w:color w:val="auto"/>
              </w:rPr>
              <w:t>Owns Required 2018</w:t>
            </w:r>
          </w:p>
        </w:tc>
        <w:tc>
          <w:tcPr>
            <w:tcW w:w="0" w:type="dxa"/>
            <w:vAlign w:val="bottom"/>
          </w:tcPr>
          <w:p>
            <w:pPr>
              <w:spacing w:after="0"/>
              <w:rPr>
                <w:sz w:val="1"/>
                <w:szCs w:val="1"/>
                <w:color w:val="auto"/>
              </w:rPr>
            </w:pPr>
          </w:p>
        </w:tc>
      </w:tr>
      <w:tr>
        <w:trPr>
          <w:trHeight w:val="196"/>
        </w:trPr>
        <w:tc>
          <w:tcPr>
            <w:tcW w:w="1820" w:type="dxa"/>
            <w:vAlign w:val="bottom"/>
            <w:tcBorders>
              <w:left w:val="single" w:sz="8" w:color="auto"/>
              <w:bottom w:val="single" w:sz="8" w:color="auto"/>
              <w:right w:val="single" w:sz="8" w:color="auto"/>
            </w:tcBorders>
            <w:shd w:val="clear" w:color="auto" w:fill="E5E5E5"/>
          </w:tcPr>
          <w:p>
            <w:pPr>
              <w:ind w:left="40"/>
              <w:spacing w:after="0"/>
              <w:rPr>
                <w:sz w:val="20"/>
                <w:szCs w:val="20"/>
                <w:color w:val="auto"/>
              </w:rPr>
            </w:pPr>
            <w:r>
              <w:rPr>
                <w:rFonts w:ascii="Arial" w:cs="Arial" w:eastAsia="Arial" w:hAnsi="Arial"/>
                <w:sz w:val="14"/>
                <w:szCs w:val="14"/>
                <w:b w:val="1"/>
                <w:bCs w:val="1"/>
                <w:color w:val="auto"/>
              </w:rPr>
              <w:t>Name</w:t>
            </w:r>
          </w:p>
        </w:tc>
        <w:tc>
          <w:tcPr>
            <w:tcW w:w="1800" w:type="dxa"/>
            <w:vAlign w:val="bottom"/>
            <w:tcBorders>
              <w:bottom w:val="single" w:sz="8" w:color="auto"/>
              <w:right w:val="single" w:sz="8" w:color="DDDDDD"/>
            </w:tcBorders>
            <w:shd w:val="clear" w:color="auto" w:fill="DDDDDD"/>
          </w:tcPr>
          <w:p>
            <w:pPr>
              <w:spacing w:after="0"/>
              <w:rPr>
                <w:sz w:val="17"/>
                <w:szCs w:val="17"/>
                <w:color w:val="auto"/>
              </w:rPr>
            </w:pPr>
          </w:p>
        </w:tc>
        <w:tc>
          <w:tcPr>
            <w:tcW w:w="1800" w:type="dxa"/>
            <w:vAlign w:val="bottom"/>
            <w:tcBorders>
              <w:bottom w:val="single" w:sz="8" w:color="auto"/>
              <w:right w:val="single" w:sz="8" w:color="auto"/>
            </w:tcBorders>
            <w:shd w:val="clear" w:color="auto" w:fill="DDDDDD"/>
          </w:tcPr>
          <w:p>
            <w:pPr>
              <w:spacing w:after="0"/>
              <w:rPr>
                <w:sz w:val="17"/>
                <w:szCs w:val="17"/>
                <w:color w:val="auto"/>
              </w:rPr>
            </w:pPr>
          </w:p>
        </w:tc>
        <w:tc>
          <w:tcPr>
            <w:tcW w:w="1800" w:type="dxa"/>
            <w:vAlign w:val="bottom"/>
            <w:tcBorders>
              <w:bottom w:val="single" w:sz="8" w:color="auto"/>
              <w:right w:val="single" w:sz="8" w:color="auto"/>
            </w:tcBorders>
            <w:shd w:val="clear" w:color="auto" w:fill="DDDDDD"/>
          </w:tcPr>
          <w:p>
            <w:pPr>
              <w:jc w:val="center"/>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210"/>
        </w:trPr>
        <w:tc>
          <w:tcPr>
            <w:tcW w:w="1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Mr. Ricks</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six times base salary</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six times base salary</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Yes</w:t>
            </w:r>
          </w:p>
        </w:tc>
        <w:tc>
          <w:tcPr>
            <w:tcW w:w="0" w:type="dxa"/>
            <w:vAlign w:val="bottom"/>
          </w:tcPr>
          <w:p>
            <w:pPr>
              <w:spacing w:after="0"/>
              <w:rPr>
                <w:sz w:val="1"/>
                <w:szCs w:val="1"/>
                <w:color w:val="auto"/>
              </w:rPr>
            </w:pPr>
          </w:p>
        </w:tc>
      </w:tr>
      <w:tr>
        <w:trPr>
          <w:trHeight w:val="210"/>
        </w:trPr>
        <w:tc>
          <w:tcPr>
            <w:tcW w:w="1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Mr. Conterno</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three times base salary</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four times base salary</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Yes</w:t>
            </w:r>
          </w:p>
        </w:tc>
        <w:tc>
          <w:tcPr>
            <w:tcW w:w="0" w:type="dxa"/>
            <w:vAlign w:val="bottom"/>
          </w:tcPr>
          <w:p>
            <w:pPr>
              <w:spacing w:after="0"/>
              <w:rPr>
                <w:sz w:val="1"/>
                <w:szCs w:val="1"/>
                <w:color w:val="auto"/>
              </w:rPr>
            </w:pPr>
          </w:p>
        </w:tc>
      </w:tr>
      <w:tr>
        <w:trPr>
          <w:trHeight w:val="204"/>
        </w:trPr>
        <w:tc>
          <w:tcPr>
            <w:tcW w:w="18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Mr. Rice (retired)</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three times base salary</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four times base salary</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Yes</w:t>
            </w:r>
          </w:p>
        </w:tc>
        <w:tc>
          <w:tcPr>
            <w:tcW w:w="0" w:type="dxa"/>
            <w:vAlign w:val="bottom"/>
          </w:tcPr>
          <w:p>
            <w:pPr>
              <w:spacing w:after="0"/>
              <w:rPr>
                <w:sz w:val="1"/>
                <w:szCs w:val="1"/>
                <w:color w:val="auto"/>
              </w:rPr>
            </w:pPr>
          </w:p>
        </w:tc>
      </w:tr>
      <w:tr>
        <w:trPr>
          <w:trHeight w:val="168"/>
        </w:trPr>
        <w:tc>
          <w:tcPr>
            <w:tcW w:w="182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800" w:type="dxa"/>
            <w:vAlign w:val="bottom"/>
            <w:tcBorders>
              <w:bottom w:val="single" w:sz="8" w:color="auto"/>
              <w:right w:val="single" w:sz="8" w:color="auto"/>
            </w:tcBorders>
          </w:tcPr>
          <w:p>
            <w:pPr>
              <w:spacing w:after="0"/>
              <w:rPr>
                <w:sz w:val="14"/>
                <w:szCs w:val="14"/>
                <w:color w:val="auto"/>
              </w:rPr>
            </w:pPr>
          </w:p>
        </w:tc>
        <w:tc>
          <w:tcPr>
            <w:tcW w:w="1800" w:type="dxa"/>
            <w:vAlign w:val="bottom"/>
            <w:tcBorders>
              <w:bottom w:val="single" w:sz="8" w:color="auto"/>
              <w:right w:val="single" w:sz="8" w:color="auto"/>
            </w:tcBorders>
            <w:vMerge w:val="continue"/>
          </w:tcPr>
          <w:p>
            <w:pPr>
              <w:spacing w:after="0"/>
              <w:rPr>
                <w:sz w:val="14"/>
                <w:szCs w:val="14"/>
                <w:color w:val="auto"/>
              </w:rPr>
            </w:pPr>
          </w:p>
        </w:tc>
        <w:tc>
          <w:tcPr>
            <w:tcW w:w="180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18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Dr. Lundberg</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three times base salary</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four times base salary</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Yes</w:t>
            </w:r>
          </w:p>
        </w:tc>
        <w:tc>
          <w:tcPr>
            <w:tcW w:w="0" w:type="dxa"/>
            <w:vAlign w:val="bottom"/>
          </w:tcPr>
          <w:p>
            <w:pPr>
              <w:spacing w:after="0"/>
              <w:rPr>
                <w:sz w:val="1"/>
                <w:szCs w:val="1"/>
                <w:color w:val="auto"/>
              </w:rPr>
            </w:pPr>
          </w:p>
        </w:tc>
      </w:tr>
      <w:tr>
        <w:trPr>
          <w:trHeight w:val="168"/>
        </w:trPr>
        <w:tc>
          <w:tcPr>
            <w:tcW w:w="182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800" w:type="dxa"/>
            <w:vAlign w:val="bottom"/>
            <w:tcBorders>
              <w:bottom w:val="single" w:sz="8" w:color="auto"/>
              <w:right w:val="single" w:sz="8" w:color="auto"/>
            </w:tcBorders>
          </w:tcPr>
          <w:p>
            <w:pPr>
              <w:spacing w:after="0"/>
              <w:rPr>
                <w:sz w:val="14"/>
                <w:szCs w:val="14"/>
                <w:color w:val="auto"/>
              </w:rPr>
            </w:pPr>
          </w:p>
        </w:tc>
        <w:tc>
          <w:tcPr>
            <w:tcW w:w="1800" w:type="dxa"/>
            <w:vAlign w:val="bottom"/>
            <w:tcBorders>
              <w:bottom w:val="single" w:sz="8" w:color="auto"/>
              <w:right w:val="single" w:sz="8" w:color="auto"/>
            </w:tcBorders>
            <w:vMerge w:val="continue"/>
          </w:tcPr>
          <w:p>
            <w:pPr>
              <w:spacing w:after="0"/>
              <w:rPr>
                <w:sz w:val="14"/>
                <w:szCs w:val="14"/>
                <w:color w:val="auto"/>
              </w:rPr>
            </w:pPr>
          </w:p>
        </w:tc>
        <w:tc>
          <w:tcPr>
            <w:tcW w:w="180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18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Mr. Harrington</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three times base salary</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four times base salary</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Yes</w:t>
            </w:r>
          </w:p>
        </w:tc>
        <w:tc>
          <w:tcPr>
            <w:tcW w:w="0" w:type="dxa"/>
            <w:vAlign w:val="bottom"/>
          </w:tcPr>
          <w:p>
            <w:pPr>
              <w:spacing w:after="0"/>
              <w:rPr>
                <w:sz w:val="1"/>
                <w:szCs w:val="1"/>
                <w:color w:val="auto"/>
              </w:rPr>
            </w:pPr>
          </w:p>
        </w:tc>
      </w:tr>
      <w:tr>
        <w:trPr>
          <w:trHeight w:val="168"/>
        </w:trPr>
        <w:tc>
          <w:tcPr>
            <w:tcW w:w="182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800" w:type="dxa"/>
            <w:vAlign w:val="bottom"/>
            <w:tcBorders>
              <w:bottom w:val="single" w:sz="8" w:color="auto"/>
              <w:right w:val="single" w:sz="8" w:color="auto"/>
            </w:tcBorders>
          </w:tcPr>
          <w:p>
            <w:pPr>
              <w:spacing w:after="0"/>
              <w:rPr>
                <w:sz w:val="14"/>
                <w:szCs w:val="14"/>
                <w:color w:val="auto"/>
              </w:rPr>
            </w:pPr>
          </w:p>
        </w:tc>
        <w:tc>
          <w:tcPr>
            <w:tcW w:w="1800" w:type="dxa"/>
            <w:vAlign w:val="bottom"/>
            <w:tcBorders>
              <w:bottom w:val="single" w:sz="8" w:color="auto"/>
              <w:right w:val="single" w:sz="8" w:color="auto"/>
            </w:tcBorders>
            <w:vMerge w:val="continue"/>
          </w:tcPr>
          <w:p>
            <w:pPr>
              <w:spacing w:after="0"/>
              <w:rPr>
                <w:sz w:val="14"/>
                <w:szCs w:val="14"/>
                <w:color w:val="auto"/>
              </w:rPr>
            </w:pPr>
          </w:p>
        </w:tc>
        <w:tc>
          <w:tcPr>
            <w:tcW w:w="18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Executive officers are also required to hold all shares received from equity program payouts, net of acquisition costs and taxes, for at least one year, even once share ownership requirements have been met. For performance awards, this holding requirement is met by the 13-month service-vesting period that applies after the end of the performance period.</w:t>
      </w:r>
    </w:p>
    <w:p>
      <w:pPr>
        <w:spacing w:after="0" w:line="202"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Non-employee directors and employees are not permitted to hedge their economic exposures to company stock through short sales or derivative transactions. Non-employee directors and all members of senior management are prohibited from pledging any company stock (i.e., using company stock as collateral for a loan or trading shares on margin).</w:t>
      </w:r>
    </w:p>
    <w:p>
      <w:pPr>
        <w:spacing w:after="0" w:line="172" w:lineRule="exact"/>
        <w:rPr>
          <w:sz w:val="20"/>
          <w:szCs w:val="20"/>
          <w:color w:val="auto"/>
        </w:rPr>
      </w:pPr>
    </w:p>
    <w:p>
      <w:pPr>
        <w:spacing w:after="0"/>
        <w:rPr>
          <w:sz w:val="20"/>
          <w:szCs w:val="20"/>
          <w:color w:val="auto"/>
        </w:rPr>
      </w:pPr>
      <w:r>
        <w:rPr>
          <w:rFonts w:ascii="Arial" w:cs="Arial" w:eastAsia="Arial" w:hAnsi="Arial"/>
          <w:sz w:val="25"/>
          <w:szCs w:val="25"/>
          <w:b w:val="1"/>
          <w:bCs w:val="1"/>
          <w:color w:val="FF0000"/>
        </w:rPr>
        <w:t>Executive Compensation Recovery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81280</wp:posOffset>
            </wp:positionV>
            <wp:extent cx="72720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62" w:lineRule="exact"/>
        <w:rPr>
          <w:sz w:val="20"/>
          <w:szCs w:val="20"/>
          <w:color w:val="auto"/>
        </w:rPr>
      </w:pPr>
    </w:p>
    <w:p>
      <w:pPr>
        <w:ind w:right="640"/>
        <w:spacing w:after="0" w:line="256" w:lineRule="auto"/>
        <w:rPr>
          <w:sz w:val="20"/>
          <w:szCs w:val="20"/>
          <w:color w:val="auto"/>
        </w:rPr>
      </w:pPr>
      <w:r>
        <w:rPr>
          <w:rFonts w:ascii="Arial" w:cs="Arial" w:eastAsia="Arial" w:hAnsi="Arial"/>
          <w:sz w:val="18"/>
          <w:szCs w:val="18"/>
          <w:color w:val="auto"/>
        </w:rPr>
        <w:t>All incentive awards are subject to forfeiture upon termination of employment prior to the end of the performance or vesting period or for disciplinary reasons. In addition, the Compensation Committee has adopted an executive compensation recovery policy that gives the Compensation Committee broad discretion</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P48</w:t>
      </w:r>
    </w:p>
    <w:p>
      <w:pPr>
        <w:sectPr>
          <w:pgSz w:w="11900" w:h="16838" w:orient="portrait"/>
          <w:cols w:equalWidth="0" w:num="1">
            <w:col w:w="11420"/>
          </w:cols>
          <w:pgMar w:left="240" w:top="580" w:right="239" w:bottom="1440" w:gutter="0" w:footer="0" w:header="0"/>
        </w:sectPr>
      </w:pPr>
    </w:p>
    <w:bookmarkStart w:id="52" w:name="page53"/>
    <w:bookmarkEnd w:id="52"/>
    <w:p>
      <w:pPr>
        <w:ind w:right="260"/>
        <w:spacing w:after="0" w:line="256" w:lineRule="auto"/>
        <w:rPr>
          <w:sz w:val="20"/>
          <w:szCs w:val="20"/>
          <w:color w:val="auto"/>
        </w:rPr>
      </w:pPr>
      <w:r>
        <w:rPr>
          <w:rFonts w:ascii="Arial" w:cs="Arial" w:eastAsia="Arial" w:hAnsi="Arial"/>
          <w:sz w:val="18"/>
          <w:szCs w:val="18"/>
          <w:color w:val="auto"/>
        </w:rPr>
        <w:t>to claw back incentive payouts from any member of senior management (approximately 150 employees) whose misconduct results in a material violation of law or company policy that causes significant harm to the company or who fails in his or her supervisory responsibility to prevent such misconduct by others.</w:t>
      </w:r>
    </w:p>
    <w:p>
      <w:pPr>
        <w:spacing w:after="0" w:line="202" w:lineRule="exact"/>
        <w:rPr>
          <w:sz w:val="20"/>
          <w:szCs w:val="20"/>
          <w:color w:val="auto"/>
        </w:rPr>
      </w:pPr>
    </w:p>
    <w:p>
      <w:pPr>
        <w:jc w:val="both"/>
        <w:ind w:right="560"/>
        <w:spacing w:after="0" w:line="256" w:lineRule="auto"/>
        <w:rPr>
          <w:sz w:val="20"/>
          <w:szCs w:val="20"/>
          <w:color w:val="auto"/>
        </w:rPr>
      </w:pPr>
      <w:r>
        <w:rPr>
          <w:rFonts w:ascii="Arial" w:cs="Arial" w:eastAsia="Arial" w:hAnsi="Arial"/>
          <w:sz w:val="18"/>
          <w:szCs w:val="18"/>
          <w:color w:val="auto"/>
        </w:rPr>
        <w:t>Additionally, the company can recover all or a portion of any executive officer incentive compensation in the case of materially inaccurate financial statements or material errors in the performance calculation, whether or not they result in a restatement and whether or not the executive officer has engaged in wrongful conduct.</w:t>
      </w:r>
    </w:p>
    <w:p>
      <w:pPr>
        <w:spacing w:after="0" w:line="202"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The recovery policy covers any incentive compensation awarded or paid to an employee at a time when he or she is a member of senior management. Subsequent changes in status, including retirement or termination of employment, do not affect the company’s rights to recover compensation under the policy. Recoveries under the plan can extend back as far as three years.</w:t>
      </w:r>
    </w:p>
    <w:p>
      <w:pPr>
        <w:spacing w:after="0" w:line="253" w:lineRule="exact"/>
        <w:rPr>
          <w:sz w:val="20"/>
          <w:szCs w:val="20"/>
          <w:color w:val="auto"/>
        </w:rPr>
      </w:pPr>
    </w:p>
    <w:p>
      <w:pPr>
        <w:spacing w:after="0"/>
        <w:rPr>
          <w:sz w:val="20"/>
          <w:szCs w:val="20"/>
          <w:color w:val="auto"/>
        </w:rPr>
      </w:pPr>
      <w:r>
        <w:rPr>
          <w:rFonts w:ascii="Arial" w:cs="Arial" w:eastAsia="Arial" w:hAnsi="Arial"/>
          <w:sz w:val="25"/>
          <w:szCs w:val="25"/>
          <w:b w:val="1"/>
          <w:bCs w:val="1"/>
          <w:color w:val="FF0000"/>
        </w:rPr>
        <w:t>Looking Ahead to 2018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81280</wp:posOffset>
            </wp:positionV>
            <wp:extent cx="72720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6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Lilly’s Board of Directors unanimously elected Joshua L. Smiley to assume the role of Senior Vice President and Chief Financial Officer effective January 1, 2018, succeeding Mr. Rice, who retired from the company at the end of 2017. In connection with his appointment, Mr. Smiley will receive a base salary of $875,000 and will be eligible for an annual cash bonus with a target of 95 percent of base salary. Mr. Smiley received an equity award in February 2018 as part of the company’s annual equity incentive program with a grant value of $ 2.3 million. One hundred percent of this grant value was delivered in the form of performance-based equity: 60 percent in shareholder value awards and 40 percent in performance awards.</w:t>
      </w:r>
    </w:p>
    <w:p>
      <w:pPr>
        <w:spacing w:after="0" w:line="209"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The Compensation Committee approved new share ownership guidelines for named executive officers other than the CEO. While the CEO’s requirement remains six times his annual base salary, the named executive officers' requirement increased from three times to four times annual base salary.</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P49</w:t>
      </w:r>
    </w:p>
    <w:p>
      <w:pPr>
        <w:sectPr>
          <w:pgSz w:w="11900" w:h="16838" w:orient="portrait"/>
          <w:cols w:equalWidth="0" w:num="1">
            <w:col w:w="11420"/>
          </w:cols>
          <w:pgMar w:left="240" w:top="598" w:right="239" w:bottom="1440" w:gutter="0" w:footer="0" w:header="0"/>
        </w:sectPr>
      </w:pPr>
    </w:p>
    <w:bookmarkStart w:id="53" w:name="page54"/>
    <w:bookmarkEnd w:id="53"/>
    <w:p>
      <w:pPr>
        <w:spacing w:after="0"/>
        <w:rPr>
          <w:sz w:val="20"/>
          <w:szCs w:val="20"/>
          <w:color w:val="auto"/>
        </w:rPr>
      </w:pPr>
      <w:r>
        <w:rPr>
          <w:rFonts w:ascii="Arial" w:cs="Arial" w:eastAsia="Arial" w:hAnsi="Arial"/>
          <w:sz w:val="28"/>
          <w:szCs w:val="28"/>
          <w:b w:val="1"/>
          <w:bCs w:val="1"/>
          <w:color w:val="FF0000"/>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91440</wp:posOffset>
            </wp:positionV>
            <wp:extent cx="72720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9" w:right="239" w:bottom="1440" w:gutter="0" w:footer="0" w:header="0"/>
        </w:sect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Compensation Table</w:t>
      </w:r>
    </w:p>
    <w:p>
      <w:pPr>
        <w:spacing w:after="0" w:line="147" w:lineRule="exact"/>
        <w:rPr>
          <w:sz w:val="20"/>
          <w:szCs w:val="20"/>
          <w:color w:val="auto"/>
        </w:rPr>
      </w:pPr>
    </w:p>
    <w:tbl>
      <w:tblPr>
        <w:tblLayout w:type="fixed"/>
        <w:tblInd w:w="1150" w:type="dxa"/>
        <w:tblCellMar>
          <w:top w:w="0" w:type="dxa"/>
          <w:left w:w="0" w:type="dxa"/>
          <w:bottom w:w="0" w:type="dxa"/>
          <w:right w:w="0" w:type="dxa"/>
        </w:tblCellMar>
      </w:tblPr>
      <w:tr>
        <w:trPr>
          <w:trHeight w:val="216"/>
        </w:trPr>
        <w:tc>
          <w:tcPr>
            <w:tcW w:w="560" w:type="dxa"/>
            <w:vAlign w:val="bottom"/>
            <w:tcBorders>
              <w:top w:val="single" w:sz="8" w:color="auto"/>
              <w:left w:val="single" w:sz="8" w:color="auto"/>
            </w:tcBorders>
            <w:shd w:val="clear" w:color="auto" w:fill="DDDDDD"/>
          </w:tcPr>
          <w:p>
            <w:pPr>
              <w:spacing w:after="0"/>
              <w:rPr>
                <w:sz w:val="18"/>
                <w:szCs w:val="18"/>
                <w:color w:val="auto"/>
              </w:rPr>
            </w:pPr>
          </w:p>
        </w:tc>
        <w:tc>
          <w:tcPr>
            <w:tcW w:w="820" w:type="dxa"/>
            <w:vAlign w:val="bottom"/>
            <w:tcBorders>
              <w:top w:val="single" w:sz="8" w:color="auto"/>
              <w:right w:val="single" w:sz="8" w:color="auto"/>
            </w:tcBorders>
            <w:shd w:val="clear" w:color="auto" w:fill="DDDDDD"/>
          </w:tcPr>
          <w:p>
            <w:pPr>
              <w:spacing w:after="0"/>
              <w:rPr>
                <w:sz w:val="18"/>
                <w:szCs w:val="18"/>
                <w:color w:val="auto"/>
              </w:rPr>
            </w:pPr>
          </w:p>
        </w:tc>
        <w:tc>
          <w:tcPr>
            <w:tcW w:w="100" w:type="dxa"/>
            <w:vAlign w:val="bottom"/>
            <w:tcBorders>
              <w:top w:val="single" w:sz="8" w:color="auto"/>
            </w:tcBorders>
            <w:shd w:val="clear" w:color="auto" w:fill="DDDDDD"/>
          </w:tcPr>
          <w:p>
            <w:pPr>
              <w:spacing w:after="0"/>
              <w:rPr>
                <w:sz w:val="18"/>
                <w:szCs w:val="18"/>
                <w:color w:val="auto"/>
              </w:rPr>
            </w:pPr>
          </w:p>
        </w:tc>
        <w:tc>
          <w:tcPr>
            <w:tcW w:w="280" w:type="dxa"/>
            <w:vAlign w:val="bottom"/>
            <w:tcBorders>
              <w:top w:val="single" w:sz="8" w:color="auto"/>
            </w:tcBorders>
            <w:shd w:val="clear" w:color="auto" w:fill="DDDDDD"/>
          </w:tcPr>
          <w:p>
            <w:pPr>
              <w:spacing w:after="0"/>
              <w:rPr>
                <w:sz w:val="18"/>
                <w:szCs w:val="18"/>
                <w:color w:val="auto"/>
              </w:rPr>
            </w:pPr>
          </w:p>
        </w:tc>
        <w:tc>
          <w:tcPr>
            <w:tcW w:w="120" w:type="dxa"/>
            <w:vAlign w:val="bottom"/>
            <w:tcBorders>
              <w:top w:val="single" w:sz="8" w:color="auto"/>
              <w:right w:val="single" w:sz="8" w:color="auto"/>
            </w:tcBorders>
            <w:shd w:val="clear" w:color="auto" w:fill="DDDDDD"/>
          </w:tcPr>
          <w:p>
            <w:pPr>
              <w:spacing w:after="0"/>
              <w:rPr>
                <w:sz w:val="18"/>
                <w:szCs w:val="18"/>
                <w:color w:val="auto"/>
              </w:rPr>
            </w:pPr>
          </w:p>
        </w:tc>
        <w:tc>
          <w:tcPr>
            <w:tcW w:w="200" w:type="dxa"/>
            <w:vAlign w:val="bottom"/>
            <w:tcBorders>
              <w:top w:val="single" w:sz="8" w:color="auto"/>
            </w:tcBorders>
            <w:shd w:val="clear" w:color="auto" w:fill="DDDDDD"/>
          </w:tcPr>
          <w:p>
            <w:pPr>
              <w:spacing w:after="0"/>
              <w:rPr>
                <w:sz w:val="18"/>
                <w:szCs w:val="18"/>
                <w:color w:val="auto"/>
              </w:rPr>
            </w:pPr>
          </w:p>
        </w:tc>
        <w:tc>
          <w:tcPr>
            <w:tcW w:w="120" w:type="dxa"/>
            <w:vAlign w:val="bottom"/>
            <w:tcBorders>
              <w:top w:val="single" w:sz="8" w:color="auto"/>
            </w:tcBorders>
            <w:shd w:val="clear" w:color="auto" w:fill="DDDDDD"/>
          </w:tcPr>
          <w:p>
            <w:pPr>
              <w:spacing w:after="0"/>
              <w:rPr>
                <w:sz w:val="18"/>
                <w:szCs w:val="18"/>
                <w:color w:val="auto"/>
              </w:rPr>
            </w:pPr>
          </w:p>
        </w:tc>
        <w:tc>
          <w:tcPr>
            <w:tcW w:w="180" w:type="dxa"/>
            <w:vAlign w:val="bottom"/>
            <w:tcBorders>
              <w:top w:val="single" w:sz="8" w:color="auto"/>
            </w:tcBorders>
            <w:shd w:val="clear" w:color="auto" w:fill="DDDDDD"/>
          </w:tcPr>
          <w:p>
            <w:pPr>
              <w:spacing w:after="0"/>
              <w:rPr>
                <w:sz w:val="18"/>
                <w:szCs w:val="18"/>
                <w:color w:val="auto"/>
              </w:rPr>
            </w:pPr>
          </w:p>
        </w:tc>
        <w:tc>
          <w:tcPr>
            <w:tcW w:w="120" w:type="dxa"/>
            <w:vAlign w:val="bottom"/>
            <w:tcBorders>
              <w:top w:val="single" w:sz="8" w:color="auto"/>
            </w:tcBorders>
            <w:shd w:val="clear" w:color="auto" w:fill="DDDDDD"/>
          </w:tcPr>
          <w:p>
            <w:pPr>
              <w:spacing w:after="0"/>
              <w:rPr>
                <w:sz w:val="18"/>
                <w:szCs w:val="18"/>
                <w:color w:val="auto"/>
              </w:rPr>
            </w:pPr>
          </w:p>
        </w:tc>
        <w:tc>
          <w:tcPr>
            <w:tcW w:w="240" w:type="dxa"/>
            <w:vAlign w:val="bottom"/>
            <w:tcBorders>
              <w:top w:val="single" w:sz="8" w:color="auto"/>
              <w:right w:val="single" w:sz="8" w:color="auto"/>
            </w:tcBorders>
            <w:shd w:val="clear" w:color="auto" w:fill="DDDDDD"/>
          </w:tcPr>
          <w:p>
            <w:pPr>
              <w:spacing w:after="0"/>
              <w:rPr>
                <w:sz w:val="18"/>
                <w:szCs w:val="18"/>
                <w:color w:val="auto"/>
              </w:rPr>
            </w:pPr>
          </w:p>
        </w:tc>
        <w:tc>
          <w:tcPr>
            <w:tcW w:w="40" w:type="dxa"/>
            <w:vAlign w:val="bottom"/>
            <w:tcBorders>
              <w:top w:val="single" w:sz="8" w:color="auto"/>
            </w:tcBorders>
            <w:shd w:val="clear" w:color="auto" w:fill="DDDDDD"/>
          </w:tcPr>
          <w:p>
            <w:pPr>
              <w:spacing w:after="0"/>
              <w:rPr>
                <w:sz w:val="18"/>
                <w:szCs w:val="18"/>
                <w:color w:val="auto"/>
              </w:rPr>
            </w:pPr>
          </w:p>
        </w:tc>
        <w:tc>
          <w:tcPr>
            <w:tcW w:w="120" w:type="dxa"/>
            <w:vAlign w:val="bottom"/>
            <w:tcBorders>
              <w:top w:val="single" w:sz="8" w:color="auto"/>
            </w:tcBorders>
            <w:shd w:val="clear" w:color="auto" w:fill="DDDDDD"/>
          </w:tcPr>
          <w:p>
            <w:pPr>
              <w:spacing w:after="0"/>
              <w:rPr>
                <w:sz w:val="18"/>
                <w:szCs w:val="18"/>
                <w:color w:val="auto"/>
              </w:rPr>
            </w:pPr>
          </w:p>
        </w:tc>
        <w:tc>
          <w:tcPr>
            <w:tcW w:w="160" w:type="dxa"/>
            <w:vAlign w:val="bottom"/>
            <w:tcBorders>
              <w:top w:val="single" w:sz="8" w:color="auto"/>
            </w:tcBorders>
            <w:shd w:val="clear" w:color="auto" w:fill="DDDDDD"/>
          </w:tcPr>
          <w:p>
            <w:pPr>
              <w:spacing w:after="0"/>
              <w:rPr>
                <w:sz w:val="18"/>
                <w:szCs w:val="18"/>
                <w:color w:val="auto"/>
              </w:rPr>
            </w:pPr>
          </w:p>
        </w:tc>
        <w:tc>
          <w:tcPr>
            <w:tcW w:w="200" w:type="dxa"/>
            <w:vAlign w:val="bottom"/>
            <w:tcBorders>
              <w:top w:val="single" w:sz="8" w:color="auto"/>
              <w:right w:val="single" w:sz="8" w:color="auto"/>
            </w:tcBorders>
            <w:shd w:val="clear" w:color="auto" w:fill="DDDDDD"/>
          </w:tcPr>
          <w:p>
            <w:pPr>
              <w:spacing w:after="0"/>
              <w:rPr>
                <w:sz w:val="18"/>
                <w:szCs w:val="18"/>
                <w:color w:val="auto"/>
              </w:rPr>
            </w:pPr>
          </w:p>
        </w:tc>
        <w:tc>
          <w:tcPr>
            <w:tcW w:w="40" w:type="dxa"/>
            <w:vAlign w:val="bottom"/>
            <w:tcBorders>
              <w:top w:val="single" w:sz="8" w:color="auto"/>
            </w:tcBorders>
            <w:shd w:val="clear" w:color="auto" w:fill="DDDDDD"/>
          </w:tcPr>
          <w:p>
            <w:pPr>
              <w:spacing w:after="0"/>
              <w:rPr>
                <w:sz w:val="18"/>
                <w:szCs w:val="18"/>
                <w:color w:val="auto"/>
              </w:rPr>
            </w:pPr>
          </w:p>
        </w:tc>
        <w:tc>
          <w:tcPr>
            <w:tcW w:w="300" w:type="dxa"/>
            <w:vAlign w:val="bottom"/>
            <w:tcBorders>
              <w:top w:val="single" w:sz="8" w:color="auto"/>
            </w:tcBorders>
            <w:shd w:val="clear" w:color="auto" w:fill="DDDDDD"/>
          </w:tcPr>
          <w:p>
            <w:pPr>
              <w:spacing w:after="0"/>
              <w:rPr>
                <w:sz w:val="18"/>
                <w:szCs w:val="18"/>
                <w:color w:val="auto"/>
              </w:rPr>
            </w:pPr>
          </w:p>
        </w:tc>
        <w:tc>
          <w:tcPr>
            <w:tcW w:w="220" w:type="dxa"/>
            <w:vAlign w:val="bottom"/>
            <w:tcBorders>
              <w:top w:val="single" w:sz="8" w:color="auto"/>
            </w:tcBorders>
            <w:shd w:val="clear" w:color="auto" w:fill="DDDDDD"/>
          </w:tcPr>
          <w:p>
            <w:pPr>
              <w:spacing w:after="0"/>
              <w:rPr>
                <w:sz w:val="18"/>
                <w:szCs w:val="18"/>
                <w:color w:val="auto"/>
              </w:rPr>
            </w:pPr>
          </w:p>
        </w:tc>
        <w:tc>
          <w:tcPr>
            <w:tcW w:w="40" w:type="dxa"/>
            <w:vAlign w:val="bottom"/>
            <w:tcBorders>
              <w:top w:val="single" w:sz="8" w:color="auto"/>
            </w:tcBorders>
            <w:shd w:val="clear" w:color="auto" w:fill="DDDDDD"/>
          </w:tcPr>
          <w:p>
            <w:pPr>
              <w:spacing w:after="0"/>
              <w:rPr>
                <w:sz w:val="18"/>
                <w:szCs w:val="18"/>
                <w:color w:val="auto"/>
              </w:rPr>
            </w:pPr>
          </w:p>
        </w:tc>
        <w:tc>
          <w:tcPr>
            <w:tcW w:w="380" w:type="dxa"/>
            <w:vAlign w:val="bottom"/>
            <w:tcBorders>
              <w:top w:val="single" w:sz="8" w:color="auto"/>
              <w:right w:val="single" w:sz="8" w:color="auto"/>
            </w:tcBorders>
            <w:shd w:val="clear" w:color="auto" w:fill="DDDDDD"/>
          </w:tcPr>
          <w:p>
            <w:pPr>
              <w:spacing w:after="0"/>
              <w:rPr>
                <w:sz w:val="18"/>
                <w:szCs w:val="18"/>
                <w:color w:val="auto"/>
              </w:rPr>
            </w:pPr>
          </w:p>
        </w:tc>
        <w:tc>
          <w:tcPr>
            <w:tcW w:w="160" w:type="dxa"/>
            <w:vAlign w:val="bottom"/>
            <w:tcBorders>
              <w:top w:val="single" w:sz="8" w:color="auto"/>
            </w:tcBorders>
            <w:shd w:val="clear" w:color="auto" w:fill="DDDDDD"/>
          </w:tcPr>
          <w:p>
            <w:pPr>
              <w:spacing w:after="0"/>
              <w:rPr>
                <w:sz w:val="18"/>
                <w:szCs w:val="18"/>
                <w:color w:val="auto"/>
              </w:rPr>
            </w:pPr>
          </w:p>
        </w:tc>
        <w:tc>
          <w:tcPr>
            <w:tcW w:w="120" w:type="dxa"/>
            <w:vAlign w:val="bottom"/>
            <w:tcBorders>
              <w:top w:val="single" w:sz="8" w:color="auto"/>
            </w:tcBorders>
            <w:shd w:val="clear" w:color="auto" w:fill="DDDDDD"/>
          </w:tcPr>
          <w:p>
            <w:pPr>
              <w:spacing w:after="0"/>
              <w:rPr>
                <w:sz w:val="18"/>
                <w:szCs w:val="18"/>
                <w:color w:val="auto"/>
              </w:rPr>
            </w:pPr>
          </w:p>
        </w:tc>
        <w:tc>
          <w:tcPr>
            <w:tcW w:w="200" w:type="dxa"/>
            <w:vAlign w:val="bottom"/>
            <w:tcBorders>
              <w:top w:val="single" w:sz="8" w:color="auto"/>
            </w:tcBorders>
            <w:shd w:val="clear" w:color="auto" w:fill="DDDDDD"/>
          </w:tcPr>
          <w:p>
            <w:pPr>
              <w:spacing w:after="0"/>
              <w:rPr>
                <w:sz w:val="18"/>
                <w:szCs w:val="18"/>
                <w:color w:val="auto"/>
              </w:rPr>
            </w:pPr>
          </w:p>
        </w:tc>
        <w:tc>
          <w:tcPr>
            <w:tcW w:w="200" w:type="dxa"/>
            <w:vAlign w:val="bottom"/>
            <w:tcBorders>
              <w:top w:val="single" w:sz="8" w:color="auto"/>
              <w:right w:val="single" w:sz="8" w:color="auto"/>
            </w:tcBorders>
            <w:shd w:val="clear" w:color="auto" w:fill="DDDDDD"/>
          </w:tcPr>
          <w:p>
            <w:pPr>
              <w:spacing w:after="0"/>
              <w:rPr>
                <w:sz w:val="18"/>
                <w:szCs w:val="18"/>
                <w:color w:val="auto"/>
              </w:rPr>
            </w:pPr>
          </w:p>
        </w:tc>
        <w:tc>
          <w:tcPr>
            <w:tcW w:w="1040" w:type="dxa"/>
            <w:vAlign w:val="bottom"/>
            <w:tcBorders>
              <w:top w:val="single" w:sz="8" w:color="auto"/>
              <w:right w:val="single" w:sz="8" w:color="auto"/>
            </w:tcBorders>
            <w:gridSpan w:val="3"/>
            <w:shd w:val="clear" w:color="auto" w:fill="DDDDDD"/>
          </w:tcPr>
          <w:p>
            <w:pPr>
              <w:jc w:val="center"/>
              <w:ind w:right="15"/>
              <w:spacing w:after="0"/>
              <w:rPr>
                <w:sz w:val="20"/>
                <w:szCs w:val="20"/>
                <w:color w:val="auto"/>
              </w:rPr>
            </w:pPr>
            <w:r>
              <w:rPr>
                <w:rFonts w:ascii="Arial" w:cs="Arial" w:eastAsia="Arial" w:hAnsi="Arial"/>
                <w:sz w:val="14"/>
                <w:szCs w:val="14"/>
                <w:color w:val="auto"/>
                <w:highlight w:val="lightGray"/>
              </w:rPr>
              <w:t>Non-Equity</w:t>
            </w:r>
          </w:p>
        </w:tc>
        <w:tc>
          <w:tcPr>
            <w:tcW w:w="340" w:type="dxa"/>
            <w:vAlign w:val="bottom"/>
            <w:tcBorders>
              <w:top w:val="single" w:sz="8" w:color="auto"/>
            </w:tcBorders>
            <w:shd w:val="clear" w:color="auto" w:fill="DDDDDD"/>
          </w:tcPr>
          <w:p>
            <w:pPr>
              <w:spacing w:after="0"/>
              <w:rPr>
                <w:sz w:val="18"/>
                <w:szCs w:val="18"/>
                <w:color w:val="auto"/>
              </w:rPr>
            </w:pPr>
          </w:p>
        </w:tc>
        <w:tc>
          <w:tcPr>
            <w:tcW w:w="220" w:type="dxa"/>
            <w:vAlign w:val="bottom"/>
            <w:tcBorders>
              <w:top w:val="single" w:sz="8" w:color="auto"/>
            </w:tcBorders>
            <w:shd w:val="clear" w:color="auto" w:fill="DDDDDD"/>
          </w:tcPr>
          <w:p>
            <w:pPr>
              <w:spacing w:after="0"/>
              <w:rPr>
                <w:sz w:val="18"/>
                <w:szCs w:val="18"/>
                <w:color w:val="auto"/>
              </w:rPr>
            </w:pPr>
          </w:p>
        </w:tc>
        <w:tc>
          <w:tcPr>
            <w:tcW w:w="40" w:type="dxa"/>
            <w:vAlign w:val="bottom"/>
            <w:tcBorders>
              <w:top w:val="single" w:sz="8" w:color="auto"/>
            </w:tcBorders>
            <w:shd w:val="clear" w:color="auto" w:fill="DDDDDD"/>
          </w:tcPr>
          <w:p>
            <w:pPr>
              <w:spacing w:after="0"/>
              <w:rPr>
                <w:sz w:val="18"/>
                <w:szCs w:val="18"/>
                <w:color w:val="auto"/>
              </w:rPr>
            </w:pPr>
          </w:p>
        </w:tc>
        <w:tc>
          <w:tcPr>
            <w:tcW w:w="560" w:type="dxa"/>
            <w:vAlign w:val="bottom"/>
            <w:tcBorders>
              <w:top w:val="single" w:sz="8" w:color="auto"/>
              <w:right w:val="single" w:sz="8" w:color="auto"/>
            </w:tcBorders>
            <w:shd w:val="clear" w:color="auto" w:fill="DDDDDD"/>
          </w:tcPr>
          <w:p>
            <w:pPr>
              <w:spacing w:after="0"/>
              <w:rPr>
                <w:sz w:val="18"/>
                <w:szCs w:val="18"/>
                <w:color w:val="auto"/>
              </w:rPr>
            </w:pPr>
          </w:p>
        </w:tc>
        <w:tc>
          <w:tcPr>
            <w:tcW w:w="360" w:type="dxa"/>
            <w:vAlign w:val="bottom"/>
            <w:tcBorders>
              <w:top w:val="single" w:sz="8" w:color="auto"/>
            </w:tcBorders>
            <w:shd w:val="clear" w:color="auto" w:fill="DDDDDD"/>
          </w:tcPr>
          <w:p>
            <w:pPr>
              <w:spacing w:after="0"/>
              <w:rPr>
                <w:sz w:val="18"/>
                <w:szCs w:val="18"/>
                <w:color w:val="auto"/>
              </w:rPr>
            </w:pPr>
          </w:p>
        </w:tc>
        <w:tc>
          <w:tcPr>
            <w:tcW w:w="220" w:type="dxa"/>
            <w:vAlign w:val="bottom"/>
            <w:tcBorders>
              <w:top w:val="single" w:sz="8" w:color="auto"/>
            </w:tcBorders>
            <w:shd w:val="clear" w:color="auto" w:fill="DDDDDD"/>
          </w:tcPr>
          <w:p>
            <w:pPr>
              <w:spacing w:after="0"/>
              <w:rPr>
                <w:sz w:val="18"/>
                <w:szCs w:val="18"/>
                <w:color w:val="auto"/>
              </w:rPr>
            </w:pPr>
          </w:p>
        </w:tc>
        <w:tc>
          <w:tcPr>
            <w:tcW w:w="40" w:type="dxa"/>
            <w:vAlign w:val="bottom"/>
            <w:tcBorders>
              <w:top w:val="single" w:sz="8" w:color="auto"/>
            </w:tcBorders>
            <w:shd w:val="clear" w:color="auto" w:fill="DDDDDD"/>
          </w:tcPr>
          <w:p>
            <w:pPr>
              <w:spacing w:after="0"/>
              <w:rPr>
                <w:sz w:val="18"/>
                <w:szCs w:val="18"/>
                <w:color w:val="auto"/>
              </w:rPr>
            </w:pPr>
          </w:p>
        </w:tc>
        <w:tc>
          <w:tcPr>
            <w:tcW w:w="400" w:type="dxa"/>
            <w:vAlign w:val="bottom"/>
            <w:tcBorders>
              <w:top w:val="single" w:sz="8" w:color="auto"/>
              <w:right w:val="single" w:sz="8" w:color="auto"/>
            </w:tcBorders>
            <w:shd w:val="clear" w:color="auto" w:fill="DDDDDD"/>
          </w:tcPr>
          <w:p>
            <w:pPr>
              <w:spacing w:after="0"/>
              <w:rPr>
                <w:sz w:val="18"/>
                <w:szCs w:val="18"/>
                <w:color w:val="auto"/>
              </w:rPr>
            </w:pPr>
          </w:p>
        </w:tc>
        <w:tc>
          <w:tcPr>
            <w:tcW w:w="340" w:type="dxa"/>
            <w:vAlign w:val="bottom"/>
            <w:tcBorders>
              <w:top w:val="single" w:sz="8" w:color="auto"/>
            </w:tcBorders>
            <w:shd w:val="clear" w:color="auto" w:fill="DDDDDD"/>
          </w:tcPr>
          <w:p>
            <w:pPr>
              <w:spacing w:after="0"/>
              <w:rPr>
                <w:sz w:val="18"/>
                <w:szCs w:val="18"/>
                <w:color w:val="auto"/>
              </w:rPr>
            </w:pPr>
          </w:p>
        </w:tc>
        <w:tc>
          <w:tcPr>
            <w:tcW w:w="680" w:type="dxa"/>
            <w:vAlign w:val="bottom"/>
            <w:tcBorders>
              <w:top w:val="single" w:sz="8" w:color="auto"/>
              <w:right w:val="single" w:sz="8" w:color="auto"/>
            </w:tcBorders>
            <w:shd w:val="clear" w:color="auto" w:fill="DDDDDD"/>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60" w:type="dxa"/>
            <w:vAlign w:val="bottom"/>
            <w:tcBorders>
              <w:left w:val="single" w:sz="8" w:color="auto"/>
            </w:tcBorders>
            <w:shd w:val="clear" w:color="auto" w:fill="DDDDDD"/>
          </w:tcPr>
          <w:p>
            <w:pPr>
              <w:spacing w:after="0"/>
              <w:rPr>
                <w:sz w:val="14"/>
                <w:szCs w:val="14"/>
                <w:color w:val="auto"/>
              </w:rPr>
            </w:pPr>
          </w:p>
        </w:tc>
        <w:tc>
          <w:tcPr>
            <w:tcW w:w="820" w:type="dxa"/>
            <w:vAlign w:val="bottom"/>
            <w:tcBorders>
              <w:right w:val="single" w:sz="8" w:color="auto"/>
            </w:tcBorders>
            <w:shd w:val="clear" w:color="auto" w:fill="DDDDDD"/>
          </w:tcPr>
          <w:p>
            <w:pPr>
              <w:spacing w:after="0"/>
              <w:rPr>
                <w:sz w:val="14"/>
                <w:szCs w:val="14"/>
                <w:color w:val="auto"/>
              </w:rPr>
            </w:pPr>
          </w:p>
        </w:tc>
        <w:tc>
          <w:tcPr>
            <w:tcW w:w="100" w:type="dxa"/>
            <w:vAlign w:val="bottom"/>
            <w:shd w:val="clear" w:color="auto" w:fill="DDDDDD"/>
          </w:tcPr>
          <w:p>
            <w:pPr>
              <w:spacing w:after="0"/>
              <w:rPr>
                <w:sz w:val="14"/>
                <w:szCs w:val="14"/>
                <w:color w:val="auto"/>
              </w:rPr>
            </w:pPr>
          </w:p>
        </w:tc>
        <w:tc>
          <w:tcPr>
            <w:tcW w:w="280" w:type="dxa"/>
            <w:vAlign w:val="bottom"/>
            <w:shd w:val="clear" w:color="auto" w:fill="DDDDDD"/>
          </w:tcPr>
          <w:p>
            <w:pPr>
              <w:spacing w:after="0"/>
              <w:rPr>
                <w:sz w:val="14"/>
                <w:szCs w:val="14"/>
                <w:color w:val="auto"/>
              </w:rPr>
            </w:pPr>
          </w:p>
        </w:tc>
        <w:tc>
          <w:tcPr>
            <w:tcW w:w="120" w:type="dxa"/>
            <w:vAlign w:val="bottom"/>
            <w:tcBorders>
              <w:right w:val="single" w:sz="8" w:color="auto"/>
            </w:tcBorders>
            <w:shd w:val="clear" w:color="auto" w:fill="DDDDDD"/>
          </w:tcPr>
          <w:p>
            <w:pPr>
              <w:spacing w:after="0"/>
              <w:rPr>
                <w:sz w:val="14"/>
                <w:szCs w:val="14"/>
                <w:color w:val="auto"/>
              </w:rPr>
            </w:pPr>
          </w:p>
        </w:tc>
        <w:tc>
          <w:tcPr>
            <w:tcW w:w="200" w:type="dxa"/>
            <w:vAlign w:val="bottom"/>
            <w:shd w:val="clear" w:color="auto" w:fill="DDDDDD"/>
          </w:tcPr>
          <w:p>
            <w:pPr>
              <w:spacing w:after="0"/>
              <w:rPr>
                <w:sz w:val="14"/>
                <w:szCs w:val="14"/>
                <w:color w:val="auto"/>
              </w:rPr>
            </w:pPr>
          </w:p>
        </w:tc>
        <w:tc>
          <w:tcPr>
            <w:tcW w:w="120" w:type="dxa"/>
            <w:vAlign w:val="bottom"/>
            <w:shd w:val="clear" w:color="auto" w:fill="DDDDDD"/>
          </w:tcPr>
          <w:p>
            <w:pPr>
              <w:spacing w:after="0"/>
              <w:rPr>
                <w:sz w:val="14"/>
                <w:szCs w:val="14"/>
                <w:color w:val="auto"/>
              </w:rPr>
            </w:pPr>
          </w:p>
        </w:tc>
        <w:tc>
          <w:tcPr>
            <w:tcW w:w="180" w:type="dxa"/>
            <w:vAlign w:val="bottom"/>
            <w:shd w:val="clear" w:color="auto" w:fill="DDDDDD"/>
          </w:tcPr>
          <w:p>
            <w:pPr>
              <w:spacing w:after="0"/>
              <w:rPr>
                <w:sz w:val="14"/>
                <w:szCs w:val="14"/>
                <w:color w:val="auto"/>
              </w:rPr>
            </w:pPr>
          </w:p>
        </w:tc>
        <w:tc>
          <w:tcPr>
            <w:tcW w:w="120" w:type="dxa"/>
            <w:vAlign w:val="bottom"/>
            <w:shd w:val="clear" w:color="auto" w:fill="DDDDDD"/>
          </w:tcPr>
          <w:p>
            <w:pPr>
              <w:spacing w:after="0"/>
              <w:rPr>
                <w:sz w:val="14"/>
                <w:szCs w:val="14"/>
                <w:color w:val="auto"/>
              </w:rPr>
            </w:pPr>
          </w:p>
        </w:tc>
        <w:tc>
          <w:tcPr>
            <w:tcW w:w="240" w:type="dxa"/>
            <w:vAlign w:val="bottom"/>
            <w:tcBorders>
              <w:right w:val="single" w:sz="8" w:color="auto"/>
            </w:tcBorders>
            <w:shd w:val="clear" w:color="auto" w:fill="DDDDDD"/>
          </w:tcPr>
          <w:p>
            <w:pPr>
              <w:spacing w:after="0"/>
              <w:rPr>
                <w:sz w:val="14"/>
                <w:szCs w:val="14"/>
                <w:color w:val="auto"/>
              </w:rPr>
            </w:pPr>
          </w:p>
        </w:tc>
        <w:tc>
          <w:tcPr>
            <w:tcW w:w="40" w:type="dxa"/>
            <w:vAlign w:val="bottom"/>
            <w:shd w:val="clear" w:color="auto" w:fill="DDDDDD"/>
          </w:tcPr>
          <w:p>
            <w:pPr>
              <w:spacing w:after="0"/>
              <w:rPr>
                <w:sz w:val="14"/>
                <w:szCs w:val="14"/>
                <w:color w:val="auto"/>
              </w:rPr>
            </w:pPr>
          </w:p>
        </w:tc>
        <w:tc>
          <w:tcPr>
            <w:tcW w:w="120" w:type="dxa"/>
            <w:vAlign w:val="bottom"/>
            <w:shd w:val="clear" w:color="auto" w:fill="DDDDDD"/>
          </w:tcPr>
          <w:p>
            <w:pPr>
              <w:spacing w:after="0"/>
              <w:rPr>
                <w:sz w:val="14"/>
                <w:szCs w:val="14"/>
                <w:color w:val="auto"/>
              </w:rPr>
            </w:pPr>
          </w:p>
        </w:tc>
        <w:tc>
          <w:tcPr>
            <w:tcW w:w="160" w:type="dxa"/>
            <w:vAlign w:val="bottom"/>
            <w:shd w:val="clear" w:color="auto" w:fill="DDDDDD"/>
          </w:tcPr>
          <w:p>
            <w:pPr>
              <w:spacing w:after="0"/>
              <w:rPr>
                <w:sz w:val="14"/>
                <w:szCs w:val="14"/>
                <w:color w:val="auto"/>
              </w:rPr>
            </w:pPr>
          </w:p>
        </w:tc>
        <w:tc>
          <w:tcPr>
            <w:tcW w:w="200" w:type="dxa"/>
            <w:vAlign w:val="bottom"/>
            <w:tcBorders>
              <w:right w:val="single" w:sz="8" w:color="auto"/>
            </w:tcBorders>
            <w:shd w:val="clear" w:color="auto" w:fill="DDDDDD"/>
          </w:tcPr>
          <w:p>
            <w:pPr>
              <w:spacing w:after="0"/>
              <w:rPr>
                <w:sz w:val="14"/>
                <w:szCs w:val="14"/>
                <w:color w:val="auto"/>
              </w:rPr>
            </w:pPr>
          </w:p>
        </w:tc>
        <w:tc>
          <w:tcPr>
            <w:tcW w:w="40" w:type="dxa"/>
            <w:vAlign w:val="bottom"/>
            <w:shd w:val="clear" w:color="auto" w:fill="DDDDDD"/>
          </w:tcPr>
          <w:p>
            <w:pPr>
              <w:spacing w:after="0"/>
              <w:rPr>
                <w:sz w:val="14"/>
                <w:szCs w:val="14"/>
                <w:color w:val="auto"/>
              </w:rPr>
            </w:pPr>
          </w:p>
        </w:tc>
        <w:tc>
          <w:tcPr>
            <w:tcW w:w="940" w:type="dxa"/>
            <w:vAlign w:val="bottom"/>
            <w:tcBorders>
              <w:right w:val="single" w:sz="8" w:color="auto"/>
            </w:tcBorders>
            <w:gridSpan w:val="4"/>
            <w:vMerge w:val="restart"/>
            <w:shd w:val="clear" w:color="auto" w:fill="DDDDDD"/>
          </w:tcPr>
          <w:p>
            <w:pPr>
              <w:spacing w:after="0"/>
              <w:rPr>
                <w:sz w:val="20"/>
                <w:szCs w:val="20"/>
                <w:color w:val="auto"/>
              </w:rPr>
            </w:pPr>
            <w:r>
              <w:rPr>
                <w:rFonts w:ascii="Arial" w:cs="Arial" w:eastAsia="Arial" w:hAnsi="Arial"/>
                <w:sz w:val="14"/>
                <w:szCs w:val="14"/>
                <w:color w:val="auto"/>
                <w:highlight w:val="lightGray"/>
              </w:rPr>
              <w:t>Stock Awards</w:t>
            </w:r>
          </w:p>
        </w:tc>
        <w:tc>
          <w:tcPr>
            <w:tcW w:w="160" w:type="dxa"/>
            <w:vAlign w:val="bottom"/>
            <w:shd w:val="clear" w:color="auto" w:fill="DDDDDD"/>
          </w:tcPr>
          <w:p>
            <w:pPr>
              <w:spacing w:after="0"/>
              <w:rPr>
                <w:sz w:val="14"/>
                <w:szCs w:val="14"/>
                <w:color w:val="auto"/>
              </w:rPr>
            </w:pPr>
          </w:p>
        </w:tc>
        <w:tc>
          <w:tcPr>
            <w:tcW w:w="520" w:type="dxa"/>
            <w:vAlign w:val="bottom"/>
            <w:tcBorders>
              <w:right w:val="single" w:sz="8" w:color="auto"/>
            </w:tcBorders>
            <w:gridSpan w:val="3"/>
            <w:shd w:val="clear" w:color="auto" w:fill="DDDDDD"/>
          </w:tcPr>
          <w:p>
            <w:pPr>
              <w:jc w:val="center"/>
              <w:ind w:right="80"/>
              <w:spacing w:after="0"/>
              <w:rPr>
                <w:sz w:val="20"/>
                <w:szCs w:val="20"/>
                <w:color w:val="auto"/>
              </w:rPr>
            </w:pPr>
            <w:r>
              <w:rPr>
                <w:rFonts w:ascii="Arial" w:cs="Arial" w:eastAsia="Arial" w:hAnsi="Arial"/>
                <w:sz w:val="14"/>
                <w:szCs w:val="14"/>
                <w:color w:val="auto"/>
                <w:highlight w:val="lightGray"/>
              </w:rPr>
              <w:t>Option</w:t>
            </w:r>
          </w:p>
        </w:tc>
        <w:tc>
          <w:tcPr>
            <w:tcW w:w="1040" w:type="dxa"/>
            <w:vAlign w:val="bottom"/>
            <w:tcBorders>
              <w:right w:val="single" w:sz="8" w:color="auto"/>
            </w:tcBorders>
            <w:gridSpan w:val="3"/>
            <w:shd w:val="clear" w:color="auto" w:fill="DDDDDD"/>
          </w:tcPr>
          <w:p>
            <w:pPr>
              <w:jc w:val="center"/>
              <w:spacing w:after="0"/>
              <w:rPr>
                <w:sz w:val="20"/>
                <w:szCs w:val="20"/>
                <w:color w:val="auto"/>
              </w:rPr>
            </w:pPr>
            <w:r>
              <w:rPr>
                <w:rFonts w:ascii="Arial" w:cs="Arial" w:eastAsia="Arial" w:hAnsi="Arial"/>
                <w:sz w:val="14"/>
                <w:szCs w:val="14"/>
                <w:color w:val="auto"/>
                <w:highlight w:val="lightGray"/>
              </w:rPr>
              <w:t>Incentive Plan</w:t>
            </w:r>
          </w:p>
        </w:tc>
        <w:tc>
          <w:tcPr>
            <w:tcW w:w="1160" w:type="dxa"/>
            <w:vAlign w:val="bottom"/>
            <w:tcBorders>
              <w:right w:val="single" w:sz="8" w:color="auto"/>
            </w:tcBorders>
            <w:gridSpan w:val="4"/>
            <w:shd w:val="clear" w:color="auto" w:fill="DDDDDD"/>
          </w:tcPr>
          <w:p>
            <w:pPr>
              <w:jc w:val="right"/>
              <w:ind w:right="360"/>
              <w:spacing w:after="0"/>
              <w:rPr>
                <w:sz w:val="20"/>
                <w:szCs w:val="20"/>
                <w:color w:val="auto"/>
              </w:rPr>
            </w:pPr>
            <w:r>
              <w:rPr>
                <w:rFonts w:ascii="Arial" w:cs="Arial" w:eastAsia="Arial" w:hAnsi="Arial"/>
                <w:sz w:val="14"/>
                <w:szCs w:val="14"/>
                <w:color w:val="auto"/>
                <w:highlight w:val="lightGray"/>
              </w:rPr>
              <w:t>Change in</w:t>
            </w:r>
          </w:p>
        </w:tc>
        <w:tc>
          <w:tcPr>
            <w:tcW w:w="1020" w:type="dxa"/>
            <w:vAlign w:val="bottom"/>
            <w:tcBorders>
              <w:right w:val="single" w:sz="8" w:color="auto"/>
            </w:tcBorders>
            <w:gridSpan w:val="4"/>
            <w:shd w:val="clear" w:color="auto" w:fill="DDDDDD"/>
          </w:tcPr>
          <w:p>
            <w:pPr>
              <w:jc w:val="right"/>
              <w:ind w:right="260"/>
              <w:spacing w:after="0"/>
              <w:rPr>
                <w:sz w:val="20"/>
                <w:szCs w:val="20"/>
                <w:color w:val="auto"/>
              </w:rPr>
            </w:pPr>
            <w:r>
              <w:rPr>
                <w:rFonts w:ascii="Arial" w:cs="Arial" w:eastAsia="Arial" w:hAnsi="Arial"/>
                <w:sz w:val="14"/>
                <w:szCs w:val="14"/>
                <w:color w:val="auto"/>
                <w:highlight w:val="lightGray"/>
              </w:rPr>
              <w:t>All Other</w:t>
            </w:r>
          </w:p>
        </w:tc>
        <w:tc>
          <w:tcPr>
            <w:tcW w:w="340" w:type="dxa"/>
            <w:vAlign w:val="bottom"/>
            <w:shd w:val="clear" w:color="auto" w:fill="DDDDDD"/>
          </w:tcPr>
          <w:p>
            <w:pPr>
              <w:spacing w:after="0"/>
              <w:rPr>
                <w:sz w:val="14"/>
                <w:szCs w:val="14"/>
                <w:color w:val="auto"/>
              </w:rPr>
            </w:pPr>
          </w:p>
        </w:tc>
        <w:tc>
          <w:tcPr>
            <w:tcW w:w="680" w:type="dxa"/>
            <w:vAlign w:val="bottom"/>
            <w:tcBorders>
              <w:right w:val="single" w:sz="8" w:color="auto"/>
            </w:tcBorders>
            <w:shd w:val="clear" w:color="auto" w:fill="DDDDDD"/>
          </w:tcPr>
          <w:p>
            <w:pPr>
              <w:jc w:val="center"/>
              <w:ind w:right="288"/>
              <w:spacing w:after="0"/>
              <w:rPr>
                <w:sz w:val="20"/>
                <w:szCs w:val="20"/>
                <w:color w:val="auto"/>
              </w:rPr>
            </w:pPr>
            <w:r>
              <w:rPr>
                <w:rFonts w:ascii="Arial" w:cs="Arial" w:eastAsia="Arial" w:hAnsi="Arial"/>
                <w:sz w:val="14"/>
                <w:szCs w:val="14"/>
                <w:color w:val="auto"/>
                <w:highlight w:val="lightGray"/>
              </w:rPr>
              <w:t>Total</w:t>
            </w:r>
          </w:p>
        </w:tc>
        <w:tc>
          <w:tcPr>
            <w:tcW w:w="0" w:type="dxa"/>
            <w:vAlign w:val="bottom"/>
          </w:tcPr>
          <w:p>
            <w:pPr>
              <w:spacing w:after="0"/>
              <w:rPr>
                <w:sz w:val="1"/>
                <w:szCs w:val="1"/>
                <w:color w:val="auto"/>
              </w:rPr>
            </w:pPr>
          </w:p>
        </w:tc>
      </w:tr>
      <w:tr>
        <w:trPr>
          <w:trHeight w:val="108"/>
        </w:trPr>
        <w:tc>
          <w:tcPr>
            <w:tcW w:w="1380" w:type="dxa"/>
            <w:vAlign w:val="bottom"/>
            <w:tcBorders>
              <w:left w:val="single" w:sz="8" w:color="auto"/>
              <w:right w:val="single" w:sz="8" w:color="auto"/>
            </w:tcBorders>
            <w:gridSpan w:val="2"/>
            <w:vMerge w:val="restart"/>
            <w:shd w:val="clear" w:color="auto" w:fill="DDDDDD"/>
          </w:tcPr>
          <w:p>
            <w:pPr>
              <w:ind w:left="40"/>
              <w:spacing w:after="0"/>
              <w:rPr>
                <w:sz w:val="20"/>
                <w:szCs w:val="20"/>
                <w:color w:val="auto"/>
              </w:rPr>
            </w:pPr>
            <w:r>
              <w:rPr>
                <w:rFonts w:ascii="Arial" w:cs="Arial" w:eastAsia="Arial" w:hAnsi="Arial"/>
                <w:sz w:val="14"/>
                <w:szCs w:val="14"/>
                <w:color w:val="auto"/>
                <w:highlight w:val="lightGray"/>
              </w:rPr>
              <w:t>Name and Principal</w:t>
            </w:r>
          </w:p>
        </w:tc>
        <w:tc>
          <w:tcPr>
            <w:tcW w:w="100" w:type="dxa"/>
            <w:vAlign w:val="bottom"/>
            <w:shd w:val="clear" w:color="auto" w:fill="DDDDDD"/>
          </w:tcPr>
          <w:p>
            <w:pPr>
              <w:spacing w:after="0"/>
              <w:rPr>
                <w:sz w:val="9"/>
                <w:szCs w:val="9"/>
                <w:color w:val="auto"/>
              </w:rPr>
            </w:pPr>
          </w:p>
        </w:tc>
        <w:tc>
          <w:tcPr>
            <w:tcW w:w="280" w:type="dxa"/>
            <w:vAlign w:val="bottom"/>
            <w:shd w:val="clear" w:color="auto" w:fill="DDDDDD"/>
          </w:tcPr>
          <w:p>
            <w:pPr>
              <w:spacing w:after="0"/>
              <w:rPr>
                <w:sz w:val="9"/>
                <w:szCs w:val="9"/>
                <w:color w:val="auto"/>
              </w:rPr>
            </w:pPr>
          </w:p>
        </w:tc>
        <w:tc>
          <w:tcPr>
            <w:tcW w:w="120" w:type="dxa"/>
            <w:vAlign w:val="bottom"/>
            <w:tcBorders>
              <w:right w:val="single" w:sz="8" w:color="auto"/>
            </w:tcBorders>
            <w:shd w:val="clear" w:color="auto" w:fill="DDDDDD"/>
          </w:tcPr>
          <w:p>
            <w:pPr>
              <w:spacing w:after="0"/>
              <w:rPr>
                <w:sz w:val="9"/>
                <w:szCs w:val="9"/>
                <w:color w:val="auto"/>
              </w:rPr>
            </w:pPr>
          </w:p>
        </w:tc>
        <w:tc>
          <w:tcPr>
            <w:tcW w:w="200" w:type="dxa"/>
            <w:vAlign w:val="bottom"/>
            <w:shd w:val="clear" w:color="auto" w:fill="DDDDDD"/>
          </w:tcPr>
          <w:p>
            <w:pPr>
              <w:spacing w:after="0"/>
              <w:rPr>
                <w:sz w:val="9"/>
                <w:szCs w:val="9"/>
                <w:color w:val="auto"/>
              </w:rPr>
            </w:pPr>
          </w:p>
        </w:tc>
        <w:tc>
          <w:tcPr>
            <w:tcW w:w="420" w:type="dxa"/>
            <w:vAlign w:val="bottom"/>
            <w:gridSpan w:val="3"/>
            <w:vMerge w:val="restart"/>
            <w:shd w:val="clear" w:color="auto" w:fill="DDDDDD"/>
          </w:tcPr>
          <w:p>
            <w:pPr>
              <w:jc w:val="center"/>
              <w:spacing w:after="0"/>
              <w:rPr>
                <w:sz w:val="20"/>
                <w:szCs w:val="20"/>
                <w:color w:val="auto"/>
              </w:rPr>
            </w:pPr>
            <w:r>
              <w:rPr>
                <w:rFonts w:ascii="Arial" w:cs="Arial" w:eastAsia="Arial" w:hAnsi="Arial"/>
                <w:sz w:val="14"/>
                <w:szCs w:val="14"/>
                <w:color w:val="auto"/>
                <w:highlight w:val="lightGray"/>
              </w:rPr>
              <w:t>Salary</w:t>
            </w:r>
          </w:p>
        </w:tc>
        <w:tc>
          <w:tcPr>
            <w:tcW w:w="240" w:type="dxa"/>
            <w:vAlign w:val="bottom"/>
            <w:tcBorders>
              <w:right w:val="single" w:sz="8" w:color="auto"/>
            </w:tcBorders>
            <w:shd w:val="clear" w:color="auto" w:fill="DDDDDD"/>
          </w:tcPr>
          <w:p>
            <w:pPr>
              <w:spacing w:after="0"/>
              <w:rPr>
                <w:sz w:val="9"/>
                <w:szCs w:val="9"/>
                <w:color w:val="auto"/>
              </w:rPr>
            </w:pPr>
          </w:p>
        </w:tc>
        <w:tc>
          <w:tcPr>
            <w:tcW w:w="40" w:type="dxa"/>
            <w:vAlign w:val="bottom"/>
            <w:shd w:val="clear" w:color="auto" w:fill="DDDDDD"/>
          </w:tcPr>
          <w:p>
            <w:pPr>
              <w:spacing w:after="0"/>
              <w:rPr>
                <w:sz w:val="9"/>
                <w:szCs w:val="9"/>
                <w:color w:val="auto"/>
              </w:rPr>
            </w:pPr>
          </w:p>
        </w:tc>
        <w:tc>
          <w:tcPr>
            <w:tcW w:w="480" w:type="dxa"/>
            <w:vAlign w:val="bottom"/>
            <w:tcBorders>
              <w:right w:val="single" w:sz="8" w:color="auto"/>
            </w:tcBorders>
            <w:gridSpan w:val="3"/>
            <w:vMerge w:val="restart"/>
            <w:shd w:val="clear" w:color="auto" w:fill="DDDDDD"/>
          </w:tcPr>
          <w:p>
            <w:pPr>
              <w:jc w:val="center"/>
              <w:ind w:right="80"/>
              <w:spacing w:after="0"/>
              <w:rPr>
                <w:sz w:val="20"/>
                <w:szCs w:val="20"/>
                <w:color w:val="auto"/>
              </w:rPr>
            </w:pPr>
            <w:r>
              <w:rPr>
                <w:rFonts w:ascii="Arial" w:cs="Arial" w:eastAsia="Arial" w:hAnsi="Arial"/>
                <w:sz w:val="14"/>
                <w:szCs w:val="14"/>
                <w:color w:val="auto"/>
                <w:highlight w:val="lightGray"/>
              </w:rPr>
              <w:t>Bonus</w:t>
            </w:r>
          </w:p>
        </w:tc>
        <w:tc>
          <w:tcPr>
            <w:tcW w:w="40" w:type="dxa"/>
            <w:vAlign w:val="bottom"/>
            <w:shd w:val="clear" w:color="auto" w:fill="DDDDDD"/>
          </w:tcPr>
          <w:p>
            <w:pPr>
              <w:spacing w:after="0"/>
              <w:rPr>
                <w:sz w:val="9"/>
                <w:szCs w:val="9"/>
                <w:color w:val="auto"/>
              </w:rPr>
            </w:pPr>
          </w:p>
        </w:tc>
        <w:tc>
          <w:tcPr>
            <w:tcW w:w="940" w:type="dxa"/>
            <w:vAlign w:val="bottom"/>
            <w:tcBorders>
              <w:right w:val="single" w:sz="8" w:color="auto"/>
            </w:tcBorders>
            <w:gridSpan w:val="4"/>
            <w:vMerge w:val="continue"/>
            <w:shd w:val="clear" w:color="auto" w:fill="DDDDDD"/>
          </w:tcPr>
          <w:p>
            <w:pPr>
              <w:spacing w:after="0"/>
              <w:rPr>
                <w:sz w:val="9"/>
                <w:szCs w:val="9"/>
                <w:color w:val="auto"/>
              </w:rPr>
            </w:pPr>
          </w:p>
        </w:tc>
        <w:tc>
          <w:tcPr>
            <w:tcW w:w="680" w:type="dxa"/>
            <w:vAlign w:val="bottom"/>
            <w:tcBorders>
              <w:right w:val="single" w:sz="8" w:color="auto"/>
            </w:tcBorders>
            <w:gridSpan w:val="4"/>
            <w:vMerge w:val="restart"/>
            <w:shd w:val="clear" w:color="auto" w:fill="DDDDDD"/>
          </w:tcPr>
          <w:p>
            <w:pPr>
              <w:jc w:val="center"/>
              <w:ind w:left="8"/>
              <w:spacing w:after="0"/>
              <w:rPr>
                <w:sz w:val="20"/>
                <w:szCs w:val="20"/>
                <w:color w:val="auto"/>
              </w:rPr>
            </w:pPr>
            <w:r>
              <w:rPr>
                <w:rFonts w:ascii="Arial" w:cs="Arial" w:eastAsia="Arial" w:hAnsi="Arial"/>
                <w:sz w:val="14"/>
                <w:szCs w:val="14"/>
                <w:color w:val="auto"/>
                <w:highlight w:val="lightGray"/>
              </w:rPr>
              <w:t>Awards</w:t>
            </w:r>
          </w:p>
        </w:tc>
        <w:tc>
          <w:tcPr>
            <w:tcW w:w="1040" w:type="dxa"/>
            <w:vAlign w:val="bottom"/>
            <w:tcBorders>
              <w:right w:val="single" w:sz="8" w:color="auto"/>
            </w:tcBorders>
            <w:gridSpan w:val="3"/>
            <w:vMerge w:val="restart"/>
            <w:shd w:val="clear" w:color="auto" w:fill="DDDDDD"/>
          </w:tcPr>
          <w:p>
            <w:pPr>
              <w:jc w:val="center"/>
              <w:spacing w:after="0"/>
              <w:rPr>
                <w:sz w:val="20"/>
                <w:szCs w:val="20"/>
                <w:color w:val="auto"/>
              </w:rPr>
            </w:pPr>
            <w:r>
              <w:rPr>
                <w:rFonts w:ascii="Arial" w:cs="Arial" w:eastAsia="Arial" w:hAnsi="Arial"/>
                <w:sz w:val="14"/>
                <w:szCs w:val="14"/>
                <w:color w:val="auto"/>
                <w:highlight w:val="lightGray"/>
              </w:rPr>
              <w:t>Compensation</w:t>
            </w:r>
          </w:p>
        </w:tc>
        <w:tc>
          <w:tcPr>
            <w:tcW w:w="1160" w:type="dxa"/>
            <w:vAlign w:val="bottom"/>
            <w:tcBorders>
              <w:right w:val="single" w:sz="8" w:color="auto"/>
            </w:tcBorders>
            <w:gridSpan w:val="4"/>
            <w:vMerge w:val="restart"/>
            <w:shd w:val="clear" w:color="auto" w:fill="DDDDDD"/>
          </w:tcPr>
          <w:p>
            <w:pPr>
              <w:jc w:val="right"/>
              <w:ind w:right="220"/>
              <w:spacing w:after="0"/>
              <w:rPr>
                <w:sz w:val="20"/>
                <w:szCs w:val="20"/>
                <w:color w:val="auto"/>
              </w:rPr>
            </w:pPr>
            <w:r>
              <w:rPr>
                <w:rFonts w:ascii="Arial" w:cs="Arial" w:eastAsia="Arial" w:hAnsi="Arial"/>
                <w:sz w:val="14"/>
                <w:szCs w:val="14"/>
                <w:color w:val="auto"/>
                <w:highlight w:val="lightGray"/>
              </w:rPr>
              <w:t>Pension Value</w:t>
            </w:r>
          </w:p>
        </w:tc>
        <w:tc>
          <w:tcPr>
            <w:tcW w:w="1020" w:type="dxa"/>
            <w:vAlign w:val="bottom"/>
            <w:tcBorders>
              <w:right w:val="single" w:sz="8" w:color="auto"/>
            </w:tcBorders>
            <w:gridSpan w:val="4"/>
            <w:vMerge w:val="restart"/>
            <w:shd w:val="clear" w:color="auto" w:fill="DDDDDD"/>
          </w:tcPr>
          <w:p>
            <w:pPr>
              <w:jc w:val="right"/>
              <w:ind w:right="60"/>
              <w:spacing w:after="0"/>
              <w:rPr>
                <w:sz w:val="20"/>
                <w:szCs w:val="20"/>
                <w:color w:val="auto"/>
              </w:rPr>
            </w:pPr>
            <w:r>
              <w:rPr>
                <w:rFonts w:ascii="Arial" w:cs="Arial" w:eastAsia="Arial" w:hAnsi="Arial"/>
                <w:sz w:val="14"/>
                <w:szCs w:val="14"/>
                <w:color w:val="auto"/>
                <w:highlight w:val="lightGray"/>
              </w:rPr>
              <w:t>Compensation</w:t>
            </w:r>
          </w:p>
        </w:tc>
        <w:tc>
          <w:tcPr>
            <w:tcW w:w="1020" w:type="dxa"/>
            <w:vAlign w:val="bottom"/>
            <w:tcBorders>
              <w:right w:val="single" w:sz="8" w:color="auto"/>
            </w:tcBorders>
            <w:gridSpan w:val="2"/>
            <w:vMerge w:val="restart"/>
            <w:shd w:val="clear" w:color="auto" w:fill="DDDDDD"/>
          </w:tcPr>
          <w:p>
            <w:pPr>
              <w:jc w:val="center"/>
              <w:spacing w:after="0"/>
              <w:rPr>
                <w:sz w:val="20"/>
                <w:szCs w:val="20"/>
                <w:color w:val="auto"/>
              </w:rPr>
            </w:pPr>
            <w:r>
              <w:rPr>
                <w:rFonts w:ascii="Arial" w:cs="Arial" w:eastAsia="Arial" w:hAnsi="Arial"/>
                <w:sz w:val="14"/>
                <w:szCs w:val="14"/>
                <w:color w:val="auto"/>
                <w:highlight w:val="lightGray"/>
              </w:rPr>
              <w:t>Compensation</w:t>
            </w:r>
          </w:p>
        </w:tc>
        <w:tc>
          <w:tcPr>
            <w:tcW w:w="0" w:type="dxa"/>
            <w:vAlign w:val="bottom"/>
          </w:tcPr>
          <w:p>
            <w:pPr>
              <w:spacing w:after="0"/>
              <w:rPr>
                <w:sz w:val="1"/>
                <w:szCs w:val="1"/>
                <w:color w:val="auto"/>
              </w:rPr>
            </w:pPr>
          </w:p>
        </w:tc>
      </w:tr>
      <w:tr>
        <w:trPr>
          <w:trHeight w:val="54"/>
        </w:trPr>
        <w:tc>
          <w:tcPr>
            <w:tcW w:w="1380" w:type="dxa"/>
            <w:vAlign w:val="bottom"/>
            <w:tcBorders>
              <w:left w:val="single" w:sz="8" w:color="auto"/>
              <w:right w:val="single" w:sz="8" w:color="auto"/>
            </w:tcBorders>
            <w:gridSpan w:val="2"/>
            <w:vMerge w:val="continue"/>
            <w:shd w:val="clear" w:color="auto" w:fill="DDDDDD"/>
          </w:tcPr>
          <w:p>
            <w:pPr>
              <w:spacing w:after="0"/>
              <w:rPr>
                <w:sz w:val="4"/>
                <w:szCs w:val="4"/>
                <w:color w:val="auto"/>
              </w:rPr>
            </w:pPr>
          </w:p>
        </w:tc>
        <w:tc>
          <w:tcPr>
            <w:tcW w:w="100" w:type="dxa"/>
            <w:vAlign w:val="bottom"/>
            <w:shd w:val="clear" w:color="auto" w:fill="DDDDDD"/>
          </w:tcPr>
          <w:p>
            <w:pPr>
              <w:spacing w:after="0"/>
              <w:rPr>
                <w:sz w:val="4"/>
                <w:szCs w:val="4"/>
                <w:color w:val="auto"/>
              </w:rPr>
            </w:pPr>
          </w:p>
        </w:tc>
        <w:tc>
          <w:tcPr>
            <w:tcW w:w="280" w:type="dxa"/>
            <w:vAlign w:val="bottom"/>
            <w:shd w:val="clear" w:color="auto" w:fill="DDDDDD"/>
          </w:tcPr>
          <w:p>
            <w:pPr>
              <w:spacing w:after="0"/>
              <w:rPr>
                <w:sz w:val="4"/>
                <w:szCs w:val="4"/>
                <w:color w:val="auto"/>
              </w:rPr>
            </w:pPr>
          </w:p>
        </w:tc>
        <w:tc>
          <w:tcPr>
            <w:tcW w:w="120" w:type="dxa"/>
            <w:vAlign w:val="bottom"/>
            <w:tcBorders>
              <w:right w:val="single" w:sz="8" w:color="auto"/>
            </w:tcBorders>
            <w:shd w:val="clear" w:color="auto" w:fill="DDDDDD"/>
          </w:tcPr>
          <w:p>
            <w:pPr>
              <w:spacing w:after="0"/>
              <w:rPr>
                <w:sz w:val="4"/>
                <w:szCs w:val="4"/>
                <w:color w:val="auto"/>
              </w:rPr>
            </w:pPr>
          </w:p>
        </w:tc>
        <w:tc>
          <w:tcPr>
            <w:tcW w:w="200" w:type="dxa"/>
            <w:vAlign w:val="bottom"/>
            <w:shd w:val="clear" w:color="auto" w:fill="DDDDDD"/>
          </w:tcPr>
          <w:p>
            <w:pPr>
              <w:spacing w:after="0"/>
              <w:rPr>
                <w:sz w:val="4"/>
                <w:szCs w:val="4"/>
                <w:color w:val="auto"/>
              </w:rPr>
            </w:pPr>
          </w:p>
        </w:tc>
        <w:tc>
          <w:tcPr>
            <w:tcW w:w="420" w:type="dxa"/>
            <w:vAlign w:val="bottom"/>
            <w:gridSpan w:val="3"/>
            <w:vMerge w:val="continue"/>
            <w:shd w:val="clear" w:color="auto" w:fill="DDDDDD"/>
          </w:tcPr>
          <w:p>
            <w:pPr>
              <w:spacing w:after="0"/>
              <w:rPr>
                <w:sz w:val="4"/>
                <w:szCs w:val="4"/>
                <w:color w:val="auto"/>
              </w:rPr>
            </w:pPr>
          </w:p>
        </w:tc>
        <w:tc>
          <w:tcPr>
            <w:tcW w:w="240" w:type="dxa"/>
            <w:vAlign w:val="bottom"/>
            <w:tcBorders>
              <w:right w:val="single" w:sz="8" w:color="auto"/>
            </w:tcBorders>
            <w:shd w:val="clear" w:color="auto" w:fill="DDDDDD"/>
          </w:tcPr>
          <w:p>
            <w:pPr>
              <w:spacing w:after="0"/>
              <w:rPr>
                <w:sz w:val="4"/>
                <w:szCs w:val="4"/>
                <w:color w:val="auto"/>
              </w:rPr>
            </w:pPr>
          </w:p>
        </w:tc>
        <w:tc>
          <w:tcPr>
            <w:tcW w:w="40" w:type="dxa"/>
            <w:vAlign w:val="bottom"/>
            <w:shd w:val="clear" w:color="auto" w:fill="DDDDDD"/>
          </w:tcPr>
          <w:p>
            <w:pPr>
              <w:spacing w:after="0"/>
              <w:rPr>
                <w:sz w:val="4"/>
                <w:szCs w:val="4"/>
                <w:color w:val="auto"/>
              </w:rPr>
            </w:pPr>
          </w:p>
        </w:tc>
        <w:tc>
          <w:tcPr>
            <w:tcW w:w="480" w:type="dxa"/>
            <w:vAlign w:val="bottom"/>
            <w:tcBorders>
              <w:right w:val="single" w:sz="8" w:color="auto"/>
            </w:tcBorders>
            <w:gridSpan w:val="3"/>
            <w:vMerge w:val="continue"/>
            <w:shd w:val="clear" w:color="auto" w:fill="DDDDDD"/>
          </w:tcPr>
          <w:p>
            <w:pPr>
              <w:spacing w:after="0"/>
              <w:rPr>
                <w:sz w:val="4"/>
                <w:szCs w:val="4"/>
                <w:color w:val="auto"/>
              </w:rPr>
            </w:pPr>
          </w:p>
        </w:tc>
        <w:tc>
          <w:tcPr>
            <w:tcW w:w="40" w:type="dxa"/>
            <w:vAlign w:val="bottom"/>
            <w:shd w:val="clear" w:color="auto" w:fill="DDDDDD"/>
          </w:tcPr>
          <w:p>
            <w:pPr>
              <w:spacing w:after="0"/>
              <w:rPr>
                <w:sz w:val="4"/>
                <w:szCs w:val="4"/>
                <w:color w:val="auto"/>
              </w:rPr>
            </w:pPr>
          </w:p>
        </w:tc>
        <w:tc>
          <w:tcPr>
            <w:tcW w:w="300" w:type="dxa"/>
            <w:vAlign w:val="bottom"/>
            <w:shd w:val="clear" w:color="auto" w:fill="DDDDDD"/>
          </w:tcPr>
          <w:p>
            <w:pPr>
              <w:spacing w:after="0"/>
              <w:rPr>
                <w:sz w:val="4"/>
                <w:szCs w:val="4"/>
                <w:color w:val="auto"/>
              </w:rPr>
            </w:pPr>
          </w:p>
        </w:tc>
        <w:tc>
          <w:tcPr>
            <w:tcW w:w="22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auto"/>
                <w:highlight w:val="lightGray"/>
                <w:w w:val="93"/>
              </w:rPr>
              <w:t>($)</w:t>
            </w:r>
          </w:p>
        </w:tc>
        <w:tc>
          <w:tcPr>
            <w:tcW w:w="40" w:type="dxa"/>
            <w:vAlign w:val="bottom"/>
            <w:vMerge w:val="restart"/>
            <w:shd w:val="clear" w:color="auto" w:fill="DDDDDD"/>
          </w:tcPr>
          <w:p>
            <w:pPr>
              <w:jc w:val="right"/>
              <w:spacing w:after="0"/>
              <w:rPr>
                <w:sz w:val="20"/>
                <w:szCs w:val="20"/>
                <w:color w:val="auto"/>
              </w:rPr>
            </w:pPr>
            <w:r>
              <w:rPr>
                <w:rFonts w:ascii="Arial" w:cs="Arial" w:eastAsia="Arial" w:hAnsi="Arial"/>
                <w:sz w:val="4"/>
                <w:szCs w:val="4"/>
                <w:color w:val="auto"/>
                <w:highlight w:val="lightGray"/>
                <w:w w:val="87"/>
              </w:rPr>
              <w:t>1</w:t>
            </w:r>
          </w:p>
        </w:tc>
        <w:tc>
          <w:tcPr>
            <w:tcW w:w="380" w:type="dxa"/>
            <w:vAlign w:val="bottom"/>
            <w:tcBorders>
              <w:right w:val="single" w:sz="8" w:color="auto"/>
            </w:tcBorders>
            <w:shd w:val="clear" w:color="auto" w:fill="DDDDDD"/>
          </w:tcPr>
          <w:p>
            <w:pPr>
              <w:spacing w:after="0"/>
              <w:rPr>
                <w:sz w:val="4"/>
                <w:szCs w:val="4"/>
                <w:color w:val="auto"/>
              </w:rPr>
            </w:pPr>
          </w:p>
        </w:tc>
        <w:tc>
          <w:tcPr>
            <w:tcW w:w="680" w:type="dxa"/>
            <w:vAlign w:val="bottom"/>
            <w:tcBorders>
              <w:right w:val="single" w:sz="8" w:color="auto"/>
            </w:tcBorders>
            <w:gridSpan w:val="4"/>
            <w:vMerge w:val="continue"/>
            <w:shd w:val="clear" w:color="auto" w:fill="DDDDDD"/>
          </w:tcPr>
          <w:p>
            <w:pPr>
              <w:spacing w:after="0"/>
              <w:rPr>
                <w:sz w:val="4"/>
                <w:szCs w:val="4"/>
                <w:color w:val="auto"/>
              </w:rPr>
            </w:pPr>
          </w:p>
        </w:tc>
        <w:tc>
          <w:tcPr>
            <w:tcW w:w="1040" w:type="dxa"/>
            <w:vAlign w:val="bottom"/>
            <w:tcBorders>
              <w:right w:val="single" w:sz="8" w:color="auto"/>
            </w:tcBorders>
            <w:gridSpan w:val="3"/>
            <w:vMerge w:val="continue"/>
            <w:shd w:val="clear" w:color="auto" w:fill="DDDDDD"/>
          </w:tcPr>
          <w:p>
            <w:pPr>
              <w:spacing w:after="0"/>
              <w:rPr>
                <w:sz w:val="4"/>
                <w:szCs w:val="4"/>
                <w:color w:val="auto"/>
              </w:rPr>
            </w:pPr>
          </w:p>
        </w:tc>
        <w:tc>
          <w:tcPr>
            <w:tcW w:w="1160" w:type="dxa"/>
            <w:vAlign w:val="bottom"/>
            <w:tcBorders>
              <w:right w:val="single" w:sz="8" w:color="auto"/>
            </w:tcBorders>
            <w:gridSpan w:val="4"/>
            <w:vMerge w:val="continue"/>
            <w:shd w:val="clear" w:color="auto" w:fill="DDDDDD"/>
          </w:tcPr>
          <w:p>
            <w:pPr>
              <w:spacing w:after="0"/>
              <w:rPr>
                <w:sz w:val="4"/>
                <w:szCs w:val="4"/>
                <w:color w:val="auto"/>
              </w:rPr>
            </w:pPr>
          </w:p>
        </w:tc>
        <w:tc>
          <w:tcPr>
            <w:tcW w:w="1020" w:type="dxa"/>
            <w:vAlign w:val="bottom"/>
            <w:tcBorders>
              <w:right w:val="single" w:sz="8" w:color="auto"/>
            </w:tcBorders>
            <w:gridSpan w:val="4"/>
            <w:vMerge w:val="continue"/>
            <w:shd w:val="clear" w:color="auto" w:fill="DDDDDD"/>
          </w:tcPr>
          <w:p>
            <w:pPr>
              <w:spacing w:after="0"/>
              <w:rPr>
                <w:sz w:val="4"/>
                <w:szCs w:val="4"/>
                <w:color w:val="auto"/>
              </w:rPr>
            </w:pPr>
          </w:p>
        </w:tc>
        <w:tc>
          <w:tcPr>
            <w:tcW w:w="1020" w:type="dxa"/>
            <w:vAlign w:val="bottom"/>
            <w:tcBorders>
              <w:right w:val="single" w:sz="8" w:color="auto"/>
            </w:tcBorders>
            <w:gridSpan w:val="2"/>
            <w:vMerge w:val="continue"/>
            <w:shd w:val="clear" w:color="auto" w:fill="DDDDDD"/>
          </w:tcPr>
          <w:p>
            <w:pPr>
              <w:spacing w:after="0"/>
              <w:rPr>
                <w:sz w:val="4"/>
                <w:szCs w:val="4"/>
                <w:color w:val="auto"/>
              </w:rPr>
            </w:pPr>
          </w:p>
        </w:tc>
        <w:tc>
          <w:tcPr>
            <w:tcW w:w="0" w:type="dxa"/>
            <w:vAlign w:val="bottom"/>
          </w:tcPr>
          <w:p>
            <w:pPr>
              <w:spacing w:after="0"/>
              <w:rPr>
                <w:sz w:val="1"/>
                <w:szCs w:val="1"/>
                <w:color w:val="auto"/>
              </w:rPr>
            </w:pPr>
          </w:p>
        </w:tc>
      </w:tr>
      <w:tr>
        <w:trPr>
          <w:trHeight w:val="54"/>
        </w:trPr>
        <w:tc>
          <w:tcPr>
            <w:tcW w:w="560" w:type="dxa"/>
            <w:vAlign w:val="bottom"/>
            <w:tcBorders>
              <w:left w:val="single" w:sz="8" w:color="auto"/>
            </w:tcBorders>
            <w:vMerge w:val="restart"/>
            <w:shd w:val="clear" w:color="auto" w:fill="DDDDDD"/>
          </w:tcPr>
          <w:p>
            <w:pPr>
              <w:ind w:left="40"/>
              <w:spacing w:after="0"/>
              <w:rPr>
                <w:sz w:val="20"/>
                <w:szCs w:val="20"/>
                <w:color w:val="auto"/>
              </w:rPr>
            </w:pPr>
            <w:r>
              <w:rPr>
                <w:rFonts w:ascii="Arial" w:cs="Arial" w:eastAsia="Arial" w:hAnsi="Arial"/>
                <w:sz w:val="14"/>
                <w:szCs w:val="14"/>
                <w:color w:val="auto"/>
                <w:highlight w:val="lightGray"/>
              </w:rPr>
              <w:t>Position</w:t>
            </w:r>
          </w:p>
        </w:tc>
        <w:tc>
          <w:tcPr>
            <w:tcW w:w="820" w:type="dxa"/>
            <w:vAlign w:val="bottom"/>
            <w:tcBorders>
              <w:right w:val="single" w:sz="8" w:color="auto"/>
            </w:tcBorders>
            <w:shd w:val="clear" w:color="auto" w:fill="DDDDDD"/>
          </w:tcPr>
          <w:p>
            <w:pPr>
              <w:spacing w:after="0"/>
              <w:rPr>
                <w:sz w:val="4"/>
                <w:szCs w:val="4"/>
                <w:color w:val="auto"/>
              </w:rPr>
            </w:pPr>
          </w:p>
        </w:tc>
        <w:tc>
          <w:tcPr>
            <w:tcW w:w="100" w:type="dxa"/>
            <w:vAlign w:val="bottom"/>
            <w:shd w:val="clear" w:color="auto" w:fill="DDDDDD"/>
          </w:tcPr>
          <w:p>
            <w:pPr>
              <w:spacing w:after="0"/>
              <w:rPr>
                <w:sz w:val="4"/>
                <w:szCs w:val="4"/>
                <w:color w:val="auto"/>
              </w:rPr>
            </w:pPr>
          </w:p>
        </w:tc>
        <w:tc>
          <w:tcPr>
            <w:tcW w:w="280" w:type="dxa"/>
            <w:vAlign w:val="bottom"/>
            <w:vMerge w:val="restart"/>
            <w:shd w:val="clear" w:color="auto" w:fill="DDDDDD"/>
          </w:tcPr>
          <w:p>
            <w:pPr>
              <w:jc w:val="center"/>
              <w:spacing w:after="0"/>
              <w:rPr>
                <w:sz w:val="20"/>
                <w:szCs w:val="20"/>
                <w:color w:val="auto"/>
              </w:rPr>
            </w:pPr>
            <w:r>
              <w:rPr>
                <w:rFonts w:ascii="Arial" w:cs="Arial" w:eastAsia="Arial" w:hAnsi="Arial"/>
                <w:sz w:val="14"/>
                <w:szCs w:val="14"/>
                <w:color w:val="auto"/>
                <w:highlight w:val="lightGray"/>
                <w:w w:val="94"/>
              </w:rPr>
              <w:t>Year</w:t>
            </w:r>
          </w:p>
        </w:tc>
        <w:tc>
          <w:tcPr>
            <w:tcW w:w="120" w:type="dxa"/>
            <w:vAlign w:val="bottom"/>
            <w:tcBorders>
              <w:right w:val="single" w:sz="8" w:color="auto"/>
            </w:tcBorders>
            <w:shd w:val="clear" w:color="auto" w:fill="DDDDDD"/>
          </w:tcPr>
          <w:p>
            <w:pPr>
              <w:spacing w:after="0"/>
              <w:rPr>
                <w:sz w:val="4"/>
                <w:szCs w:val="4"/>
                <w:color w:val="auto"/>
              </w:rPr>
            </w:pPr>
          </w:p>
        </w:tc>
        <w:tc>
          <w:tcPr>
            <w:tcW w:w="320" w:type="dxa"/>
            <w:vAlign w:val="bottom"/>
            <w:gridSpan w:val="2"/>
            <w:shd w:val="clear" w:color="auto" w:fill="DDDDDD"/>
          </w:tcPr>
          <w:p>
            <w:pPr>
              <w:spacing w:after="0"/>
              <w:rPr>
                <w:sz w:val="4"/>
                <w:szCs w:val="4"/>
                <w:color w:val="auto"/>
              </w:rPr>
            </w:pPr>
          </w:p>
        </w:tc>
        <w:tc>
          <w:tcPr>
            <w:tcW w:w="180" w:type="dxa"/>
            <w:vAlign w:val="bottom"/>
            <w:vMerge w:val="restart"/>
            <w:shd w:val="clear" w:color="auto" w:fill="DDDDDD"/>
          </w:tcPr>
          <w:p>
            <w:pPr>
              <w:jc w:val="center"/>
              <w:spacing w:after="0"/>
              <w:rPr>
                <w:sz w:val="20"/>
                <w:szCs w:val="20"/>
                <w:color w:val="auto"/>
              </w:rPr>
            </w:pPr>
            <w:r>
              <w:rPr>
                <w:rFonts w:ascii="Arial" w:cs="Arial" w:eastAsia="Arial" w:hAnsi="Arial"/>
                <w:sz w:val="14"/>
                <w:szCs w:val="14"/>
                <w:color w:val="auto"/>
                <w:highlight w:val="lightGray"/>
              </w:rPr>
              <w:t>($)</w:t>
            </w:r>
          </w:p>
        </w:tc>
        <w:tc>
          <w:tcPr>
            <w:tcW w:w="120" w:type="dxa"/>
            <w:vAlign w:val="bottom"/>
            <w:shd w:val="clear" w:color="auto" w:fill="DDDDDD"/>
          </w:tcPr>
          <w:p>
            <w:pPr>
              <w:spacing w:after="0"/>
              <w:rPr>
                <w:sz w:val="4"/>
                <w:szCs w:val="4"/>
                <w:color w:val="auto"/>
              </w:rPr>
            </w:pPr>
          </w:p>
        </w:tc>
        <w:tc>
          <w:tcPr>
            <w:tcW w:w="240" w:type="dxa"/>
            <w:vAlign w:val="bottom"/>
            <w:tcBorders>
              <w:right w:val="single" w:sz="8" w:color="auto"/>
            </w:tcBorders>
            <w:shd w:val="clear" w:color="auto" w:fill="DDDDDD"/>
          </w:tcPr>
          <w:p>
            <w:pPr>
              <w:spacing w:after="0"/>
              <w:rPr>
                <w:sz w:val="4"/>
                <w:szCs w:val="4"/>
                <w:color w:val="auto"/>
              </w:rPr>
            </w:pPr>
          </w:p>
        </w:tc>
        <w:tc>
          <w:tcPr>
            <w:tcW w:w="160" w:type="dxa"/>
            <w:vAlign w:val="bottom"/>
            <w:gridSpan w:val="2"/>
            <w:shd w:val="clear" w:color="auto" w:fill="DDDDDD"/>
          </w:tcPr>
          <w:p>
            <w:pPr>
              <w:spacing w:after="0"/>
              <w:rPr>
                <w:sz w:val="4"/>
                <w:szCs w:val="4"/>
                <w:color w:val="auto"/>
              </w:rPr>
            </w:pPr>
          </w:p>
        </w:tc>
        <w:tc>
          <w:tcPr>
            <w:tcW w:w="160" w:type="dxa"/>
            <w:vAlign w:val="bottom"/>
            <w:vMerge w:val="restart"/>
            <w:shd w:val="clear" w:color="auto" w:fill="DDDDDD"/>
          </w:tcPr>
          <w:p>
            <w:pPr>
              <w:jc w:val="center"/>
              <w:spacing w:after="0"/>
              <w:rPr>
                <w:sz w:val="20"/>
                <w:szCs w:val="20"/>
                <w:color w:val="auto"/>
              </w:rPr>
            </w:pPr>
            <w:r>
              <w:rPr>
                <w:rFonts w:ascii="Arial" w:cs="Arial" w:eastAsia="Arial" w:hAnsi="Arial"/>
                <w:sz w:val="14"/>
                <w:szCs w:val="14"/>
                <w:color w:val="auto"/>
                <w:highlight w:val="lightGray"/>
                <w:w w:val="93"/>
              </w:rPr>
              <w:t>($)</w:t>
            </w:r>
          </w:p>
        </w:tc>
        <w:tc>
          <w:tcPr>
            <w:tcW w:w="200" w:type="dxa"/>
            <w:vAlign w:val="bottom"/>
            <w:tcBorders>
              <w:right w:val="single" w:sz="8" w:color="auto"/>
            </w:tcBorders>
            <w:shd w:val="clear" w:color="auto" w:fill="DDDDDD"/>
          </w:tcPr>
          <w:p>
            <w:pPr>
              <w:spacing w:after="0"/>
              <w:rPr>
                <w:sz w:val="4"/>
                <w:szCs w:val="4"/>
                <w:color w:val="auto"/>
              </w:rPr>
            </w:pPr>
          </w:p>
        </w:tc>
        <w:tc>
          <w:tcPr>
            <w:tcW w:w="340" w:type="dxa"/>
            <w:vAlign w:val="bottom"/>
            <w:gridSpan w:val="2"/>
            <w:shd w:val="clear" w:color="auto" w:fill="DDDDDD"/>
          </w:tcPr>
          <w:p>
            <w:pPr>
              <w:spacing w:after="0"/>
              <w:rPr>
                <w:sz w:val="4"/>
                <w:szCs w:val="4"/>
                <w:color w:val="auto"/>
              </w:rPr>
            </w:pPr>
          </w:p>
        </w:tc>
        <w:tc>
          <w:tcPr>
            <w:tcW w:w="220" w:type="dxa"/>
            <w:vAlign w:val="bottom"/>
            <w:vMerge w:val="continue"/>
            <w:shd w:val="clear" w:color="auto" w:fill="DDDDDD"/>
          </w:tcPr>
          <w:p>
            <w:pPr>
              <w:spacing w:after="0"/>
              <w:rPr>
                <w:sz w:val="4"/>
                <w:szCs w:val="4"/>
                <w:color w:val="auto"/>
              </w:rPr>
            </w:pPr>
          </w:p>
        </w:tc>
        <w:tc>
          <w:tcPr>
            <w:tcW w:w="40" w:type="dxa"/>
            <w:vAlign w:val="bottom"/>
            <w:vMerge w:val="continue"/>
            <w:shd w:val="clear" w:color="auto" w:fill="DDDDDD"/>
          </w:tcPr>
          <w:p>
            <w:pPr>
              <w:spacing w:after="0"/>
              <w:rPr>
                <w:sz w:val="4"/>
                <w:szCs w:val="4"/>
                <w:color w:val="auto"/>
              </w:rPr>
            </w:pPr>
          </w:p>
        </w:tc>
        <w:tc>
          <w:tcPr>
            <w:tcW w:w="380" w:type="dxa"/>
            <w:vAlign w:val="bottom"/>
            <w:tcBorders>
              <w:right w:val="single" w:sz="8" w:color="auto"/>
            </w:tcBorders>
            <w:shd w:val="clear" w:color="auto" w:fill="DDDDDD"/>
          </w:tcPr>
          <w:p>
            <w:pPr>
              <w:spacing w:after="0"/>
              <w:rPr>
                <w:sz w:val="4"/>
                <w:szCs w:val="4"/>
                <w:color w:val="auto"/>
              </w:rPr>
            </w:pPr>
          </w:p>
        </w:tc>
        <w:tc>
          <w:tcPr>
            <w:tcW w:w="280" w:type="dxa"/>
            <w:vAlign w:val="bottom"/>
            <w:gridSpan w:val="2"/>
            <w:vMerge w:val="restart"/>
            <w:shd w:val="clear" w:color="auto" w:fill="DDDDDD"/>
          </w:tcPr>
          <w:p>
            <w:pPr>
              <w:spacing w:after="0"/>
              <w:rPr>
                <w:sz w:val="4"/>
                <w:szCs w:val="4"/>
                <w:color w:val="auto"/>
              </w:rPr>
            </w:pPr>
          </w:p>
        </w:tc>
        <w:tc>
          <w:tcPr>
            <w:tcW w:w="200" w:type="dxa"/>
            <w:vAlign w:val="bottom"/>
            <w:vMerge w:val="restart"/>
            <w:shd w:val="clear" w:color="auto" w:fill="DDDDDD"/>
          </w:tcPr>
          <w:p>
            <w:pPr>
              <w:jc w:val="center"/>
              <w:spacing w:after="0"/>
              <w:rPr>
                <w:sz w:val="20"/>
                <w:szCs w:val="20"/>
                <w:color w:val="auto"/>
              </w:rPr>
            </w:pPr>
            <w:r>
              <w:rPr>
                <w:rFonts w:ascii="Arial" w:cs="Arial" w:eastAsia="Arial" w:hAnsi="Arial"/>
                <w:sz w:val="14"/>
                <w:szCs w:val="14"/>
                <w:color w:val="auto"/>
                <w:highlight w:val="lightGray"/>
                <w:w w:val="93"/>
              </w:rPr>
              <w:t>($)</w:t>
            </w:r>
          </w:p>
        </w:tc>
        <w:tc>
          <w:tcPr>
            <w:tcW w:w="200" w:type="dxa"/>
            <w:vAlign w:val="bottom"/>
            <w:tcBorders>
              <w:right w:val="single" w:sz="8" w:color="auto"/>
            </w:tcBorders>
            <w:vMerge w:val="restart"/>
            <w:shd w:val="clear" w:color="auto" w:fill="DDDDDD"/>
          </w:tcPr>
          <w:p>
            <w:pPr>
              <w:spacing w:after="0"/>
              <w:rPr>
                <w:sz w:val="4"/>
                <w:szCs w:val="4"/>
                <w:color w:val="auto"/>
              </w:rPr>
            </w:pPr>
          </w:p>
        </w:tc>
        <w:tc>
          <w:tcPr>
            <w:tcW w:w="360" w:type="dxa"/>
            <w:vAlign w:val="bottom"/>
            <w:vMerge w:val="restart"/>
            <w:shd w:val="clear" w:color="auto" w:fill="DDDDDD"/>
          </w:tcPr>
          <w:p>
            <w:pPr>
              <w:spacing w:after="0"/>
              <w:rPr>
                <w:sz w:val="4"/>
                <w:szCs w:val="4"/>
                <w:color w:val="auto"/>
              </w:rPr>
            </w:pPr>
          </w:p>
        </w:tc>
        <w:tc>
          <w:tcPr>
            <w:tcW w:w="22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auto"/>
                <w:highlight w:val="lightGray"/>
                <w:w w:val="93"/>
              </w:rPr>
              <w:t>($)</w:t>
            </w:r>
          </w:p>
        </w:tc>
        <w:tc>
          <w:tcPr>
            <w:tcW w:w="460" w:type="dxa"/>
            <w:vAlign w:val="bottom"/>
            <w:tcBorders>
              <w:right w:val="single" w:sz="8" w:color="auto"/>
            </w:tcBorders>
            <w:vMerge w:val="restart"/>
            <w:shd w:val="clear" w:color="auto" w:fill="DDDDDD"/>
          </w:tcPr>
          <w:p>
            <w:pPr>
              <w:jc w:val="right"/>
              <w:ind w:right="355"/>
              <w:spacing w:after="0"/>
              <w:rPr>
                <w:sz w:val="20"/>
                <w:szCs w:val="20"/>
                <w:color w:val="auto"/>
              </w:rPr>
            </w:pPr>
            <w:r>
              <w:rPr>
                <w:rFonts w:ascii="Arial" w:cs="Arial" w:eastAsia="Arial" w:hAnsi="Arial"/>
                <w:sz w:val="9"/>
                <w:szCs w:val="9"/>
                <w:color w:val="auto"/>
                <w:highlight w:val="lightGray"/>
                <w:w w:val="78"/>
              </w:rPr>
              <w:t>2</w:t>
            </w:r>
          </w:p>
        </w:tc>
        <w:tc>
          <w:tcPr>
            <w:tcW w:w="340" w:type="dxa"/>
            <w:vAlign w:val="bottom"/>
            <w:vMerge w:val="restart"/>
            <w:shd w:val="clear" w:color="auto" w:fill="DDDDDD"/>
          </w:tcPr>
          <w:p>
            <w:pPr>
              <w:spacing w:after="0"/>
              <w:rPr>
                <w:sz w:val="4"/>
                <w:szCs w:val="4"/>
                <w:color w:val="auto"/>
              </w:rPr>
            </w:pPr>
          </w:p>
        </w:tc>
        <w:tc>
          <w:tcPr>
            <w:tcW w:w="22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auto"/>
                <w:highlight w:val="lightGray"/>
                <w:w w:val="93"/>
              </w:rPr>
              <w:t>($)</w:t>
            </w:r>
          </w:p>
        </w:tc>
        <w:tc>
          <w:tcPr>
            <w:tcW w:w="40" w:type="dxa"/>
            <w:vAlign w:val="bottom"/>
            <w:vMerge w:val="restart"/>
            <w:shd w:val="clear" w:color="auto" w:fill="DDDDDD"/>
          </w:tcPr>
          <w:p>
            <w:pPr>
              <w:jc w:val="right"/>
              <w:spacing w:after="0"/>
              <w:rPr>
                <w:sz w:val="20"/>
                <w:szCs w:val="20"/>
                <w:color w:val="auto"/>
              </w:rPr>
            </w:pPr>
            <w:r>
              <w:rPr>
                <w:rFonts w:ascii="Arial" w:cs="Arial" w:eastAsia="Arial" w:hAnsi="Arial"/>
                <w:sz w:val="4"/>
                <w:szCs w:val="4"/>
                <w:color w:val="auto"/>
                <w:highlight w:val="lightGray"/>
                <w:w w:val="87"/>
              </w:rPr>
              <w:t>3</w:t>
            </w:r>
          </w:p>
        </w:tc>
        <w:tc>
          <w:tcPr>
            <w:tcW w:w="560" w:type="dxa"/>
            <w:vAlign w:val="bottom"/>
            <w:tcBorders>
              <w:right w:val="single" w:sz="8" w:color="auto"/>
            </w:tcBorders>
            <w:vMerge w:val="restart"/>
            <w:shd w:val="clear" w:color="auto" w:fill="DDDDDD"/>
          </w:tcPr>
          <w:p>
            <w:pPr>
              <w:spacing w:after="0"/>
              <w:rPr>
                <w:sz w:val="4"/>
                <w:szCs w:val="4"/>
                <w:color w:val="auto"/>
              </w:rPr>
            </w:pPr>
          </w:p>
        </w:tc>
        <w:tc>
          <w:tcPr>
            <w:tcW w:w="360" w:type="dxa"/>
            <w:vAlign w:val="bottom"/>
            <w:vMerge w:val="restart"/>
            <w:shd w:val="clear" w:color="auto" w:fill="DDDDDD"/>
          </w:tcPr>
          <w:p>
            <w:pPr>
              <w:spacing w:after="0"/>
              <w:rPr>
                <w:sz w:val="4"/>
                <w:szCs w:val="4"/>
                <w:color w:val="auto"/>
              </w:rPr>
            </w:pPr>
          </w:p>
        </w:tc>
        <w:tc>
          <w:tcPr>
            <w:tcW w:w="220" w:type="dxa"/>
            <w:vAlign w:val="bottom"/>
            <w:vMerge w:val="restart"/>
            <w:shd w:val="clear" w:color="auto" w:fill="DDDDDD"/>
          </w:tcPr>
          <w:p>
            <w:pPr>
              <w:spacing w:after="0"/>
              <w:rPr>
                <w:sz w:val="20"/>
                <w:szCs w:val="20"/>
                <w:color w:val="auto"/>
              </w:rPr>
            </w:pPr>
            <w:r>
              <w:rPr>
                <w:rFonts w:ascii="Arial" w:cs="Arial" w:eastAsia="Arial" w:hAnsi="Arial"/>
                <w:sz w:val="14"/>
                <w:szCs w:val="14"/>
                <w:color w:val="auto"/>
                <w:highlight w:val="lightGray"/>
              </w:rPr>
              <w:t>($)</w:t>
            </w:r>
          </w:p>
        </w:tc>
        <w:tc>
          <w:tcPr>
            <w:tcW w:w="40" w:type="dxa"/>
            <w:vAlign w:val="bottom"/>
            <w:vMerge w:val="restart"/>
            <w:shd w:val="clear" w:color="auto" w:fill="DDDDDD"/>
          </w:tcPr>
          <w:p>
            <w:pPr>
              <w:jc w:val="right"/>
              <w:spacing w:after="0"/>
              <w:rPr>
                <w:sz w:val="20"/>
                <w:szCs w:val="20"/>
                <w:color w:val="auto"/>
              </w:rPr>
            </w:pPr>
            <w:r>
              <w:rPr>
                <w:rFonts w:ascii="Arial" w:cs="Arial" w:eastAsia="Arial" w:hAnsi="Arial"/>
                <w:sz w:val="4"/>
                <w:szCs w:val="4"/>
                <w:color w:val="auto"/>
                <w:highlight w:val="lightGray"/>
                <w:w w:val="87"/>
              </w:rPr>
              <w:t>4</w:t>
            </w:r>
          </w:p>
        </w:tc>
        <w:tc>
          <w:tcPr>
            <w:tcW w:w="400" w:type="dxa"/>
            <w:vAlign w:val="bottom"/>
            <w:tcBorders>
              <w:right w:val="single" w:sz="8" w:color="auto"/>
            </w:tcBorders>
            <w:vMerge w:val="restart"/>
            <w:shd w:val="clear" w:color="auto" w:fill="DDDDDD"/>
          </w:tcPr>
          <w:p>
            <w:pPr>
              <w:spacing w:after="0"/>
              <w:rPr>
                <w:sz w:val="4"/>
                <w:szCs w:val="4"/>
                <w:color w:val="auto"/>
              </w:rPr>
            </w:pPr>
          </w:p>
        </w:tc>
        <w:tc>
          <w:tcPr>
            <w:tcW w:w="340" w:type="dxa"/>
            <w:vAlign w:val="bottom"/>
            <w:vMerge w:val="restart"/>
            <w:shd w:val="clear" w:color="auto" w:fill="DDDDDD"/>
          </w:tcPr>
          <w:p>
            <w:pPr>
              <w:spacing w:after="0"/>
              <w:rPr>
                <w:sz w:val="4"/>
                <w:szCs w:val="4"/>
                <w:color w:val="auto"/>
              </w:rPr>
            </w:pPr>
          </w:p>
        </w:tc>
        <w:tc>
          <w:tcPr>
            <w:tcW w:w="680" w:type="dxa"/>
            <w:vAlign w:val="bottom"/>
            <w:tcBorders>
              <w:right w:val="single" w:sz="8" w:color="auto"/>
            </w:tcBorders>
            <w:vMerge w:val="restart"/>
            <w:shd w:val="clear" w:color="auto" w:fill="DDDDDD"/>
          </w:tcPr>
          <w:p>
            <w:pPr>
              <w:jc w:val="center"/>
              <w:ind w:right="288"/>
              <w:spacing w:after="0"/>
              <w:rPr>
                <w:sz w:val="20"/>
                <w:szCs w:val="20"/>
                <w:color w:val="auto"/>
              </w:rPr>
            </w:pPr>
            <w:r>
              <w:rPr>
                <w:rFonts w:ascii="Arial" w:cs="Arial" w:eastAsia="Arial" w:hAnsi="Arial"/>
                <w:sz w:val="14"/>
                <w:szCs w:val="14"/>
                <w:color w:val="auto"/>
                <w:highlight w:val="lightGray"/>
                <w:w w:val="93"/>
              </w:rPr>
              <w:t>($)</w:t>
            </w:r>
          </w:p>
        </w:tc>
        <w:tc>
          <w:tcPr>
            <w:tcW w:w="0" w:type="dxa"/>
            <w:vAlign w:val="bottom"/>
          </w:tcPr>
          <w:p>
            <w:pPr>
              <w:spacing w:after="0"/>
              <w:rPr>
                <w:sz w:val="1"/>
                <w:szCs w:val="1"/>
                <w:color w:val="auto"/>
              </w:rPr>
            </w:pPr>
          </w:p>
        </w:tc>
      </w:tr>
      <w:tr>
        <w:trPr>
          <w:trHeight w:val="62"/>
        </w:trPr>
        <w:tc>
          <w:tcPr>
            <w:tcW w:w="560" w:type="dxa"/>
            <w:vAlign w:val="bottom"/>
            <w:tcBorders>
              <w:left w:val="single" w:sz="8" w:color="auto"/>
            </w:tcBorders>
            <w:vMerge w:val="continue"/>
            <w:shd w:val="clear" w:color="auto" w:fill="DDDDDD"/>
          </w:tcPr>
          <w:p>
            <w:pPr>
              <w:spacing w:after="0"/>
              <w:rPr>
                <w:sz w:val="5"/>
                <w:szCs w:val="5"/>
                <w:color w:val="auto"/>
              </w:rPr>
            </w:pPr>
          </w:p>
        </w:tc>
        <w:tc>
          <w:tcPr>
            <w:tcW w:w="820" w:type="dxa"/>
            <w:vAlign w:val="bottom"/>
            <w:tcBorders>
              <w:right w:val="single" w:sz="8" w:color="auto"/>
            </w:tcBorders>
            <w:shd w:val="clear" w:color="auto" w:fill="DDDDDD"/>
          </w:tcPr>
          <w:p>
            <w:pPr>
              <w:spacing w:after="0"/>
              <w:rPr>
                <w:sz w:val="5"/>
                <w:szCs w:val="5"/>
                <w:color w:val="auto"/>
              </w:rPr>
            </w:pPr>
          </w:p>
        </w:tc>
        <w:tc>
          <w:tcPr>
            <w:tcW w:w="100" w:type="dxa"/>
            <w:vAlign w:val="bottom"/>
            <w:shd w:val="clear" w:color="auto" w:fill="DDDDDD"/>
          </w:tcPr>
          <w:p>
            <w:pPr>
              <w:spacing w:after="0"/>
              <w:rPr>
                <w:sz w:val="5"/>
                <w:szCs w:val="5"/>
                <w:color w:val="auto"/>
              </w:rPr>
            </w:pPr>
          </w:p>
        </w:tc>
        <w:tc>
          <w:tcPr>
            <w:tcW w:w="280" w:type="dxa"/>
            <w:vAlign w:val="bottom"/>
            <w:vMerge w:val="continue"/>
            <w:shd w:val="clear" w:color="auto" w:fill="DDDDDD"/>
          </w:tcPr>
          <w:p>
            <w:pPr>
              <w:spacing w:after="0"/>
              <w:rPr>
                <w:sz w:val="5"/>
                <w:szCs w:val="5"/>
                <w:color w:val="auto"/>
              </w:rPr>
            </w:pPr>
          </w:p>
        </w:tc>
        <w:tc>
          <w:tcPr>
            <w:tcW w:w="120" w:type="dxa"/>
            <w:vAlign w:val="bottom"/>
            <w:tcBorders>
              <w:right w:val="single" w:sz="8" w:color="auto"/>
            </w:tcBorders>
            <w:shd w:val="clear" w:color="auto" w:fill="DDDDDD"/>
          </w:tcPr>
          <w:p>
            <w:pPr>
              <w:spacing w:after="0"/>
              <w:rPr>
                <w:sz w:val="5"/>
                <w:szCs w:val="5"/>
                <w:color w:val="auto"/>
              </w:rPr>
            </w:pPr>
          </w:p>
        </w:tc>
        <w:tc>
          <w:tcPr>
            <w:tcW w:w="200" w:type="dxa"/>
            <w:vAlign w:val="bottom"/>
            <w:shd w:val="clear" w:color="auto" w:fill="DDDDDD"/>
          </w:tcPr>
          <w:p>
            <w:pPr>
              <w:spacing w:after="0"/>
              <w:rPr>
                <w:sz w:val="5"/>
                <w:szCs w:val="5"/>
                <w:color w:val="auto"/>
              </w:rPr>
            </w:pPr>
          </w:p>
        </w:tc>
        <w:tc>
          <w:tcPr>
            <w:tcW w:w="120" w:type="dxa"/>
            <w:vAlign w:val="bottom"/>
            <w:shd w:val="clear" w:color="auto" w:fill="DDDDDD"/>
          </w:tcPr>
          <w:p>
            <w:pPr>
              <w:spacing w:after="0"/>
              <w:rPr>
                <w:sz w:val="5"/>
                <w:szCs w:val="5"/>
                <w:color w:val="auto"/>
              </w:rPr>
            </w:pPr>
          </w:p>
        </w:tc>
        <w:tc>
          <w:tcPr>
            <w:tcW w:w="180" w:type="dxa"/>
            <w:vAlign w:val="bottom"/>
            <w:vMerge w:val="continue"/>
            <w:shd w:val="clear" w:color="auto" w:fill="DDDDDD"/>
          </w:tcPr>
          <w:p>
            <w:pPr>
              <w:spacing w:after="0"/>
              <w:rPr>
                <w:sz w:val="5"/>
                <w:szCs w:val="5"/>
                <w:color w:val="auto"/>
              </w:rPr>
            </w:pPr>
          </w:p>
        </w:tc>
        <w:tc>
          <w:tcPr>
            <w:tcW w:w="120" w:type="dxa"/>
            <w:vAlign w:val="bottom"/>
            <w:shd w:val="clear" w:color="auto" w:fill="DDDDDD"/>
          </w:tcPr>
          <w:p>
            <w:pPr>
              <w:spacing w:after="0"/>
              <w:rPr>
                <w:sz w:val="5"/>
                <w:szCs w:val="5"/>
                <w:color w:val="auto"/>
              </w:rPr>
            </w:pPr>
          </w:p>
        </w:tc>
        <w:tc>
          <w:tcPr>
            <w:tcW w:w="240" w:type="dxa"/>
            <w:vAlign w:val="bottom"/>
            <w:tcBorders>
              <w:right w:val="single" w:sz="8" w:color="auto"/>
            </w:tcBorders>
            <w:shd w:val="clear" w:color="auto" w:fill="DDDDDD"/>
          </w:tcPr>
          <w:p>
            <w:pPr>
              <w:spacing w:after="0"/>
              <w:rPr>
                <w:sz w:val="5"/>
                <w:szCs w:val="5"/>
                <w:color w:val="auto"/>
              </w:rPr>
            </w:pPr>
          </w:p>
        </w:tc>
        <w:tc>
          <w:tcPr>
            <w:tcW w:w="40" w:type="dxa"/>
            <w:vAlign w:val="bottom"/>
            <w:shd w:val="clear" w:color="auto" w:fill="DDDDDD"/>
          </w:tcPr>
          <w:p>
            <w:pPr>
              <w:spacing w:after="0"/>
              <w:rPr>
                <w:sz w:val="5"/>
                <w:szCs w:val="5"/>
                <w:color w:val="auto"/>
              </w:rPr>
            </w:pPr>
          </w:p>
        </w:tc>
        <w:tc>
          <w:tcPr>
            <w:tcW w:w="120" w:type="dxa"/>
            <w:vAlign w:val="bottom"/>
            <w:shd w:val="clear" w:color="auto" w:fill="DDDDDD"/>
          </w:tcPr>
          <w:p>
            <w:pPr>
              <w:spacing w:after="0"/>
              <w:rPr>
                <w:sz w:val="5"/>
                <w:szCs w:val="5"/>
                <w:color w:val="auto"/>
              </w:rPr>
            </w:pPr>
          </w:p>
        </w:tc>
        <w:tc>
          <w:tcPr>
            <w:tcW w:w="160" w:type="dxa"/>
            <w:vAlign w:val="bottom"/>
            <w:vMerge w:val="continue"/>
            <w:shd w:val="clear" w:color="auto" w:fill="DDDDDD"/>
          </w:tcPr>
          <w:p>
            <w:pPr>
              <w:spacing w:after="0"/>
              <w:rPr>
                <w:sz w:val="5"/>
                <w:szCs w:val="5"/>
                <w:color w:val="auto"/>
              </w:rPr>
            </w:pPr>
          </w:p>
        </w:tc>
        <w:tc>
          <w:tcPr>
            <w:tcW w:w="200" w:type="dxa"/>
            <w:vAlign w:val="bottom"/>
            <w:tcBorders>
              <w:right w:val="single" w:sz="8" w:color="auto"/>
            </w:tcBorders>
            <w:shd w:val="clear" w:color="auto" w:fill="DDDDDD"/>
          </w:tcPr>
          <w:p>
            <w:pPr>
              <w:spacing w:after="0"/>
              <w:rPr>
                <w:sz w:val="5"/>
                <w:szCs w:val="5"/>
                <w:color w:val="auto"/>
              </w:rPr>
            </w:pPr>
          </w:p>
        </w:tc>
        <w:tc>
          <w:tcPr>
            <w:tcW w:w="340" w:type="dxa"/>
            <w:vAlign w:val="bottom"/>
            <w:gridSpan w:val="2"/>
            <w:shd w:val="clear" w:color="auto" w:fill="DDDDDD"/>
          </w:tcPr>
          <w:p>
            <w:pPr>
              <w:spacing w:after="0"/>
              <w:rPr>
                <w:sz w:val="5"/>
                <w:szCs w:val="5"/>
                <w:color w:val="auto"/>
              </w:rPr>
            </w:pPr>
          </w:p>
        </w:tc>
        <w:tc>
          <w:tcPr>
            <w:tcW w:w="220" w:type="dxa"/>
            <w:vAlign w:val="bottom"/>
            <w:vMerge w:val="continue"/>
            <w:shd w:val="clear" w:color="auto" w:fill="DDDDDD"/>
          </w:tcPr>
          <w:p>
            <w:pPr>
              <w:spacing w:after="0"/>
              <w:rPr>
                <w:sz w:val="5"/>
                <w:szCs w:val="5"/>
                <w:color w:val="auto"/>
              </w:rPr>
            </w:pPr>
          </w:p>
        </w:tc>
        <w:tc>
          <w:tcPr>
            <w:tcW w:w="40" w:type="dxa"/>
            <w:vAlign w:val="bottom"/>
            <w:shd w:val="clear" w:color="auto" w:fill="DDDDDD"/>
          </w:tcPr>
          <w:p>
            <w:pPr>
              <w:spacing w:after="0"/>
              <w:rPr>
                <w:sz w:val="5"/>
                <w:szCs w:val="5"/>
                <w:color w:val="auto"/>
              </w:rPr>
            </w:pPr>
          </w:p>
        </w:tc>
        <w:tc>
          <w:tcPr>
            <w:tcW w:w="380" w:type="dxa"/>
            <w:vAlign w:val="bottom"/>
            <w:tcBorders>
              <w:right w:val="single" w:sz="8" w:color="auto"/>
            </w:tcBorders>
            <w:shd w:val="clear" w:color="auto" w:fill="DDDDDD"/>
          </w:tcPr>
          <w:p>
            <w:pPr>
              <w:spacing w:after="0"/>
              <w:rPr>
                <w:sz w:val="5"/>
                <w:szCs w:val="5"/>
                <w:color w:val="auto"/>
              </w:rPr>
            </w:pPr>
          </w:p>
        </w:tc>
        <w:tc>
          <w:tcPr>
            <w:tcW w:w="280" w:type="dxa"/>
            <w:vAlign w:val="bottom"/>
            <w:gridSpan w:val="2"/>
            <w:vMerge w:val="continue"/>
            <w:shd w:val="clear" w:color="auto" w:fill="DDDDDD"/>
          </w:tcPr>
          <w:p>
            <w:pPr>
              <w:spacing w:after="0"/>
              <w:rPr>
                <w:sz w:val="5"/>
                <w:szCs w:val="5"/>
                <w:color w:val="auto"/>
              </w:rPr>
            </w:pPr>
          </w:p>
        </w:tc>
        <w:tc>
          <w:tcPr>
            <w:tcW w:w="200" w:type="dxa"/>
            <w:vAlign w:val="bottom"/>
            <w:vMerge w:val="continue"/>
            <w:shd w:val="clear" w:color="auto" w:fill="DDDDDD"/>
          </w:tcPr>
          <w:p>
            <w:pPr>
              <w:spacing w:after="0"/>
              <w:rPr>
                <w:sz w:val="5"/>
                <w:szCs w:val="5"/>
                <w:color w:val="auto"/>
              </w:rPr>
            </w:pPr>
          </w:p>
        </w:tc>
        <w:tc>
          <w:tcPr>
            <w:tcW w:w="200" w:type="dxa"/>
            <w:vAlign w:val="bottom"/>
            <w:tcBorders>
              <w:right w:val="single" w:sz="8" w:color="auto"/>
            </w:tcBorders>
            <w:vMerge w:val="continue"/>
            <w:shd w:val="clear" w:color="auto" w:fill="DDDDDD"/>
          </w:tcPr>
          <w:p>
            <w:pPr>
              <w:spacing w:after="0"/>
              <w:rPr>
                <w:sz w:val="5"/>
                <w:szCs w:val="5"/>
                <w:color w:val="auto"/>
              </w:rPr>
            </w:pPr>
          </w:p>
        </w:tc>
        <w:tc>
          <w:tcPr>
            <w:tcW w:w="360" w:type="dxa"/>
            <w:vAlign w:val="bottom"/>
            <w:vMerge w:val="continue"/>
            <w:shd w:val="clear" w:color="auto" w:fill="DDDDDD"/>
          </w:tcPr>
          <w:p>
            <w:pPr>
              <w:spacing w:after="0"/>
              <w:rPr>
                <w:sz w:val="5"/>
                <w:szCs w:val="5"/>
                <w:color w:val="auto"/>
              </w:rPr>
            </w:pPr>
          </w:p>
        </w:tc>
        <w:tc>
          <w:tcPr>
            <w:tcW w:w="220" w:type="dxa"/>
            <w:vAlign w:val="bottom"/>
            <w:vMerge w:val="continue"/>
            <w:shd w:val="clear" w:color="auto" w:fill="DDDDDD"/>
          </w:tcPr>
          <w:p>
            <w:pPr>
              <w:spacing w:after="0"/>
              <w:rPr>
                <w:sz w:val="5"/>
                <w:szCs w:val="5"/>
                <w:color w:val="auto"/>
              </w:rPr>
            </w:pPr>
          </w:p>
        </w:tc>
        <w:tc>
          <w:tcPr>
            <w:tcW w:w="460" w:type="dxa"/>
            <w:vAlign w:val="bottom"/>
            <w:tcBorders>
              <w:right w:val="single" w:sz="8" w:color="auto"/>
            </w:tcBorders>
            <w:vMerge w:val="continue"/>
            <w:shd w:val="clear" w:color="auto" w:fill="DDDDDD"/>
          </w:tcPr>
          <w:p>
            <w:pPr>
              <w:spacing w:after="0"/>
              <w:rPr>
                <w:sz w:val="5"/>
                <w:szCs w:val="5"/>
                <w:color w:val="auto"/>
              </w:rPr>
            </w:pPr>
          </w:p>
        </w:tc>
        <w:tc>
          <w:tcPr>
            <w:tcW w:w="340" w:type="dxa"/>
            <w:vAlign w:val="bottom"/>
            <w:vMerge w:val="continue"/>
            <w:shd w:val="clear" w:color="auto" w:fill="DDDDDD"/>
          </w:tcPr>
          <w:p>
            <w:pPr>
              <w:spacing w:after="0"/>
              <w:rPr>
                <w:sz w:val="5"/>
                <w:szCs w:val="5"/>
                <w:color w:val="auto"/>
              </w:rPr>
            </w:pPr>
          </w:p>
        </w:tc>
        <w:tc>
          <w:tcPr>
            <w:tcW w:w="220" w:type="dxa"/>
            <w:vAlign w:val="bottom"/>
            <w:vMerge w:val="continue"/>
            <w:shd w:val="clear" w:color="auto" w:fill="DDDDDD"/>
          </w:tcPr>
          <w:p>
            <w:pPr>
              <w:spacing w:after="0"/>
              <w:rPr>
                <w:sz w:val="5"/>
                <w:szCs w:val="5"/>
                <w:color w:val="auto"/>
              </w:rPr>
            </w:pPr>
          </w:p>
        </w:tc>
        <w:tc>
          <w:tcPr>
            <w:tcW w:w="40" w:type="dxa"/>
            <w:vAlign w:val="bottom"/>
            <w:vMerge w:val="continue"/>
            <w:shd w:val="clear" w:color="auto" w:fill="DDDDDD"/>
          </w:tcPr>
          <w:p>
            <w:pPr>
              <w:spacing w:after="0"/>
              <w:rPr>
                <w:sz w:val="5"/>
                <w:szCs w:val="5"/>
                <w:color w:val="auto"/>
              </w:rPr>
            </w:pPr>
          </w:p>
        </w:tc>
        <w:tc>
          <w:tcPr>
            <w:tcW w:w="560" w:type="dxa"/>
            <w:vAlign w:val="bottom"/>
            <w:tcBorders>
              <w:right w:val="single" w:sz="8" w:color="auto"/>
            </w:tcBorders>
            <w:vMerge w:val="continue"/>
            <w:shd w:val="clear" w:color="auto" w:fill="DDDDDD"/>
          </w:tcPr>
          <w:p>
            <w:pPr>
              <w:spacing w:after="0"/>
              <w:rPr>
                <w:sz w:val="5"/>
                <w:szCs w:val="5"/>
                <w:color w:val="auto"/>
              </w:rPr>
            </w:pPr>
          </w:p>
        </w:tc>
        <w:tc>
          <w:tcPr>
            <w:tcW w:w="360" w:type="dxa"/>
            <w:vAlign w:val="bottom"/>
            <w:vMerge w:val="continue"/>
            <w:shd w:val="clear" w:color="auto" w:fill="DDDDDD"/>
          </w:tcPr>
          <w:p>
            <w:pPr>
              <w:spacing w:after="0"/>
              <w:rPr>
                <w:sz w:val="5"/>
                <w:szCs w:val="5"/>
                <w:color w:val="auto"/>
              </w:rPr>
            </w:pPr>
          </w:p>
        </w:tc>
        <w:tc>
          <w:tcPr>
            <w:tcW w:w="220" w:type="dxa"/>
            <w:vAlign w:val="bottom"/>
            <w:vMerge w:val="continue"/>
            <w:shd w:val="clear" w:color="auto" w:fill="DDDDDD"/>
          </w:tcPr>
          <w:p>
            <w:pPr>
              <w:spacing w:after="0"/>
              <w:rPr>
                <w:sz w:val="5"/>
                <w:szCs w:val="5"/>
                <w:color w:val="auto"/>
              </w:rPr>
            </w:pPr>
          </w:p>
        </w:tc>
        <w:tc>
          <w:tcPr>
            <w:tcW w:w="40" w:type="dxa"/>
            <w:vAlign w:val="bottom"/>
            <w:vMerge w:val="continue"/>
            <w:shd w:val="clear" w:color="auto" w:fill="DDDDDD"/>
          </w:tcPr>
          <w:p>
            <w:pPr>
              <w:spacing w:after="0"/>
              <w:rPr>
                <w:sz w:val="5"/>
                <w:szCs w:val="5"/>
                <w:color w:val="auto"/>
              </w:rPr>
            </w:pPr>
          </w:p>
        </w:tc>
        <w:tc>
          <w:tcPr>
            <w:tcW w:w="400" w:type="dxa"/>
            <w:vAlign w:val="bottom"/>
            <w:tcBorders>
              <w:right w:val="single" w:sz="8" w:color="auto"/>
            </w:tcBorders>
            <w:vMerge w:val="continue"/>
            <w:shd w:val="clear" w:color="auto" w:fill="DDDDDD"/>
          </w:tcPr>
          <w:p>
            <w:pPr>
              <w:spacing w:after="0"/>
              <w:rPr>
                <w:sz w:val="5"/>
                <w:szCs w:val="5"/>
                <w:color w:val="auto"/>
              </w:rPr>
            </w:pPr>
          </w:p>
        </w:tc>
        <w:tc>
          <w:tcPr>
            <w:tcW w:w="340" w:type="dxa"/>
            <w:vAlign w:val="bottom"/>
            <w:vMerge w:val="continue"/>
            <w:shd w:val="clear" w:color="auto" w:fill="DDDDDD"/>
          </w:tcPr>
          <w:p>
            <w:pPr>
              <w:spacing w:after="0"/>
              <w:rPr>
                <w:sz w:val="5"/>
                <w:szCs w:val="5"/>
                <w:color w:val="auto"/>
              </w:rPr>
            </w:pPr>
          </w:p>
        </w:tc>
        <w:tc>
          <w:tcPr>
            <w:tcW w:w="680" w:type="dxa"/>
            <w:vAlign w:val="bottom"/>
            <w:tcBorders>
              <w:right w:val="single" w:sz="8" w:color="auto"/>
            </w:tcBorders>
            <w:vMerge w:val="continue"/>
            <w:shd w:val="clear" w:color="auto" w:fill="DDDDDD"/>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560" w:type="dxa"/>
            <w:vAlign w:val="bottom"/>
            <w:tcBorders>
              <w:left w:val="single" w:sz="8" w:color="auto"/>
              <w:bottom w:val="single" w:sz="8" w:color="DDDDDD"/>
            </w:tcBorders>
            <w:vMerge w:val="continue"/>
            <w:shd w:val="clear" w:color="auto" w:fill="DDDDDD"/>
          </w:tcPr>
          <w:p>
            <w:pPr>
              <w:spacing w:after="0"/>
              <w:rPr>
                <w:sz w:val="6"/>
                <w:szCs w:val="6"/>
                <w:color w:val="auto"/>
              </w:rPr>
            </w:pPr>
          </w:p>
        </w:tc>
        <w:tc>
          <w:tcPr>
            <w:tcW w:w="820" w:type="dxa"/>
            <w:vAlign w:val="bottom"/>
            <w:tcBorders>
              <w:bottom w:val="single" w:sz="8" w:color="DDDDDD"/>
              <w:right w:val="single" w:sz="8" w:color="auto"/>
            </w:tcBorders>
            <w:shd w:val="clear" w:color="auto" w:fill="DDDDDD"/>
          </w:tcPr>
          <w:p>
            <w:pPr>
              <w:spacing w:after="0"/>
              <w:rPr>
                <w:sz w:val="6"/>
                <w:szCs w:val="6"/>
                <w:color w:val="auto"/>
              </w:rPr>
            </w:pPr>
          </w:p>
        </w:tc>
        <w:tc>
          <w:tcPr>
            <w:tcW w:w="100" w:type="dxa"/>
            <w:vAlign w:val="bottom"/>
            <w:tcBorders>
              <w:bottom w:val="single" w:sz="8" w:color="DDDDDD"/>
            </w:tcBorders>
            <w:shd w:val="clear" w:color="auto" w:fill="DDDDDD"/>
          </w:tcPr>
          <w:p>
            <w:pPr>
              <w:spacing w:after="0"/>
              <w:rPr>
                <w:sz w:val="6"/>
                <w:szCs w:val="6"/>
                <w:color w:val="auto"/>
              </w:rPr>
            </w:pPr>
          </w:p>
        </w:tc>
        <w:tc>
          <w:tcPr>
            <w:tcW w:w="280" w:type="dxa"/>
            <w:vAlign w:val="bottom"/>
            <w:tcBorders>
              <w:bottom w:val="single" w:sz="8" w:color="DDDDDD"/>
            </w:tcBorders>
            <w:vMerge w:val="continue"/>
            <w:shd w:val="clear" w:color="auto" w:fill="DDDDDD"/>
          </w:tcPr>
          <w:p>
            <w:pPr>
              <w:spacing w:after="0"/>
              <w:rPr>
                <w:sz w:val="6"/>
                <w:szCs w:val="6"/>
                <w:color w:val="auto"/>
              </w:rPr>
            </w:pPr>
          </w:p>
        </w:tc>
        <w:tc>
          <w:tcPr>
            <w:tcW w:w="120" w:type="dxa"/>
            <w:vAlign w:val="bottom"/>
            <w:tcBorders>
              <w:bottom w:val="single" w:sz="8" w:color="DDDDDD"/>
              <w:right w:val="single" w:sz="8" w:color="auto"/>
            </w:tcBorders>
            <w:shd w:val="clear" w:color="auto" w:fill="DDDDDD"/>
          </w:tcPr>
          <w:p>
            <w:pPr>
              <w:spacing w:after="0"/>
              <w:rPr>
                <w:sz w:val="6"/>
                <w:szCs w:val="6"/>
                <w:color w:val="auto"/>
              </w:rPr>
            </w:pPr>
          </w:p>
        </w:tc>
        <w:tc>
          <w:tcPr>
            <w:tcW w:w="200" w:type="dxa"/>
            <w:vAlign w:val="bottom"/>
            <w:tcBorders>
              <w:bottom w:val="single" w:sz="8" w:color="DDDDDD"/>
            </w:tcBorders>
            <w:shd w:val="clear" w:color="auto" w:fill="DDDDDD"/>
          </w:tcPr>
          <w:p>
            <w:pPr>
              <w:spacing w:after="0"/>
              <w:rPr>
                <w:sz w:val="6"/>
                <w:szCs w:val="6"/>
                <w:color w:val="auto"/>
              </w:rPr>
            </w:pPr>
          </w:p>
        </w:tc>
        <w:tc>
          <w:tcPr>
            <w:tcW w:w="120" w:type="dxa"/>
            <w:vAlign w:val="bottom"/>
            <w:tcBorders>
              <w:bottom w:val="single" w:sz="8" w:color="DDDDDD"/>
            </w:tcBorders>
            <w:shd w:val="clear" w:color="auto" w:fill="DDDDDD"/>
          </w:tcPr>
          <w:p>
            <w:pPr>
              <w:spacing w:after="0"/>
              <w:rPr>
                <w:sz w:val="6"/>
                <w:szCs w:val="6"/>
                <w:color w:val="auto"/>
              </w:rPr>
            </w:pPr>
          </w:p>
        </w:tc>
        <w:tc>
          <w:tcPr>
            <w:tcW w:w="180" w:type="dxa"/>
            <w:vAlign w:val="bottom"/>
            <w:tcBorders>
              <w:bottom w:val="single" w:sz="8" w:color="DDDDDD"/>
            </w:tcBorders>
            <w:vMerge w:val="continue"/>
            <w:shd w:val="clear" w:color="auto" w:fill="DDDDDD"/>
          </w:tcPr>
          <w:p>
            <w:pPr>
              <w:spacing w:after="0"/>
              <w:rPr>
                <w:sz w:val="6"/>
                <w:szCs w:val="6"/>
                <w:color w:val="auto"/>
              </w:rPr>
            </w:pPr>
          </w:p>
        </w:tc>
        <w:tc>
          <w:tcPr>
            <w:tcW w:w="120" w:type="dxa"/>
            <w:vAlign w:val="bottom"/>
            <w:tcBorders>
              <w:bottom w:val="single" w:sz="8" w:color="DDDDDD"/>
            </w:tcBorders>
            <w:shd w:val="clear" w:color="auto" w:fill="DDDDDD"/>
          </w:tcPr>
          <w:p>
            <w:pPr>
              <w:spacing w:after="0"/>
              <w:rPr>
                <w:sz w:val="6"/>
                <w:szCs w:val="6"/>
                <w:color w:val="auto"/>
              </w:rPr>
            </w:pPr>
          </w:p>
        </w:tc>
        <w:tc>
          <w:tcPr>
            <w:tcW w:w="240" w:type="dxa"/>
            <w:vAlign w:val="bottom"/>
            <w:tcBorders>
              <w:bottom w:val="single" w:sz="8" w:color="DDDDDD"/>
              <w:right w:val="single" w:sz="8" w:color="auto"/>
            </w:tcBorders>
            <w:shd w:val="clear" w:color="auto" w:fill="DDDDDD"/>
          </w:tcPr>
          <w:p>
            <w:pPr>
              <w:spacing w:after="0"/>
              <w:rPr>
                <w:sz w:val="6"/>
                <w:szCs w:val="6"/>
                <w:color w:val="auto"/>
              </w:rPr>
            </w:pPr>
          </w:p>
        </w:tc>
        <w:tc>
          <w:tcPr>
            <w:tcW w:w="40" w:type="dxa"/>
            <w:vAlign w:val="bottom"/>
            <w:tcBorders>
              <w:bottom w:val="single" w:sz="8" w:color="DDDDDD"/>
            </w:tcBorders>
            <w:shd w:val="clear" w:color="auto" w:fill="DDDDDD"/>
          </w:tcPr>
          <w:p>
            <w:pPr>
              <w:spacing w:after="0"/>
              <w:rPr>
                <w:sz w:val="6"/>
                <w:szCs w:val="6"/>
                <w:color w:val="auto"/>
              </w:rPr>
            </w:pPr>
          </w:p>
        </w:tc>
        <w:tc>
          <w:tcPr>
            <w:tcW w:w="120" w:type="dxa"/>
            <w:vAlign w:val="bottom"/>
            <w:tcBorders>
              <w:bottom w:val="single" w:sz="8" w:color="DDDDDD"/>
            </w:tcBorders>
            <w:shd w:val="clear" w:color="auto" w:fill="DDDDDD"/>
          </w:tcPr>
          <w:p>
            <w:pPr>
              <w:spacing w:after="0"/>
              <w:rPr>
                <w:sz w:val="6"/>
                <w:szCs w:val="6"/>
                <w:color w:val="auto"/>
              </w:rPr>
            </w:pPr>
          </w:p>
        </w:tc>
        <w:tc>
          <w:tcPr>
            <w:tcW w:w="160" w:type="dxa"/>
            <w:vAlign w:val="bottom"/>
            <w:tcBorders>
              <w:bottom w:val="single" w:sz="8" w:color="DDDDDD"/>
            </w:tcBorders>
            <w:vMerge w:val="continue"/>
            <w:shd w:val="clear" w:color="auto" w:fill="DDDDDD"/>
          </w:tcPr>
          <w:p>
            <w:pPr>
              <w:spacing w:after="0"/>
              <w:rPr>
                <w:sz w:val="6"/>
                <w:szCs w:val="6"/>
                <w:color w:val="auto"/>
              </w:rPr>
            </w:pPr>
          </w:p>
        </w:tc>
        <w:tc>
          <w:tcPr>
            <w:tcW w:w="200" w:type="dxa"/>
            <w:vAlign w:val="bottom"/>
            <w:tcBorders>
              <w:bottom w:val="single" w:sz="8" w:color="DDDDDD"/>
              <w:right w:val="single" w:sz="8" w:color="auto"/>
            </w:tcBorders>
            <w:shd w:val="clear" w:color="auto" w:fill="DDDDDD"/>
          </w:tcPr>
          <w:p>
            <w:pPr>
              <w:spacing w:after="0"/>
              <w:rPr>
                <w:sz w:val="6"/>
                <w:szCs w:val="6"/>
                <w:color w:val="auto"/>
              </w:rPr>
            </w:pPr>
          </w:p>
        </w:tc>
        <w:tc>
          <w:tcPr>
            <w:tcW w:w="340" w:type="dxa"/>
            <w:vAlign w:val="bottom"/>
            <w:tcBorders>
              <w:bottom w:val="single" w:sz="8" w:color="DDDDDD"/>
            </w:tcBorders>
            <w:gridSpan w:val="2"/>
            <w:shd w:val="clear" w:color="auto" w:fill="DDDDDD"/>
          </w:tcPr>
          <w:p>
            <w:pPr>
              <w:spacing w:after="0"/>
              <w:rPr>
                <w:sz w:val="6"/>
                <w:szCs w:val="6"/>
                <w:color w:val="auto"/>
              </w:rPr>
            </w:pPr>
          </w:p>
        </w:tc>
        <w:tc>
          <w:tcPr>
            <w:tcW w:w="220" w:type="dxa"/>
            <w:vAlign w:val="bottom"/>
            <w:tcBorders>
              <w:bottom w:val="single" w:sz="8" w:color="DDDDDD"/>
            </w:tcBorders>
            <w:shd w:val="clear" w:color="auto" w:fill="DDDDDD"/>
          </w:tcPr>
          <w:p>
            <w:pPr>
              <w:spacing w:after="0"/>
              <w:rPr>
                <w:sz w:val="6"/>
                <w:szCs w:val="6"/>
                <w:color w:val="auto"/>
              </w:rPr>
            </w:pPr>
          </w:p>
        </w:tc>
        <w:tc>
          <w:tcPr>
            <w:tcW w:w="40" w:type="dxa"/>
            <w:vAlign w:val="bottom"/>
            <w:tcBorders>
              <w:bottom w:val="single" w:sz="8" w:color="DDDDDD"/>
            </w:tcBorders>
            <w:shd w:val="clear" w:color="auto" w:fill="DDDDDD"/>
          </w:tcPr>
          <w:p>
            <w:pPr>
              <w:spacing w:after="0"/>
              <w:rPr>
                <w:sz w:val="6"/>
                <w:szCs w:val="6"/>
                <w:color w:val="auto"/>
              </w:rPr>
            </w:pPr>
          </w:p>
        </w:tc>
        <w:tc>
          <w:tcPr>
            <w:tcW w:w="380" w:type="dxa"/>
            <w:vAlign w:val="bottom"/>
            <w:tcBorders>
              <w:bottom w:val="single" w:sz="8" w:color="DDDDDD"/>
              <w:right w:val="single" w:sz="8" w:color="auto"/>
            </w:tcBorders>
            <w:shd w:val="clear" w:color="auto" w:fill="DDDDDD"/>
          </w:tcPr>
          <w:p>
            <w:pPr>
              <w:spacing w:after="0"/>
              <w:rPr>
                <w:sz w:val="6"/>
                <w:szCs w:val="6"/>
                <w:color w:val="auto"/>
              </w:rPr>
            </w:pPr>
          </w:p>
        </w:tc>
        <w:tc>
          <w:tcPr>
            <w:tcW w:w="280" w:type="dxa"/>
            <w:vAlign w:val="bottom"/>
            <w:tcBorders>
              <w:bottom w:val="single" w:sz="8" w:color="DDDDDD"/>
            </w:tcBorders>
            <w:gridSpan w:val="2"/>
            <w:shd w:val="clear" w:color="auto" w:fill="DDDDDD"/>
          </w:tcPr>
          <w:p>
            <w:pPr>
              <w:spacing w:after="0"/>
              <w:rPr>
                <w:sz w:val="6"/>
                <w:szCs w:val="6"/>
                <w:color w:val="auto"/>
              </w:rPr>
            </w:pPr>
          </w:p>
        </w:tc>
        <w:tc>
          <w:tcPr>
            <w:tcW w:w="200" w:type="dxa"/>
            <w:vAlign w:val="bottom"/>
            <w:tcBorders>
              <w:bottom w:val="single" w:sz="8" w:color="DDDDDD"/>
            </w:tcBorders>
            <w:vMerge w:val="continue"/>
            <w:shd w:val="clear" w:color="auto" w:fill="DDDDDD"/>
          </w:tcPr>
          <w:p>
            <w:pPr>
              <w:spacing w:after="0"/>
              <w:rPr>
                <w:sz w:val="6"/>
                <w:szCs w:val="6"/>
                <w:color w:val="auto"/>
              </w:rPr>
            </w:pPr>
          </w:p>
        </w:tc>
        <w:tc>
          <w:tcPr>
            <w:tcW w:w="200" w:type="dxa"/>
            <w:vAlign w:val="bottom"/>
            <w:tcBorders>
              <w:bottom w:val="single" w:sz="8" w:color="DDDDDD"/>
              <w:right w:val="single" w:sz="8" w:color="auto"/>
            </w:tcBorders>
            <w:shd w:val="clear" w:color="auto" w:fill="DDDDDD"/>
          </w:tcPr>
          <w:p>
            <w:pPr>
              <w:spacing w:after="0"/>
              <w:rPr>
                <w:sz w:val="6"/>
                <w:szCs w:val="6"/>
                <w:color w:val="auto"/>
              </w:rPr>
            </w:pPr>
          </w:p>
        </w:tc>
        <w:tc>
          <w:tcPr>
            <w:tcW w:w="360" w:type="dxa"/>
            <w:vAlign w:val="bottom"/>
            <w:tcBorders>
              <w:bottom w:val="single" w:sz="8" w:color="DDDDDD"/>
            </w:tcBorders>
            <w:shd w:val="clear" w:color="auto" w:fill="DDDDDD"/>
          </w:tcPr>
          <w:p>
            <w:pPr>
              <w:spacing w:after="0"/>
              <w:rPr>
                <w:sz w:val="6"/>
                <w:szCs w:val="6"/>
                <w:color w:val="auto"/>
              </w:rPr>
            </w:pPr>
          </w:p>
        </w:tc>
        <w:tc>
          <w:tcPr>
            <w:tcW w:w="220" w:type="dxa"/>
            <w:vAlign w:val="bottom"/>
            <w:tcBorders>
              <w:bottom w:val="single" w:sz="8" w:color="DDDDDD"/>
            </w:tcBorders>
            <w:vMerge w:val="continue"/>
            <w:shd w:val="clear" w:color="auto" w:fill="DDDDDD"/>
          </w:tcPr>
          <w:p>
            <w:pPr>
              <w:spacing w:after="0"/>
              <w:rPr>
                <w:sz w:val="6"/>
                <w:szCs w:val="6"/>
                <w:color w:val="auto"/>
              </w:rPr>
            </w:pPr>
          </w:p>
        </w:tc>
        <w:tc>
          <w:tcPr>
            <w:tcW w:w="460" w:type="dxa"/>
            <w:vAlign w:val="bottom"/>
            <w:tcBorders>
              <w:bottom w:val="single" w:sz="8" w:color="DDDDDD"/>
              <w:right w:val="single" w:sz="8" w:color="auto"/>
            </w:tcBorders>
            <w:shd w:val="clear" w:color="auto" w:fill="DDDDDD"/>
          </w:tcPr>
          <w:p>
            <w:pPr>
              <w:spacing w:after="0"/>
              <w:rPr>
                <w:sz w:val="6"/>
                <w:szCs w:val="6"/>
                <w:color w:val="auto"/>
              </w:rPr>
            </w:pPr>
          </w:p>
        </w:tc>
        <w:tc>
          <w:tcPr>
            <w:tcW w:w="340" w:type="dxa"/>
            <w:vAlign w:val="bottom"/>
            <w:tcBorders>
              <w:bottom w:val="single" w:sz="8" w:color="DDDDDD"/>
            </w:tcBorders>
            <w:vMerge w:val="continue"/>
            <w:shd w:val="clear" w:color="auto" w:fill="DDDDDD"/>
          </w:tcPr>
          <w:p>
            <w:pPr>
              <w:spacing w:after="0"/>
              <w:rPr>
                <w:sz w:val="6"/>
                <w:szCs w:val="6"/>
                <w:color w:val="auto"/>
              </w:rPr>
            </w:pPr>
          </w:p>
        </w:tc>
        <w:tc>
          <w:tcPr>
            <w:tcW w:w="220" w:type="dxa"/>
            <w:vAlign w:val="bottom"/>
            <w:tcBorders>
              <w:bottom w:val="single" w:sz="8" w:color="DDDDDD"/>
            </w:tcBorders>
            <w:vMerge w:val="continue"/>
            <w:shd w:val="clear" w:color="auto" w:fill="DDDDDD"/>
          </w:tcPr>
          <w:p>
            <w:pPr>
              <w:spacing w:after="0"/>
              <w:rPr>
                <w:sz w:val="6"/>
                <w:szCs w:val="6"/>
                <w:color w:val="auto"/>
              </w:rPr>
            </w:pPr>
          </w:p>
        </w:tc>
        <w:tc>
          <w:tcPr>
            <w:tcW w:w="40" w:type="dxa"/>
            <w:vAlign w:val="bottom"/>
            <w:tcBorders>
              <w:bottom w:val="single" w:sz="8" w:color="DDDDDD"/>
            </w:tcBorders>
            <w:shd w:val="clear" w:color="auto" w:fill="DDDDDD"/>
          </w:tcPr>
          <w:p>
            <w:pPr>
              <w:spacing w:after="0"/>
              <w:rPr>
                <w:sz w:val="6"/>
                <w:szCs w:val="6"/>
                <w:color w:val="auto"/>
              </w:rPr>
            </w:pPr>
          </w:p>
        </w:tc>
        <w:tc>
          <w:tcPr>
            <w:tcW w:w="560" w:type="dxa"/>
            <w:vAlign w:val="bottom"/>
            <w:tcBorders>
              <w:bottom w:val="single" w:sz="8" w:color="DDDDDD"/>
              <w:right w:val="single" w:sz="8" w:color="auto"/>
            </w:tcBorders>
            <w:vMerge w:val="continue"/>
            <w:shd w:val="clear" w:color="auto" w:fill="DDDDDD"/>
          </w:tcPr>
          <w:p>
            <w:pPr>
              <w:spacing w:after="0"/>
              <w:rPr>
                <w:sz w:val="6"/>
                <w:szCs w:val="6"/>
                <w:color w:val="auto"/>
              </w:rPr>
            </w:pPr>
          </w:p>
        </w:tc>
        <w:tc>
          <w:tcPr>
            <w:tcW w:w="360" w:type="dxa"/>
            <w:vAlign w:val="bottom"/>
            <w:tcBorders>
              <w:bottom w:val="single" w:sz="8" w:color="DDDDDD"/>
            </w:tcBorders>
            <w:vMerge w:val="continue"/>
            <w:shd w:val="clear" w:color="auto" w:fill="DDDDDD"/>
          </w:tcPr>
          <w:p>
            <w:pPr>
              <w:spacing w:after="0"/>
              <w:rPr>
                <w:sz w:val="6"/>
                <w:szCs w:val="6"/>
                <w:color w:val="auto"/>
              </w:rPr>
            </w:pPr>
          </w:p>
        </w:tc>
        <w:tc>
          <w:tcPr>
            <w:tcW w:w="220" w:type="dxa"/>
            <w:vAlign w:val="bottom"/>
            <w:tcBorders>
              <w:bottom w:val="single" w:sz="8" w:color="DDDDDD"/>
            </w:tcBorders>
            <w:vMerge w:val="continue"/>
            <w:shd w:val="clear" w:color="auto" w:fill="DDDDDD"/>
          </w:tcPr>
          <w:p>
            <w:pPr>
              <w:spacing w:after="0"/>
              <w:rPr>
                <w:sz w:val="6"/>
                <w:szCs w:val="6"/>
                <w:color w:val="auto"/>
              </w:rPr>
            </w:pPr>
          </w:p>
        </w:tc>
        <w:tc>
          <w:tcPr>
            <w:tcW w:w="40" w:type="dxa"/>
            <w:vAlign w:val="bottom"/>
            <w:tcBorders>
              <w:bottom w:val="single" w:sz="8" w:color="DDDDDD"/>
            </w:tcBorders>
            <w:shd w:val="clear" w:color="auto" w:fill="DDDDDD"/>
          </w:tcPr>
          <w:p>
            <w:pPr>
              <w:spacing w:after="0"/>
              <w:rPr>
                <w:sz w:val="6"/>
                <w:szCs w:val="6"/>
                <w:color w:val="auto"/>
              </w:rPr>
            </w:pPr>
          </w:p>
        </w:tc>
        <w:tc>
          <w:tcPr>
            <w:tcW w:w="400" w:type="dxa"/>
            <w:vAlign w:val="bottom"/>
            <w:tcBorders>
              <w:bottom w:val="single" w:sz="8" w:color="DDDDDD"/>
              <w:right w:val="single" w:sz="8" w:color="auto"/>
            </w:tcBorders>
            <w:vMerge w:val="continue"/>
            <w:shd w:val="clear" w:color="auto" w:fill="DDDDDD"/>
          </w:tcPr>
          <w:p>
            <w:pPr>
              <w:spacing w:after="0"/>
              <w:rPr>
                <w:sz w:val="6"/>
                <w:szCs w:val="6"/>
                <w:color w:val="auto"/>
              </w:rPr>
            </w:pPr>
          </w:p>
        </w:tc>
        <w:tc>
          <w:tcPr>
            <w:tcW w:w="340" w:type="dxa"/>
            <w:vAlign w:val="bottom"/>
            <w:tcBorders>
              <w:bottom w:val="single" w:sz="8" w:color="DDDDDD"/>
            </w:tcBorders>
            <w:vMerge w:val="continue"/>
            <w:shd w:val="clear" w:color="auto" w:fill="DDDDDD"/>
          </w:tcPr>
          <w:p>
            <w:pPr>
              <w:spacing w:after="0"/>
              <w:rPr>
                <w:sz w:val="6"/>
                <w:szCs w:val="6"/>
                <w:color w:val="auto"/>
              </w:rPr>
            </w:pPr>
          </w:p>
        </w:tc>
        <w:tc>
          <w:tcPr>
            <w:tcW w:w="680" w:type="dxa"/>
            <w:vAlign w:val="bottom"/>
            <w:tcBorders>
              <w:bottom w:val="single" w:sz="8" w:color="DDDDDD"/>
              <w:right w:val="single" w:sz="8" w:color="auto"/>
            </w:tcBorders>
            <w:vMerge w:val="continue"/>
            <w:shd w:val="clear" w:color="auto" w:fill="DDDDDD"/>
          </w:tcPr>
          <w:p>
            <w:pPr>
              <w:spacing w:after="0"/>
              <w:rPr>
                <w:sz w:val="6"/>
                <w:szCs w:val="6"/>
                <w:color w:val="auto"/>
              </w:rPr>
            </w:pPr>
          </w:p>
        </w:tc>
        <w:tc>
          <w:tcPr>
            <w:tcW w:w="0" w:type="dxa"/>
            <w:vAlign w:val="bottom"/>
          </w:tcPr>
          <w:p>
            <w:pPr>
              <w:spacing w:after="0"/>
              <w:rPr>
                <w:sz w:val="1"/>
                <w:szCs w:val="1"/>
                <w:color w:val="auto"/>
              </w:rPr>
            </w:pPr>
          </w:p>
        </w:tc>
      </w:tr>
      <w:tr>
        <w:trPr>
          <w:trHeight w:val="257"/>
        </w:trPr>
        <w:tc>
          <w:tcPr>
            <w:tcW w:w="1380" w:type="dxa"/>
            <w:vAlign w:val="bottom"/>
            <w:tcBorders>
              <w:top w:val="single" w:sz="8" w:color="auto"/>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David A. Ricks</w:t>
            </w:r>
          </w:p>
        </w:tc>
        <w:tc>
          <w:tcPr>
            <w:tcW w:w="500" w:type="dxa"/>
            <w:vAlign w:val="bottom"/>
            <w:tcBorders>
              <w:top w:val="single" w:sz="8" w:color="auto"/>
              <w:bottom w:val="single" w:sz="8" w:color="auto"/>
              <w:right w:val="single" w:sz="8" w:color="auto"/>
            </w:tcBorders>
            <w:gridSpan w:val="3"/>
          </w:tcPr>
          <w:p>
            <w:pPr>
              <w:jc w:val="center"/>
              <w:ind w:right="20"/>
              <w:spacing w:after="0"/>
              <w:rPr>
                <w:sz w:val="20"/>
                <w:szCs w:val="20"/>
                <w:color w:val="auto"/>
              </w:rPr>
            </w:pPr>
            <w:r>
              <w:rPr>
                <w:rFonts w:ascii="Arial" w:cs="Arial" w:eastAsia="Arial" w:hAnsi="Arial"/>
                <w:sz w:val="14"/>
                <w:szCs w:val="14"/>
                <w:color w:val="auto"/>
              </w:rPr>
              <w:t>2017</w:t>
            </w:r>
          </w:p>
        </w:tc>
        <w:tc>
          <w:tcPr>
            <w:tcW w:w="860" w:type="dxa"/>
            <w:vAlign w:val="bottom"/>
            <w:tcBorders>
              <w:top w:val="single" w:sz="8" w:color="auto"/>
              <w:bottom w:val="single" w:sz="8" w:color="auto"/>
              <w:right w:val="single" w:sz="8" w:color="auto"/>
            </w:tcBorders>
            <w:gridSpan w:val="5"/>
          </w:tcPr>
          <w:p>
            <w:pPr>
              <w:jc w:val="right"/>
              <w:ind w:right="60"/>
              <w:spacing w:after="0"/>
              <w:rPr>
                <w:sz w:val="20"/>
                <w:szCs w:val="20"/>
                <w:color w:val="auto"/>
              </w:rPr>
            </w:pPr>
            <w:r>
              <w:rPr>
                <w:rFonts w:ascii="Arial" w:cs="Arial" w:eastAsia="Arial" w:hAnsi="Arial"/>
                <w:sz w:val="14"/>
                <w:szCs w:val="14"/>
                <w:color w:val="auto"/>
              </w:rPr>
              <w:t>$1,400,000</w:t>
            </w:r>
          </w:p>
        </w:tc>
        <w:tc>
          <w:tcPr>
            <w:tcW w:w="320" w:type="dxa"/>
            <w:vAlign w:val="bottom"/>
            <w:tcBorders>
              <w:top w:val="single" w:sz="8" w:color="auto"/>
              <w:bottom w:val="single" w:sz="8" w:color="auto"/>
            </w:tcBorders>
            <w:gridSpan w:val="3"/>
          </w:tcPr>
          <w:p>
            <w:pPr>
              <w:jc w:val="center"/>
              <w:ind w:left="88"/>
              <w:spacing w:after="0"/>
              <w:rPr>
                <w:sz w:val="20"/>
                <w:szCs w:val="20"/>
                <w:color w:val="auto"/>
              </w:rPr>
            </w:pPr>
            <w:r>
              <w:rPr>
                <w:rFonts w:ascii="Arial" w:cs="Arial" w:eastAsia="Arial" w:hAnsi="Arial"/>
                <w:sz w:val="14"/>
                <w:szCs w:val="14"/>
                <w:color w:val="auto"/>
              </w:rPr>
              <w:t>$0</w:t>
            </w:r>
          </w:p>
        </w:tc>
        <w:tc>
          <w:tcPr>
            <w:tcW w:w="200" w:type="dxa"/>
            <w:vAlign w:val="bottom"/>
            <w:tcBorders>
              <w:top w:val="single" w:sz="8" w:color="auto"/>
              <w:bottom w:val="single" w:sz="8" w:color="auto"/>
              <w:right w:val="single" w:sz="8" w:color="auto"/>
            </w:tcBorders>
          </w:tcPr>
          <w:p>
            <w:pPr>
              <w:spacing w:after="0"/>
              <w:rPr>
                <w:sz w:val="22"/>
                <w:szCs w:val="22"/>
                <w:color w:val="auto"/>
              </w:rPr>
            </w:pPr>
          </w:p>
        </w:tc>
        <w:tc>
          <w:tcPr>
            <w:tcW w:w="980" w:type="dxa"/>
            <w:vAlign w:val="bottom"/>
            <w:tcBorders>
              <w:top w:val="single" w:sz="8" w:color="auto"/>
              <w:bottom w:val="single" w:sz="8" w:color="auto"/>
              <w:right w:val="single" w:sz="8" w:color="auto"/>
            </w:tcBorders>
            <w:gridSpan w:val="5"/>
          </w:tcPr>
          <w:p>
            <w:pPr>
              <w:jc w:val="center"/>
              <w:ind w:right="20"/>
              <w:spacing w:after="0"/>
              <w:rPr>
                <w:sz w:val="20"/>
                <w:szCs w:val="20"/>
                <w:color w:val="auto"/>
              </w:rPr>
            </w:pPr>
            <w:r>
              <w:rPr>
                <w:rFonts w:ascii="Arial" w:cs="Arial" w:eastAsia="Arial" w:hAnsi="Arial"/>
                <w:sz w:val="14"/>
                <w:szCs w:val="14"/>
                <w:color w:val="auto"/>
              </w:rPr>
              <w:t>$10,200,000</w:t>
            </w:r>
          </w:p>
        </w:tc>
        <w:tc>
          <w:tcPr>
            <w:tcW w:w="480" w:type="dxa"/>
            <w:vAlign w:val="bottom"/>
            <w:tcBorders>
              <w:top w:val="single" w:sz="8" w:color="auto"/>
              <w:bottom w:val="single" w:sz="8" w:color="auto"/>
            </w:tcBorders>
            <w:gridSpan w:val="3"/>
          </w:tcPr>
          <w:p>
            <w:pPr>
              <w:jc w:val="center"/>
              <w:ind w:left="208"/>
              <w:spacing w:after="0"/>
              <w:rPr>
                <w:sz w:val="20"/>
                <w:szCs w:val="20"/>
                <w:color w:val="auto"/>
              </w:rPr>
            </w:pPr>
            <w:r>
              <w:rPr>
                <w:rFonts w:ascii="Arial" w:cs="Arial" w:eastAsia="Arial" w:hAnsi="Arial"/>
                <w:sz w:val="14"/>
                <w:szCs w:val="14"/>
                <w:color w:val="auto"/>
              </w:rPr>
              <w:t>$0</w:t>
            </w:r>
          </w:p>
        </w:tc>
        <w:tc>
          <w:tcPr>
            <w:tcW w:w="200" w:type="dxa"/>
            <w:vAlign w:val="bottom"/>
            <w:tcBorders>
              <w:top w:val="single" w:sz="8" w:color="auto"/>
              <w:bottom w:val="single" w:sz="8" w:color="auto"/>
              <w:right w:val="single" w:sz="8" w:color="auto"/>
            </w:tcBorders>
          </w:tcPr>
          <w:p>
            <w:pPr>
              <w:spacing w:after="0"/>
              <w:rPr>
                <w:sz w:val="22"/>
                <w:szCs w:val="22"/>
                <w:color w:val="auto"/>
              </w:rPr>
            </w:pPr>
          </w:p>
        </w:tc>
        <w:tc>
          <w:tcPr>
            <w:tcW w:w="1040" w:type="dxa"/>
            <w:vAlign w:val="bottom"/>
            <w:tcBorders>
              <w:top w:val="single" w:sz="8" w:color="auto"/>
              <w:bottom w:val="single" w:sz="8" w:color="auto"/>
              <w:right w:val="single" w:sz="8" w:color="auto"/>
            </w:tcBorders>
            <w:gridSpan w:val="3"/>
          </w:tcPr>
          <w:p>
            <w:pPr>
              <w:jc w:val="right"/>
              <w:ind w:right="15"/>
              <w:spacing w:after="0"/>
              <w:rPr>
                <w:sz w:val="20"/>
                <w:szCs w:val="20"/>
                <w:color w:val="auto"/>
              </w:rPr>
            </w:pPr>
            <w:r>
              <w:rPr>
                <w:rFonts w:ascii="Arial" w:cs="Arial" w:eastAsia="Arial" w:hAnsi="Arial"/>
                <w:sz w:val="14"/>
                <w:szCs w:val="14"/>
                <w:color w:val="auto"/>
              </w:rPr>
              <w:t>$2,814,000</w:t>
            </w:r>
          </w:p>
        </w:tc>
        <w:tc>
          <w:tcPr>
            <w:tcW w:w="1160" w:type="dxa"/>
            <w:vAlign w:val="bottom"/>
            <w:tcBorders>
              <w:top w:val="single" w:sz="8" w:color="auto"/>
              <w:bottom w:val="single" w:sz="8" w:color="auto"/>
              <w:right w:val="single" w:sz="8" w:color="auto"/>
            </w:tcBorders>
            <w:gridSpan w:val="4"/>
          </w:tcPr>
          <w:p>
            <w:pPr>
              <w:jc w:val="right"/>
              <w:ind w:right="220"/>
              <w:spacing w:after="0"/>
              <w:rPr>
                <w:sz w:val="20"/>
                <w:szCs w:val="20"/>
                <w:color w:val="auto"/>
              </w:rPr>
            </w:pPr>
            <w:r>
              <w:rPr>
                <w:rFonts w:ascii="Arial" w:cs="Arial" w:eastAsia="Arial" w:hAnsi="Arial"/>
                <w:sz w:val="14"/>
                <w:szCs w:val="14"/>
                <w:color w:val="auto"/>
              </w:rPr>
              <w:t>$1,347,991</w:t>
            </w:r>
          </w:p>
        </w:tc>
        <w:tc>
          <w:tcPr>
            <w:tcW w:w="1020" w:type="dxa"/>
            <w:vAlign w:val="bottom"/>
            <w:tcBorders>
              <w:top w:val="single" w:sz="8" w:color="auto"/>
              <w:bottom w:val="single" w:sz="8" w:color="auto"/>
              <w:right w:val="single" w:sz="8" w:color="auto"/>
            </w:tcBorders>
            <w:gridSpan w:val="4"/>
          </w:tcPr>
          <w:p>
            <w:pPr>
              <w:jc w:val="right"/>
              <w:ind w:right="60"/>
              <w:spacing w:after="0"/>
              <w:rPr>
                <w:sz w:val="20"/>
                <w:szCs w:val="20"/>
                <w:color w:val="auto"/>
              </w:rPr>
            </w:pPr>
            <w:r>
              <w:rPr>
                <w:rFonts w:ascii="Arial" w:cs="Arial" w:eastAsia="Arial" w:hAnsi="Arial"/>
                <w:sz w:val="14"/>
                <w:szCs w:val="14"/>
                <w:color w:val="auto"/>
              </w:rPr>
              <w:t>$84,000</w:t>
            </w:r>
          </w:p>
        </w:tc>
        <w:tc>
          <w:tcPr>
            <w:tcW w:w="1020" w:type="dxa"/>
            <w:vAlign w:val="bottom"/>
            <w:tcBorders>
              <w:top w:val="single" w:sz="8" w:color="auto"/>
              <w:bottom w:val="single" w:sz="8" w:color="auto"/>
              <w:right w:val="single" w:sz="8" w:color="auto"/>
            </w:tcBorders>
            <w:gridSpan w:val="2"/>
          </w:tcPr>
          <w:p>
            <w:pPr>
              <w:jc w:val="right"/>
              <w:spacing w:after="0"/>
              <w:rPr>
                <w:sz w:val="20"/>
                <w:szCs w:val="20"/>
                <w:color w:val="auto"/>
              </w:rPr>
            </w:pPr>
            <w:r>
              <w:rPr>
                <w:rFonts w:ascii="Arial" w:cs="Arial" w:eastAsia="Arial" w:hAnsi="Arial"/>
                <w:sz w:val="14"/>
                <w:szCs w:val="14"/>
                <w:color w:val="auto"/>
              </w:rPr>
              <w:t>$15,845,991</w:t>
            </w:r>
          </w:p>
        </w:tc>
        <w:tc>
          <w:tcPr>
            <w:tcW w:w="0" w:type="dxa"/>
            <w:vAlign w:val="bottom"/>
          </w:tcPr>
          <w:p>
            <w:pPr>
              <w:spacing w:after="0"/>
              <w:rPr>
                <w:sz w:val="1"/>
                <w:szCs w:val="1"/>
                <w:color w:val="auto"/>
              </w:rPr>
            </w:pPr>
          </w:p>
        </w:tc>
      </w:tr>
      <w:tr>
        <w:trPr>
          <w:trHeight w:val="143"/>
        </w:trPr>
        <w:tc>
          <w:tcPr>
            <w:tcW w:w="1380" w:type="dxa"/>
            <w:vAlign w:val="bottom"/>
            <w:tcBorders>
              <w:left w:val="single" w:sz="8" w:color="auto"/>
              <w:right w:val="single" w:sz="8" w:color="auto"/>
            </w:tcBorders>
            <w:gridSpan w:val="2"/>
          </w:tcPr>
          <w:p>
            <w:pPr>
              <w:ind w:left="40"/>
              <w:spacing w:after="0" w:line="143" w:lineRule="exact"/>
              <w:rPr>
                <w:sz w:val="20"/>
                <w:szCs w:val="20"/>
                <w:color w:val="auto"/>
              </w:rPr>
            </w:pPr>
            <w:r>
              <w:rPr>
                <w:rFonts w:ascii="Arial" w:cs="Arial" w:eastAsia="Arial" w:hAnsi="Arial"/>
                <w:sz w:val="13"/>
                <w:szCs w:val="13"/>
                <w:color w:val="auto"/>
              </w:rPr>
              <w:t>Chairman, President,</w:t>
            </w:r>
          </w:p>
        </w:tc>
        <w:tc>
          <w:tcPr>
            <w:tcW w:w="500" w:type="dxa"/>
            <w:vAlign w:val="bottom"/>
            <w:tcBorders>
              <w:right w:val="single" w:sz="8" w:color="auto"/>
            </w:tcBorders>
            <w:gridSpan w:val="3"/>
            <w:vMerge w:val="restart"/>
          </w:tcPr>
          <w:p>
            <w:pPr>
              <w:jc w:val="center"/>
              <w:ind w:right="20"/>
              <w:spacing w:after="0"/>
              <w:rPr>
                <w:sz w:val="20"/>
                <w:szCs w:val="20"/>
                <w:color w:val="auto"/>
              </w:rPr>
            </w:pPr>
            <w:r>
              <w:rPr>
                <w:rFonts w:ascii="Arial" w:cs="Arial" w:eastAsia="Arial" w:hAnsi="Arial"/>
                <w:sz w:val="14"/>
                <w:szCs w:val="14"/>
                <w:color w:val="auto"/>
              </w:rPr>
              <w:t>2016</w:t>
            </w:r>
          </w:p>
        </w:tc>
        <w:tc>
          <w:tcPr>
            <w:tcW w:w="200" w:type="dxa"/>
            <w:vAlign w:val="bottom"/>
          </w:tcPr>
          <w:p>
            <w:pPr>
              <w:spacing w:after="0"/>
              <w:rPr>
                <w:sz w:val="12"/>
                <w:szCs w:val="12"/>
                <w:color w:val="auto"/>
              </w:rPr>
            </w:pPr>
          </w:p>
        </w:tc>
        <w:tc>
          <w:tcPr>
            <w:tcW w:w="660" w:type="dxa"/>
            <w:vAlign w:val="bottom"/>
            <w:tcBorders>
              <w:right w:val="single" w:sz="8" w:color="auto"/>
            </w:tcBorders>
            <w:gridSpan w:val="4"/>
            <w:vMerge w:val="restart"/>
          </w:tcPr>
          <w:p>
            <w:pPr>
              <w:jc w:val="center"/>
              <w:ind w:right="220"/>
              <w:spacing w:after="0"/>
              <w:rPr>
                <w:sz w:val="20"/>
                <w:szCs w:val="20"/>
                <w:color w:val="auto"/>
              </w:rPr>
            </w:pPr>
            <w:r>
              <w:rPr>
                <w:rFonts w:ascii="Arial" w:cs="Arial" w:eastAsia="Arial" w:hAnsi="Arial"/>
                <w:sz w:val="14"/>
                <w:szCs w:val="14"/>
                <w:color w:val="auto"/>
              </w:rPr>
              <w:t>N/A</w:t>
            </w:r>
          </w:p>
        </w:tc>
        <w:tc>
          <w:tcPr>
            <w:tcW w:w="40" w:type="dxa"/>
            <w:vAlign w:val="bottom"/>
          </w:tcPr>
          <w:p>
            <w:pPr>
              <w:spacing w:after="0"/>
              <w:rPr>
                <w:sz w:val="12"/>
                <w:szCs w:val="12"/>
                <w:color w:val="auto"/>
              </w:rPr>
            </w:pPr>
          </w:p>
        </w:tc>
        <w:tc>
          <w:tcPr>
            <w:tcW w:w="480" w:type="dxa"/>
            <w:vAlign w:val="bottom"/>
            <w:tcBorders>
              <w:right w:val="single" w:sz="8" w:color="auto"/>
            </w:tcBorders>
            <w:gridSpan w:val="3"/>
            <w:vMerge w:val="restart"/>
          </w:tcPr>
          <w:p>
            <w:pPr>
              <w:jc w:val="center"/>
              <w:ind w:right="80"/>
              <w:spacing w:after="0"/>
              <w:rPr>
                <w:sz w:val="20"/>
                <w:szCs w:val="20"/>
                <w:color w:val="auto"/>
              </w:rPr>
            </w:pPr>
            <w:r>
              <w:rPr>
                <w:rFonts w:ascii="Arial" w:cs="Arial" w:eastAsia="Arial" w:hAnsi="Arial"/>
                <w:sz w:val="14"/>
                <w:szCs w:val="14"/>
                <w:color w:val="auto"/>
              </w:rPr>
              <w:t>N/A</w:t>
            </w: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Borders>
              <w:right w:val="single" w:sz="8" w:color="auto"/>
            </w:tcBorders>
            <w:gridSpan w:val="3"/>
            <w:vMerge w:val="restart"/>
          </w:tcPr>
          <w:p>
            <w:pPr>
              <w:jc w:val="right"/>
              <w:ind w:right="380"/>
              <w:spacing w:after="0"/>
              <w:rPr>
                <w:sz w:val="20"/>
                <w:szCs w:val="20"/>
                <w:color w:val="auto"/>
              </w:rPr>
            </w:pPr>
            <w:r>
              <w:rPr>
                <w:rFonts w:ascii="Arial" w:cs="Arial" w:eastAsia="Arial" w:hAnsi="Arial"/>
                <w:sz w:val="14"/>
                <w:szCs w:val="14"/>
                <w:color w:val="auto"/>
              </w:rPr>
              <w:t>N/A</w:t>
            </w:r>
          </w:p>
        </w:tc>
        <w:tc>
          <w:tcPr>
            <w:tcW w:w="160" w:type="dxa"/>
            <w:vAlign w:val="bottom"/>
          </w:tcPr>
          <w:p>
            <w:pPr>
              <w:spacing w:after="0"/>
              <w:rPr>
                <w:sz w:val="12"/>
                <w:szCs w:val="12"/>
                <w:color w:val="auto"/>
              </w:rPr>
            </w:pPr>
          </w:p>
        </w:tc>
        <w:tc>
          <w:tcPr>
            <w:tcW w:w="520" w:type="dxa"/>
            <w:vAlign w:val="bottom"/>
            <w:tcBorders>
              <w:right w:val="single" w:sz="8" w:color="auto"/>
            </w:tcBorders>
            <w:gridSpan w:val="3"/>
            <w:vMerge w:val="restart"/>
          </w:tcPr>
          <w:p>
            <w:pPr>
              <w:jc w:val="center"/>
              <w:ind w:right="80"/>
              <w:spacing w:after="0"/>
              <w:rPr>
                <w:sz w:val="20"/>
                <w:szCs w:val="20"/>
                <w:color w:val="auto"/>
              </w:rPr>
            </w:pPr>
            <w:r>
              <w:rPr>
                <w:rFonts w:ascii="Arial" w:cs="Arial" w:eastAsia="Arial" w:hAnsi="Arial"/>
                <w:sz w:val="14"/>
                <w:szCs w:val="14"/>
                <w:color w:val="auto"/>
              </w:rPr>
              <w:t>N/A</w:t>
            </w:r>
          </w:p>
        </w:tc>
        <w:tc>
          <w:tcPr>
            <w:tcW w:w="360" w:type="dxa"/>
            <w:vAlign w:val="bottom"/>
          </w:tcPr>
          <w:p>
            <w:pPr>
              <w:spacing w:after="0"/>
              <w:rPr>
                <w:sz w:val="12"/>
                <w:szCs w:val="12"/>
                <w:color w:val="auto"/>
              </w:rPr>
            </w:pPr>
          </w:p>
        </w:tc>
        <w:tc>
          <w:tcPr>
            <w:tcW w:w="680" w:type="dxa"/>
            <w:vAlign w:val="bottom"/>
            <w:tcBorders>
              <w:right w:val="single" w:sz="8" w:color="auto"/>
            </w:tcBorders>
            <w:gridSpan w:val="2"/>
            <w:vMerge w:val="restart"/>
          </w:tcPr>
          <w:p>
            <w:pPr>
              <w:jc w:val="center"/>
              <w:ind w:right="355"/>
              <w:spacing w:after="0"/>
              <w:rPr>
                <w:sz w:val="20"/>
                <w:szCs w:val="20"/>
                <w:color w:val="auto"/>
              </w:rPr>
            </w:pPr>
            <w:r>
              <w:rPr>
                <w:rFonts w:ascii="Arial" w:cs="Arial" w:eastAsia="Arial" w:hAnsi="Arial"/>
                <w:sz w:val="14"/>
                <w:szCs w:val="14"/>
                <w:color w:val="auto"/>
              </w:rPr>
              <w:t>N/A</w:t>
            </w:r>
          </w:p>
        </w:tc>
        <w:tc>
          <w:tcPr>
            <w:tcW w:w="340" w:type="dxa"/>
            <w:vAlign w:val="bottom"/>
          </w:tcPr>
          <w:p>
            <w:pPr>
              <w:spacing w:after="0"/>
              <w:rPr>
                <w:sz w:val="12"/>
                <w:szCs w:val="12"/>
                <w:color w:val="auto"/>
              </w:rPr>
            </w:pPr>
          </w:p>
        </w:tc>
        <w:tc>
          <w:tcPr>
            <w:tcW w:w="820" w:type="dxa"/>
            <w:vAlign w:val="bottom"/>
            <w:tcBorders>
              <w:right w:val="single" w:sz="8" w:color="auto"/>
            </w:tcBorders>
            <w:gridSpan w:val="3"/>
            <w:vMerge w:val="restart"/>
          </w:tcPr>
          <w:p>
            <w:pPr>
              <w:jc w:val="right"/>
              <w:ind w:right="560"/>
              <w:spacing w:after="0"/>
              <w:rPr>
                <w:sz w:val="20"/>
                <w:szCs w:val="20"/>
                <w:color w:val="auto"/>
              </w:rPr>
            </w:pPr>
            <w:r>
              <w:rPr>
                <w:rFonts w:ascii="Arial" w:cs="Arial" w:eastAsia="Arial" w:hAnsi="Arial"/>
                <w:sz w:val="14"/>
                <w:szCs w:val="14"/>
                <w:color w:val="auto"/>
              </w:rPr>
              <w:t>N/A</w:t>
            </w:r>
          </w:p>
        </w:tc>
        <w:tc>
          <w:tcPr>
            <w:tcW w:w="360" w:type="dxa"/>
            <w:vAlign w:val="bottom"/>
          </w:tcPr>
          <w:p>
            <w:pPr>
              <w:spacing w:after="0"/>
              <w:rPr>
                <w:sz w:val="12"/>
                <w:szCs w:val="12"/>
                <w:color w:val="auto"/>
              </w:rPr>
            </w:pPr>
          </w:p>
        </w:tc>
        <w:tc>
          <w:tcPr>
            <w:tcW w:w="660" w:type="dxa"/>
            <w:vAlign w:val="bottom"/>
            <w:tcBorders>
              <w:right w:val="single" w:sz="8" w:color="auto"/>
            </w:tcBorders>
            <w:gridSpan w:val="3"/>
            <w:vMerge w:val="restart"/>
          </w:tcPr>
          <w:p>
            <w:pPr>
              <w:ind w:left="20"/>
              <w:spacing w:after="0"/>
              <w:rPr>
                <w:sz w:val="20"/>
                <w:szCs w:val="20"/>
                <w:color w:val="auto"/>
              </w:rPr>
            </w:pPr>
            <w:r>
              <w:rPr>
                <w:rFonts w:ascii="Arial" w:cs="Arial" w:eastAsia="Arial" w:hAnsi="Arial"/>
                <w:sz w:val="14"/>
                <w:szCs w:val="14"/>
                <w:color w:val="auto"/>
              </w:rPr>
              <w:t>N/A</w:t>
            </w:r>
          </w:p>
        </w:tc>
        <w:tc>
          <w:tcPr>
            <w:tcW w:w="340" w:type="dxa"/>
            <w:vAlign w:val="bottom"/>
          </w:tcPr>
          <w:p>
            <w:pPr>
              <w:spacing w:after="0"/>
              <w:rPr>
                <w:sz w:val="12"/>
                <w:szCs w:val="12"/>
                <w:color w:val="auto"/>
              </w:rPr>
            </w:pPr>
          </w:p>
        </w:tc>
        <w:tc>
          <w:tcPr>
            <w:tcW w:w="680" w:type="dxa"/>
            <w:vAlign w:val="bottom"/>
            <w:tcBorders>
              <w:right w:val="single" w:sz="8" w:color="auto"/>
            </w:tcBorders>
            <w:vMerge w:val="restart"/>
          </w:tcPr>
          <w:p>
            <w:pPr>
              <w:jc w:val="center"/>
              <w:ind w:right="288"/>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28"/>
        </w:trPr>
        <w:tc>
          <w:tcPr>
            <w:tcW w:w="1380" w:type="dxa"/>
            <w:vAlign w:val="bottom"/>
            <w:tcBorders>
              <w:left w:val="single" w:sz="8" w:color="auto"/>
              <w:right w:val="single" w:sz="8" w:color="auto"/>
            </w:tcBorders>
            <w:gridSpan w:val="2"/>
          </w:tcPr>
          <w:p>
            <w:pPr>
              <w:ind w:left="40"/>
              <w:spacing w:after="0" w:line="128" w:lineRule="exact"/>
              <w:rPr>
                <w:sz w:val="20"/>
                <w:szCs w:val="20"/>
                <w:color w:val="auto"/>
              </w:rPr>
            </w:pPr>
            <w:r>
              <w:rPr>
                <w:rFonts w:ascii="Arial" w:cs="Arial" w:eastAsia="Arial" w:hAnsi="Arial"/>
                <w:sz w:val="13"/>
                <w:szCs w:val="13"/>
                <w:color w:val="auto"/>
              </w:rPr>
              <w:t>and</w:t>
            </w:r>
          </w:p>
        </w:tc>
        <w:tc>
          <w:tcPr>
            <w:tcW w:w="500" w:type="dxa"/>
            <w:vAlign w:val="bottom"/>
            <w:tcBorders>
              <w:bottom w:val="single" w:sz="8" w:color="auto"/>
              <w:right w:val="single" w:sz="8" w:color="auto"/>
            </w:tcBorders>
            <w:gridSpan w:val="3"/>
            <w:vMerge w:val="continue"/>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60" w:type="dxa"/>
            <w:vAlign w:val="bottom"/>
            <w:tcBorders>
              <w:bottom w:val="single" w:sz="8" w:color="auto"/>
              <w:right w:val="single" w:sz="8" w:color="auto"/>
            </w:tcBorders>
            <w:gridSpan w:val="4"/>
            <w:vMerge w:val="continue"/>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80" w:type="dxa"/>
            <w:vAlign w:val="bottom"/>
            <w:tcBorders>
              <w:bottom w:val="single" w:sz="8" w:color="auto"/>
              <w:right w:val="single" w:sz="8" w:color="auto"/>
            </w:tcBorders>
            <w:gridSpan w:val="3"/>
            <w:vMerge w:val="continue"/>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640" w:type="dxa"/>
            <w:vAlign w:val="bottom"/>
            <w:tcBorders>
              <w:bottom w:val="single" w:sz="8" w:color="auto"/>
              <w:right w:val="single" w:sz="8" w:color="auto"/>
            </w:tcBorders>
            <w:gridSpan w:val="3"/>
            <w:vMerge w:val="continue"/>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right w:val="single" w:sz="8" w:color="auto"/>
            </w:tcBorders>
            <w:gridSpan w:val="3"/>
            <w:vMerge w:val="continue"/>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680" w:type="dxa"/>
            <w:vAlign w:val="bottom"/>
            <w:tcBorders>
              <w:bottom w:val="single" w:sz="8" w:color="auto"/>
              <w:right w:val="single" w:sz="8" w:color="auto"/>
            </w:tcBorders>
            <w:gridSpan w:val="2"/>
            <w:vMerge w:val="continue"/>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820" w:type="dxa"/>
            <w:vAlign w:val="bottom"/>
            <w:tcBorders>
              <w:bottom w:val="single" w:sz="8" w:color="auto"/>
              <w:right w:val="single" w:sz="8" w:color="auto"/>
            </w:tcBorders>
            <w:gridSpan w:val="3"/>
            <w:vMerge w:val="continue"/>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660" w:type="dxa"/>
            <w:vAlign w:val="bottom"/>
            <w:tcBorders>
              <w:bottom w:val="single" w:sz="8" w:color="auto"/>
              <w:right w:val="single" w:sz="8" w:color="auto"/>
            </w:tcBorders>
            <w:gridSpan w:val="3"/>
            <w:vMerge w:val="continue"/>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680" w:type="dxa"/>
            <w:vAlign w:val="bottom"/>
            <w:tcBorders>
              <w:bottom w:val="single" w:sz="8" w:color="auto"/>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58"/>
        </w:trPr>
        <w:tc>
          <w:tcPr>
            <w:tcW w:w="1380" w:type="dxa"/>
            <w:vAlign w:val="bottom"/>
            <w:tcBorders>
              <w:left w:val="single" w:sz="8" w:color="auto"/>
              <w:bottom w:val="single" w:sz="8" w:color="auto"/>
              <w:right w:val="single" w:sz="8" w:color="auto"/>
            </w:tcBorders>
            <w:gridSpan w:val="2"/>
          </w:tcPr>
          <w:p>
            <w:pPr>
              <w:ind w:left="40"/>
              <w:spacing w:after="0" w:line="140" w:lineRule="exact"/>
              <w:rPr>
                <w:sz w:val="20"/>
                <w:szCs w:val="20"/>
                <w:color w:val="auto"/>
              </w:rPr>
            </w:pPr>
            <w:r>
              <w:rPr>
                <w:rFonts w:ascii="Arial" w:cs="Arial" w:eastAsia="Arial" w:hAnsi="Arial"/>
                <w:sz w:val="13"/>
                <w:szCs w:val="13"/>
                <w:color w:val="auto"/>
                <w:w w:val="98"/>
              </w:rPr>
              <w:t>Chief Executive Officer</w:t>
            </w:r>
          </w:p>
        </w:tc>
        <w:tc>
          <w:tcPr>
            <w:tcW w:w="500" w:type="dxa"/>
            <w:vAlign w:val="bottom"/>
            <w:tcBorders>
              <w:bottom w:val="single" w:sz="8" w:color="auto"/>
              <w:right w:val="single" w:sz="8" w:color="auto"/>
            </w:tcBorders>
            <w:gridSpan w:val="3"/>
          </w:tcPr>
          <w:p>
            <w:pPr>
              <w:jc w:val="center"/>
              <w:ind w:right="20"/>
              <w:spacing w:after="0"/>
              <w:rPr>
                <w:sz w:val="20"/>
                <w:szCs w:val="20"/>
                <w:color w:val="auto"/>
              </w:rPr>
            </w:pPr>
            <w:r>
              <w:rPr>
                <w:rFonts w:ascii="Arial" w:cs="Arial" w:eastAsia="Arial" w:hAnsi="Arial"/>
                <w:sz w:val="14"/>
                <w:szCs w:val="14"/>
                <w:color w:val="auto"/>
              </w:rPr>
              <w:t>2015</w:t>
            </w:r>
          </w:p>
        </w:tc>
        <w:tc>
          <w:tcPr>
            <w:tcW w:w="200" w:type="dxa"/>
            <w:vAlign w:val="bottom"/>
            <w:tcBorders>
              <w:bottom w:val="single" w:sz="8" w:color="auto"/>
            </w:tcBorders>
          </w:tcPr>
          <w:p>
            <w:pPr>
              <w:spacing w:after="0"/>
              <w:rPr>
                <w:sz w:val="22"/>
                <w:szCs w:val="22"/>
                <w:color w:val="auto"/>
              </w:rPr>
            </w:pPr>
          </w:p>
        </w:tc>
        <w:tc>
          <w:tcPr>
            <w:tcW w:w="660" w:type="dxa"/>
            <w:vAlign w:val="bottom"/>
            <w:tcBorders>
              <w:bottom w:val="single" w:sz="8" w:color="auto"/>
              <w:right w:val="single" w:sz="8" w:color="auto"/>
            </w:tcBorders>
            <w:gridSpan w:val="4"/>
          </w:tcPr>
          <w:p>
            <w:pPr>
              <w:jc w:val="center"/>
              <w:ind w:right="220"/>
              <w:spacing w:after="0"/>
              <w:rPr>
                <w:sz w:val="20"/>
                <w:szCs w:val="20"/>
                <w:color w:val="auto"/>
              </w:rPr>
            </w:pPr>
            <w:r>
              <w:rPr>
                <w:rFonts w:ascii="Arial" w:cs="Arial" w:eastAsia="Arial" w:hAnsi="Arial"/>
                <w:sz w:val="14"/>
                <w:szCs w:val="14"/>
                <w:color w:val="auto"/>
              </w:rPr>
              <w:t>N/A</w:t>
            </w:r>
          </w:p>
        </w:tc>
        <w:tc>
          <w:tcPr>
            <w:tcW w:w="40" w:type="dxa"/>
            <w:vAlign w:val="bottom"/>
            <w:tcBorders>
              <w:bottom w:val="single" w:sz="8" w:color="auto"/>
            </w:tcBorders>
          </w:tcPr>
          <w:p>
            <w:pPr>
              <w:spacing w:after="0"/>
              <w:rPr>
                <w:sz w:val="22"/>
                <w:szCs w:val="22"/>
                <w:color w:val="auto"/>
              </w:rPr>
            </w:pPr>
          </w:p>
        </w:tc>
        <w:tc>
          <w:tcPr>
            <w:tcW w:w="480" w:type="dxa"/>
            <w:vAlign w:val="bottom"/>
            <w:tcBorders>
              <w:bottom w:val="single" w:sz="8" w:color="auto"/>
              <w:right w:val="single" w:sz="8" w:color="auto"/>
            </w:tcBorders>
            <w:gridSpan w:val="3"/>
          </w:tcPr>
          <w:p>
            <w:pPr>
              <w:jc w:val="center"/>
              <w:ind w:right="80"/>
              <w:spacing w:after="0"/>
              <w:rPr>
                <w:sz w:val="20"/>
                <w:szCs w:val="20"/>
                <w:color w:val="auto"/>
              </w:rPr>
            </w:pPr>
            <w:r>
              <w:rPr>
                <w:rFonts w:ascii="Arial" w:cs="Arial" w:eastAsia="Arial" w:hAnsi="Arial"/>
                <w:sz w:val="14"/>
                <w:szCs w:val="14"/>
                <w:color w:val="auto"/>
              </w:rPr>
              <w:t>N/A</w:t>
            </w:r>
          </w:p>
        </w:tc>
        <w:tc>
          <w:tcPr>
            <w:tcW w:w="4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640" w:type="dxa"/>
            <w:vAlign w:val="bottom"/>
            <w:tcBorders>
              <w:bottom w:val="single" w:sz="8" w:color="auto"/>
              <w:right w:val="single" w:sz="8" w:color="auto"/>
            </w:tcBorders>
            <w:gridSpan w:val="3"/>
          </w:tcPr>
          <w:p>
            <w:pPr>
              <w:jc w:val="right"/>
              <w:ind w:right="380"/>
              <w:spacing w:after="0"/>
              <w:rPr>
                <w:sz w:val="20"/>
                <w:szCs w:val="20"/>
                <w:color w:val="auto"/>
              </w:rPr>
            </w:pPr>
            <w:r>
              <w:rPr>
                <w:rFonts w:ascii="Arial" w:cs="Arial" w:eastAsia="Arial" w:hAnsi="Arial"/>
                <w:sz w:val="14"/>
                <w:szCs w:val="14"/>
                <w:color w:val="auto"/>
              </w:rPr>
              <w:t>N/A</w:t>
            </w:r>
          </w:p>
        </w:tc>
        <w:tc>
          <w:tcPr>
            <w:tcW w:w="160" w:type="dxa"/>
            <w:vAlign w:val="bottom"/>
            <w:tcBorders>
              <w:bottom w:val="single" w:sz="8" w:color="auto"/>
            </w:tcBorders>
          </w:tcPr>
          <w:p>
            <w:pPr>
              <w:spacing w:after="0"/>
              <w:rPr>
                <w:sz w:val="22"/>
                <w:szCs w:val="22"/>
                <w:color w:val="auto"/>
              </w:rPr>
            </w:pPr>
          </w:p>
        </w:tc>
        <w:tc>
          <w:tcPr>
            <w:tcW w:w="520" w:type="dxa"/>
            <w:vAlign w:val="bottom"/>
            <w:tcBorders>
              <w:bottom w:val="single" w:sz="8" w:color="auto"/>
              <w:right w:val="single" w:sz="8" w:color="auto"/>
            </w:tcBorders>
            <w:gridSpan w:val="3"/>
          </w:tcPr>
          <w:p>
            <w:pPr>
              <w:jc w:val="center"/>
              <w:ind w:right="80"/>
              <w:spacing w:after="0"/>
              <w:rPr>
                <w:sz w:val="20"/>
                <w:szCs w:val="20"/>
                <w:color w:val="auto"/>
              </w:rPr>
            </w:pPr>
            <w:r>
              <w:rPr>
                <w:rFonts w:ascii="Arial" w:cs="Arial" w:eastAsia="Arial" w:hAnsi="Arial"/>
                <w:sz w:val="14"/>
                <w:szCs w:val="14"/>
                <w:color w:val="auto"/>
              </w:rPr>
              <w:t>N/A</w:t>
            </w:r>
          </w:p>
        </w:tc>
        <w:tc>
          <w:tcPr>
            <w:tcW w:w="360" w:type="dxa"/>
            <w:vAlign w:val="bottom"/>
            <w:tcBorders>
              <w:bottom w:val="single" w:sz="8" w:color="auto"/>
            </w:tcBorders>
          </w:tcPr>
          <w:p>
            <w:pPr>
              <w:spacing w:after="0"/>
              <w:rPr>
                <w:sz w:val="22"/>
                <w:szCs w:val="22"/>
                <w:color w:val="auto"/>
              </w:rPr>
            </w:pPr>
          </w:p>
        </w:tc>
        <w:tc>
          <w:tcPr>
            <w:tcW w:w="680" w:type="dxa"/>
            <w:vAlign w:val="bottom"/>
            <w:tcBorders>
              <w:bottom w:val="single" w:sz="8" w:color="auto"/>
              <w:right w:val="single" w:sz="8" w:color="auto"/>
            </w:tcBorders>
            <w:gridSpan w:val="2"/>
          </w:tcPr>
          <w:p>
            <w:pPr>
              <w:jc w:val="center"/>
              <w:ind w:right="355"/>
              <w:spacing w:after="0"/>
              <w:rPr>
                <w:sz w:val="20"/>
                <w:szCs w:val="20"/>
                <w:color w:val="auto"/>
              </w:rPr>
            </w:pPr>
            <w:r>
              <w:rPr>
                <w:rFonts w:ascii="Arial" w:cs="Arial" w:eastAsia="Arial" w:hAnsi="Arial"/>
                <w:sz w:val="14"/>
                <w:szCs w:val="14"/>
                <w:color w:val="auto"/>
              </w:rPr>
              <w:t>N/A</w:t>
            </w:r>
          </w:p>
        </w:tc>
        <w:tc>
          <w:tcPr>
            <w:tcW w:w="340" w:type="dxa"/>
            <w:vAlign w:val="bottom"/>
            <w:tcBorders>
              <w:bottom w:val="single" w:sz="8" w:color="auto"/>
            </w:tcBorders>
          </w:tcPr>
          <w:p>
            <w:pPr>
              <w:spacing w:after="0"/>
              <w:rPr>
                <w:sz w:val="22"/>
                <w:szCs w:val="22"/>
                <w:color w:val="auto"/>
              </w:rPr>
            </w:pPr>
          </w:p>
        </w:tc>
        <w:tc>
          <w:tcPr>
            <w:tcW w:w="820" w:type="dxa"/>
            <w:vAlign w:val="bottom"/>
            <w:tcBorders>
              <w:bottom w:val="single" w:sz="8" w:color="auto"/>
              <w:right w:val="single" w:sz="8" w:color="auto"/>
            </w:tcBorders>
            <w:gridSpan w:val="3"/>
          </w:tcPr>
          <w:p>
            <w:pPr>
              <w:jc w:val="right"/>
              <w:ind w:right="560"/>
              <w:spacing w:after="0"/>
              <w:rPr>
                <w:sz w:val="20"/>
                <w:szCs w:val="20"/>
                <w:color w:val="auto"/>
              </w:rPr>
            </w:pPr>
            <w:r>
              <w:rPr>
                <w:rFonts w:ascii="Arial" w:cs="Arial" w:eastAsia="Arial" w:hAnsi="Arial"/>
                <w:sz w:val="14"/>
                <w:szCs w:val="14"/>
                <w:color w:val="auto"/>
              </w:rPr>
              <w:t>N/A</w:t>
            </w:r>
          </w:p>
        </w:tc>
        <w:tc>
          <w:tcPr>
            <w:tcW w:w="360" w:type="dxa"/>
            <w:vAlign w:val="bottom"/>
            <w:tcBorders>
              <w:bottom w:val="single" w:sz="8" w:color="auto"/>
            </w:tcBorders>
          </w:tcPr>
          <w:p>
            <w:pPr>
              <w:spacing w:after="0"/>
              <w:rPr>
                <w:sz w:val="22"/>
                <w:szCs w:val="22"/>
                <w:color w:val="auto"/>
              </w:rPr>
            </w:pPr>
          </w:p>
        </w:tc>
        <w:tc>
          <w:tcPr>
            <w:tcW w:w="66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4"/>
                <w:szCs w:val="14"/>
                <w:color w:val="auto"/>
              </w:rPr>
              <w:t>N/A</w:t>
            </w:r>
          </w:p>
        </w:tc>
        <w:tc>
          <w:tcPr>
            <w:tcW w:w="340" w:type="dxa"/>
            <w:vAlign w:val="bottom"/>
            <w:tcBorders>
              <w:bottom w:val="single" w:sz="8" w:color="auto"/>
            </w:tcBorders>
          </w:tcPr>
          <w:p>
            <w:pPr>
              <w:spacing w:after="0"/>
              <w:rPr>
                <w:sz w:val="22"/>
                <w:szCs w:val="22"/>
                <w:color w:val="auto"/>
              </w:rPr>
            </w:pPr>
          </w:p>
        </w:tc>
        <w:tc>
          <w:tcPr>
            <w:tcW w:w="680" w:type="dxa"/>
            <w:vAlign w:val="bottom"/>
            <w:tcBorders>
              <w:bottom w:val="single" w:sz="8" w:color="auto"/>
              <w:right w:val="single" w:sz="8" w:color="auto"/>
            </w:tcBorders>
          </w:tcPr>
          <w:p>
            <w:pPr>
              <w:jc w:val="center"/>
              <w:ind w:right="288"/>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93"/>
        </w:trPr>
        <w:tc>
          <w:tcPr>
            <w:tcW w:w="138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Enrique A.</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138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Conterno</w:t>
            </w:r>
          </w:p>
        </w:tc>
        <w:tc>
          <w:tcPr>
            <w:tcW w:w="500" w:type="dxa"/>
            <w:vAlign w:val="bottom"/>
            <w:tcBorders>
              <w:bottom w:val="single" w:sz="8" w:color="auto"/>
              <w:right w:val="single" w:sz="8" w:color="auto"/>
            </w:tcBorders>
            <w:gridSpan w:val="3"/>
          </w:tcPr>
          <w:p>
            <w:pPr>
              <w:jc w:val="center"/>
              <w:ind w:right="20"/>
              <w:spacing w:after="0"/>
              <w:rPr>
                <w:sz w:val="20"/>
                <w:szCs w:val="20"/>
                <w:color w:val="auto"/>
              </w:rPr>
            </w:pPr>
            <w:r>
              <w:rPr>
                <w:rFonts w:ascii="Arial" w:cs="Arial" w:eastAsia="Arial" w:hAnsi="Arial"/>
                <w:sz w:val="14"/>
                <w:szCs w:val="14"/>
                <w:color w:val="auto"/>
              </w:rPr>
              <w:t>2017</w:t>
            </w:r>
          </w:p>
        </w:tc>
        <w:tc>
          <w:tcPr>
            <w:tcW w:w="860" w:type="dxa"/>
            <w:vAlign w:val="bottom"/>
            <w:tcBorders>
              <w:bottom w:val="single" w:sz="8" w:color="auto"/>
              <w:right w:val="single" w:sz="8" w:color="auto"/>
            </w:tcBorders>
            <w:gridSpan w:val="5"/>
          </w:tcPr>
          <w:p>
            <w:pPr>
              <w:jc w:val="right"/>
              <w:ind w:right="60"/>
              <w:spacing w:after="0"/>
              <w:rPr>
                <w:sz w:val="20"/>
                <w:szCs w:val="20"/>
                <w:color w:val="auto"/>
              </w:rPr>
            </w:pPr>
            <w:r>
              <w:rPr>
                <w:rFonts w:ascii="Arial" w:cs="Arial" w:eastAsia="Arial" w:hAnsi="Arial"/>
                <w:sz w:val="14"/>
                <w:szCs w:val="14"/>
                <w:color w:val="auto"/>
              </w:rPr>
              <w:t>$762,002</w:t>
            </w:r>
          </w:p>
        </w:tc>
        <w:tc>
          <w:tcPr>
            <w:tcW w:w="320" w:type="dxa"/>
            <w:vAlign w:val="bottom"/>
            <w:tcBorders>
              <w:bottom w:val="single" w:sz="8" w:color="auto"/>
            </w:tcBorders>
            <w:gridSpan w:val="3"/>
          </w:tcPr>
          <w:p>
            <w:pPr>
              <w:jc w:val="center"/>
              <w:ind w:left="88"/>
              <w:spacing w:after="0"/>
              <w:rPr>
                <w:sz w:val="20"/>
                <w:szCs w:val="20"/>
                <w:color w:val="auto"/>
              </w:rPr>
            </w:pPr>
            <w:r>
              <w:rPr>
                <w:rFonts w:ascii="Arial" w:cs="Arial" w:eastAsia="Arial" w:hAnsi="Arial"/>
                <w:sz w:val="14"/>
                <w:szCs w:val="14"/>
                <w:color w:val="auto"/>
              </w:rPr>
              <w:t>$0</w:t>
            </w:r>
          </w:p>
        </w:tc>
        <w:tc>
          <w:tcPr>
            <w:tcW w:w="20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gridSpan w:val="5"/>
          </w:tcPr>
          <w:p>
            <w:pPr>
              <w:jc w:val="center"/>
              <w:ind w:right="20"/>
              <w:spacing w:after="0"/>
              <w:rPr>
                <w:sz w:val="20"/>
                <w:szCs w:val="20"/>
                <w:color w:val="auto"/>
              </w:rPr>
            </w:pPr>
            <w:r>
              <w:rPr>
                <w:rFonts w:ascii="Arial" w:cs="Arial" w:eastAsia="Arial" w:hAnsi="Arial"/>
                <w:sz w:val="14"/>
                <w:szCs w:val="14"/>
                <w:color w:val="auto"/>
              </w:rPr>
              <w:t>$6,000,000</w:t>
            </w:r>
          </w:p>
        </w:tc>
        <w:tc>
          <w:tcPr>
            <w:tcW w:w="480" w:type="dxa"/>
            <w:vAlign w:val="bottom"/>
            <w:tcBorders>
              <w:bottom w:val="single" w:sz="8" w:color="auto"/>
            </w:tcBorders>
            <w:gridSpan w:val="3"/>
          </w:tcPr>
          <w:p>
            <w:pPr>
              <w:jc w:val="center"/>
              <w:ind w:left="208"/>
              <w:spacing w:after="0"/>
              <w:rPr>
                <w:sz w:val="20"/>
                <w:szCs w:val="20"/>
                <w:color w:val="auto"/>
              </w:rPr>
            </w:pPr>
            <w:r>
              <w:rPr>
                <w:rFonts w:ascii="Arial" w:cs="Arial" w:eastAsia="Arial" w:hAnsi="Arial"/>
                <w:sz w:val="14"/>
                <w:szCs w:val="14"/>
                <w:color w:val="auto"/>
              </w:rPr>
              <w:t>$0</w:t>
            </w:r>
          </w:p>
        </w:tc>
        <w:tc>
          <w:tcPr>
            <w:tcW w:w="200" w:type="dxa"/>
            <w:vAlign w:val="bottom"/>
            <w:tcBorders>
              <w:bottom w:val="single" w:sz="8" w:color="auto"/>
              <w:right w:val="single" w:sz="8" w:color="auto"/>
            </w:tcBorders>
          </w:tcPr>
          <w:p>
            <w:pPr>
              <w:spacing w:after="0"/>
              <w:rPr>
                <w:sz w:val="15"/>
                <w:szCs w:val="15"/>
                <w:color w:val="auto"/>
              </w:rPr>
            </w:pPr>
          </w:p>
        </w:tc>
        <w:tc>
          <w:tcPr>
            <w:tcW w:w="1040" w:type="dxa"/>
            <w:vAlign w:val="bottom"/>
            <w:tcBorders>
              <w:bottom w:val="single" w:sz="8" w:color="auto"/>
              <w:right w:val="single" w:sz="8" w:color="auto"/>
            </w:tcBorders>
            <w:gridSpan w:val="3"/>
          </w:tcPr>
          <w:p>
            <w:pPr>
              <w:jc w:val="right"/>
              <w:ind w:right="15"/>
              <w:spacing w:after="0"/>
              <w:rPr>
                <w:sz w:val="20"/>
                <w:szCs w:val="20"/>
                <w:color w:val="auto"/>
              </w:rPr>
            </w:pPr>
            <w:r>
              <w:rPr>
                <w:rFonts w:ascii="Arial" w:cs="Arial" w:eastAsia="Arial" w:hAnsi="Arial"/>
                <w:sz w:val="14"/>
                <w:szCs w:val="14"/>
                <w:color w:val="auto"/>
              </w:rPr>
              <w:t>$816,866</w:t>
            </w:r>
          </w:p>
        </w:tc>
        <w:tc>
          <w:tcPr>
            <w:tcW w:w="1160" w:type="dxa"/>
            <w:vAlign w:val="bottom"/>
            <w:tcBorders>
              <w:bottom w:val="single" w:sz="8" w:color="auto"/>
              <w:right w:val="single" w:sz="8" w:color="auto"/>
            </w:tcBorders>
            <w:gridSpan w:val="4"/>
          </w:tcPr>
          <w:p>
            <w:pPr>
              <w:jc w:val="right"/>
              <w:ind w:right="220"/>
              <w:spacing w:after="0"/>
              <w:rPr>
                <w:sz w:val="20"/>
                <w:szCs w:val="20"/>
                <w:color w:val="auto"/>
              </w:rPr>
            </w:pPr>
            <w:r>
              <w:rPr>
                <w:rFonts w:ascii="Arial" w:cs="Arial" w:eastAsia="Arial" w:hAnsi="Arial"/>
                <w:sz w:val="14"/>
                <w:szCs w:val="14"/>
                <w:color w:val="auto"/>
              </w:rPr>
              <w:t>$999,426</w:t>
            </w:r>
          </w:p>
        </w:tc>
        <w:tc>
          <w:tcPr>
            <w:tcW w:w="1020" w:type="dxa"/>
            <w:vAlign w:val="bottom"/>
            <w:tcBorders>
              <w:bottom w:val="single" w:sz="8" w:color="auto"/>
              <w:right w:val="single" w:sz="8" w:color="auto"/>
            </w:tcBorders>
            <w:gridSpan w:val="4"/>
          </w:tcPr>
          <w:p>
            <w:pPr>
              <w:jc w:val="right"/>
              <w:ind w:right="60"/>
              <w:spacing w:after="0"/>
              <w:rPr>
                <w:sz w:val="20"/>
                <w:szCs w:val="20"/>
                <w:color w:val="auto"/>
              </w:rPr>
            </w:pPr>
            <w:r>
              <w:rPr>
                <w:rFonts w:ascii="Arial" w:cs="Arial" w:eastAsia="Arial" w:hAnsi="Arial"/>
                <w:sz w:val="14"/>
                <w:szCs w:val="14"/>
                <w:color w:val="auto"/>
              </w:rPr>
              <w:t>$45,720</w:t>
            </w:r>
          </w:p>
        </w:tc>
        <w:tc>
          <w:tcPr>
            <w:tcW w:w="102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4"/>
                <w:szCs w:val="14"/>
                <w:color w:val="auto"/>
              </w:rPr>
              <w:t>$8,624,014</w:t>
            </w:r>
          </w:p>
        </w:tc>
        <w:tc>
          <w:tcPr>
            <w:tcW w:w="0" w:type="dxa"/>
            <w:vAlign w:val="bottom"/>
          </w:tcPr>
          <w:p>
            <w:pPr>
              <w:spacing w:after="0"/>
              <w:rPr>
                <w:sz w:val="1"/>
                <w:szCs w:val="1"/>
                <w:color w:val="auto"/>
              </w:rPr>
            </w:pPr>
          </w:p>
        </w:tc>
      </w:tr>
      <w:tr>
        <w:trPr>
          <w:trHeight w:val="143"/>
        </w:trPr>
        <w:tc>
          <w:tcPr>
            <w:tcW w:w="1380" w:type="dxa"/>
            <w:vAlign w:val="bottom"/>
            <w:tcBorders>
              <w:left w:val="single" w:sz="8" w:color="auto"/>
              <w:right w:val="single" w:sz="8" w:color="auto"/>
            </w:tcBorders>
            <w:gridSpan w:val="2"/>
          </w:tcPr>
          <w:p>
            <w:pPr>
              <w:ind w:left="40"/>
              <w:spacing w:after="0" w:line="143" w:lineRule="exact"/>
              <w:rPr>
                <w:sz w:val="20"/>
                <w:szCs w:val="20"/>
                <w:color w:val="auto"/>
              </w:rPr>
            </w:pPr>
            <w:r>
              <w:rPr>
                <w:rFonts w:ascii="Arial" w:cs="Arial" w:eastAsia="Arial" w:hAnsi="Arial"/>
                <w:sz w:val="13"/>
                <w:szCs w:val="13"/>
                <w:color w:val="auto"/>
              </w:rPr>
              <w:t>Senior Vice President</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38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3"/>
                <w:szCs w:val="13"/>
                <w:color w:val="auto"/>
              </w:rPr>
              <w:t>and</w:t>
            </w:r>
          </w:p>
        </w:tc>
        <w:tc>
          <w:tcPr>
            <w:tcW w:w="500" w:type="dxa"/>
            <w:vAlign w:val="bottom"/>
            <w:tcBorders>
              <w:right w:val="single" w:sz="8" w:color="auto"/>
            </w:tcBorders>
            <w:gridSpan w:val="3"/>
          </w:tcPr>
          <w:p>
            <w:pPr>
              <w:jc w:val="center"/>
              <w:ind w:right="20"/>
              <w:spacing w:after="0" w:line="155" w:lineRule="exact"/>
              <w:rPr>
                <w:sz w:val="20"/>
                <w:szCs w:val="20"/>
                <w:color w:val="auto"/>
              </w:rPr>
            </w:pPr>
            <w:r>
              <w:rPr>
                <w:rFonts w:ascii="Arial" w:cs="Arial" w:eastAsia="Arial" w:hAnsi="Arial"/>
                <w:sz w:val="14"/>
                <w:szCs w:val="14"/>
                <w:color w:val="auto"/>
              </w:rPr>
              <w:t>2016</w:t>
            </w:r>
          </w:p>
        </w:tc>
        <w:tc>
          <w:tcPr>
            <w:tcW w:w="860" w:type="dxa"/>
            <w:vAlign w:val="bottom"/>
            <w:tcBorders>
              <w:right w:val="single" w:sz="8" w:color="auto"/>
            </w:tcBorders>
            <w:gridSpan w:val="5"/>
          </w:tcPr>
          <w:p>
            <w:pPr>
              <w:jc w:val="right"/>
              <w:ind w:right="60"/>
              <w:spacing w:after="0" w:line="155" w:lineRule="exact"/>
              <w:rPr>
                <w:sz w:val="20"/>
                <w:szCs w:val="20"/>
                <w:color w:val="auto"/>
              </w:rPr>
            </w:pPr>
            <w:r>
              <w:rPr>
                <w:rFonts w:ascii="Arial" w:cs="Arial" w:eastAsia="Arial" w:hAnsi="Arial"/>
                <w:sz w:val="14"/>
                <w:szCs w:val="14"/>
                <w:color w:val="auto"/>
              </w:rPr>
              <w:t>$727,960</w:t>
            </w:r>
          </w:p>
        </w:tc>
        <w:tc>
          <w:tcPr>
            <w:tcW w:w="320" w:type="dxa"/>
            <w:vAlign w:val="bottom"/>
            <w:gridSpan w:val="3"/>
          </w:tcPr>
          <w:p>
            <w:pPr>
              <w:jc w:val="center"/>
              <w:ind w:left="88"/>
              <w:spacing w:after="0" w:line="155" w:lineRule="exact"/>
              <w:rPr>
                <w:sz w:val="20"/>
                <w:szCs w:val="20"/>
                <w:color w:val="auto"/>
              </w:rPr>
            </w:pPr>
            <w:r>
              <w:rPr>
                <w:rFonts w:ascii="Arial" w:cs="Arial" w:eastAsia="Arial" w:hAnsi="Arial"/>
                <w:sz w:val="14"/>
                <w:szCs w:val="14"/>
                <w:color w:val="auto"/>
              </w:rPr>
              <w:t>$0</w:t>
            </w:r>
          </w:p>
        </w:tc>
        <w:tc>
          <w:tcPr>
            <w:tcW w:w="200" w:type="dxa"/>
            <w:vAlign w:val="bottom"/>
            <w:tcBorders>
              <w:right w:val="single" w:sz="8" w:color="auto"/>
            </w:tcBorders>
          </w:tcPr>
          <w:p>
            <w:pPr>
              <w:spacing w:after="0"/>
              <w:rPr>
                <w:sz w:val="13"/>
                <w:szCs w:val="13"/>
                <w:color w:val="auto"/>
              </w:rPr>
            </w:pPr>
          </w:p>
        </w:tc>
        <w:tc>
          <w:tcPr>
            <w:tcW w:w="980" w:type="dxa"/>
            <w:vAlign w:val="bottom"/>
            <w:tcBorders>
              <w:right w:val="single" w:sz="8" w:color="auto"/>
            </w:tcBorders>
            <w:gridSpan w:val="5"/>
          </w:tcPr>
          <w:p>
            <w:pPr>
              <w:jc w:val="center"/>
              <w:ind w:right="20"/>
              <w:spacing w:after="0" w:line="155" w:lineRule="exact"/>
              <w:rPr>
                <w:sz w:val="20"/>
                <w:szCs w:val="20"/>
                <w:color w:val="auto"/>
              </w:rPr>
            </w:pPr>
            <w:r>
              <w:rPr>
                <w:rFonts w:ascii="Arial" w:cs="Arial" w:eastAsia="Arial" w:hAnsi="Arial"/>
                <w:sz w:val="14"/>
                <w:szCs w:val="14"/>
                <w:color w:val="auto"/>
              </w:rPr>
              <w:t>$2,200,000</w:t>
            </w:r>
          </w:p>
        </w:tc>
        <w:tc>
          <w:tcPr>
            <w:tcW w:w="480" w:type="dxa"/>
            <w:vAlign w:val="bottom"/>
            <w:gridSpan w:val="3"/>
          </w:tcPr>
          <w:p>
            <w:pPr>
              <w:jc w:val="center"/>
              <w:ind w:left="208"/>
              <w:spacing w:after="0" w:line="155" w:lineRule="exact"/>
              <w:rPr>
                <w:sz w:val="20"/>
                <w:szCs w:val="20"/>
                <w:color w:val="auto"/>
              </w:rPr>
            </w:pPr>
            <w:r>
              <w:rPr>
                <w:rFonts w:ascii="Arial" w:cs="Arial" w:eastAsia="Arial" w:hAnsi="Arial"/>
                <w:sz w:val="14"/>
                <w:szCs w:val="14"/>
                <w:color w:val="auto"/>
              </w:rPr>
              <w:t>$0</w:t>
            </w:r>
          </w:p>
        </w:tc>
        <w:tc>
          <w:tcPr>
            <w:tcW w:w="20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gridSpan w:val="3"/>
          </w:tcPr>
          <w:p>
            <w:pPr>
              <w:jc w:val="right"/>
              <w:ind w:right="15"/>
              <w:spacing w:after="0" w:line="155" w:lineRule="exact"/>
              <w:rPr>
                <w:sz w:val="20"/>
                <w:szCs w:val="20"/>
                <w:color w:val="auto"/>
              </w:rPr>
            </w:pPr>
            <w:r>
              <w:rPr>
                <w:rFonts w:ascii="Arial" w:cs="Arial" w:eastAsia="Arial" w:hAnsi="Arial"/>
                <w:sz w:val="14"/>
                <w:szCs w:val="14"/>
                <w:color w:val="auto"/>
              </w:rPr>
              <w:t>$681,371</w:t>
            </w:r>
          </w:p>
        </w:tc>
        <w:tc>
          <w:tcPr>
            <w:tcW w:w="1160" w:type="dxa"/>
            <w:vAlign w:val="bottom"/>
            <w:tcBorders>
              <w:right w:val="single" w:sz="8" w:color="auto"/>
            </w:tcBorders>
            <w:gridSpan w:val="4"/>
          </w:tcPr>
          <w:p>
            <w:pPr>
              <w:jc w:val="right"/>
              <w:ind w:right="220"/>
              <w:spacing w:after="0" w:line="155" w:lineRule="exact"/>
              <w:rPr>
                <w:sz w:val="20"/>
                <w:szCs w:val="20"/>
                <w:color w:val="auto"/>
              </w:rPr>
            </w:pPr>
            <w:r>
              <w:rPr>
                <w:rFonts w:ascii="Arial" w:cs="Arial" w:eastAsia="Arial" w:hAnsi="Arial"/>
                <w:sz w:val="14"/>
                <w:szCs w:val="14"/>
                <w:color w:val="auto"/>
              </w:rPr>
              <w:t>$935,408</w:t>
            </w:r>
          </w:p>
        </w:tc>
        <w:tc>
          <w:tcPr>
            <w:tcW w:w="1020" w:type="dxa"/>
            <w:vAlign w:val="bottom"/>
            <w:tcBorders>
              <w:right w:val="single" w:sz="8" w:color="auto"/>
            </w:tcBorders>
            <w:gridSpan w:val="4"/>
          </w:tcPr>
          <w:p>
            <w:pPr>
              <w:jc w:val="right"/>
              <w:ind w:right="60"/>
              <w:spacing w:after="0" w:line="155" w:lineRule="exact"/>
              <w:rPr>
                <w:sz w:val="20"/>
                <w:szCs w:val="20"/>
                <w:color w:val="auto"/>
              </w:rPr>
            </w:pPr>
            <w:r>
              <w:rPr>
                <w:rFonts w:ascii="Arial" w:cs="Arial" w:eastAsia="Arial" w:hAnsi="Arial"/>
                <w:sz w:val="14"/>
                <w:szCs w:val="14"/>
                <w:color w:val="auto"/>
              </w:rPr>
              <w:t>$43,678</w:t>
            </w:r>
          </w:p>
        </w:tc>
        <w:tc>
          <w:tcPr>
            <w:tcW w:w="1020" w:type="dxa"/>
            <w:vAlign w:val="bottom"/>
            <w:tcBorders>
              <w:right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$4,588,417</w:t>
            </w:r>
          </w:p>
        </w:tc>
        <w:tc>
          <w:tcPr>
            <w:tcW w:w="0" w:type="dxa"/>
            <w:vAlign w:val="bottom"/>
          </w:tcPr>
          <w:p>
            <w:pPr>
              <w:spacing w:after="0"/>
              <w:rPr>
                <w:sz w:val="1"/>
                <w:szCs w:val="1"/>
                <w:color w:val="auto"/>
              </w:rPr>
            </w:pPr>
          </w:p>
        </w:tc>
      </w:tr>
      <w:tr>
        <w:trPr>
          <w:trHeight w:val="54"/>
        </w:trPr>
        <w:tc>
          <w:tcPr>
            <w:tcW w:w="1380" w:type="dxa"/>
            <w:vAlign w:val="bottom"/>
            <w:tcBorders>
              <w:left w:val="single" w:sz="8" w:color="auto"/>
              <w:right w:val="single" w:sz="8" w:color="auto"/>
            </w:tcBorders>
            <w:gridSpan w:val="2"/>
            <w:vMerge w:val="restart"/>
          </w:tcPr>
          <w:p>
            <w:pPr>
              <w:ind w:left="40"/>
              <w:spacing w:after="0" w:line="116" w:lineRule="exact"/>
              <w:rPr>
                <w:sz w:val="20"/>
                <w:szCs w:val="20"/>
                <w:color w:val="auto"/>
              </w:rPr>
            </w:pPr>
            <w:r>
              <w:rPr>
                <w:rFonts w:ascii="Arial" w:cs="Arial" w:eastAsia="Arial" w:hAnsi="Arial"/>
                <w:sz w:val="13"/>
                <w:szCs w:val="13"/>
                <w:color w:val="auto"/>
              </w:rPr>
              <w:t>President, Lilly</w:t>
            </w: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80" w:type="dxa"/>
            <w:vAlign w:val="bottom"/>
            <w:tcBorders>
              <w:bottom w:val="single" w:sz="8" w:color="auto"/>
              <w:right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0" w:type="dxa"/>
            <w:vAlign w:val="bottom"/>
            <w:tcBorders>
              <w:bottom w:val="single" w:sz="8" w:color="auto"/>
              <w:right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2"/>
        </w:trPr>
        <w:tc>
          <w:tcPr>
            <w:tcW w:w="1380" w:type="dxa"/>
            <w:vAlign w:val="bottom"/>
            <w:tcBorders>
              <w:left w:val="single" w:sz="8" w:color="auto"/>
              <w:right w:val="single" w:sz="8" w:color="auto"/>
            </w:tcBorders>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Borders>
              <w:right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Borders>
              <w:right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60" w:type="dxa"/>
            <w:vAlign w:val="bottom"/>
            <w:tcBorders>
              <w:right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tcBorders>
              <w:right w:val="single" w:sz="8" w:color="auto"/>
            </w:tcBorders>
          </w:tcPr>
          <w:p>
            <w:pPr>
              <w:spacing w:after="0"/>
              <w:rPr>
                <w:sz w:val="3"/>
                <w:szCs w:val="3"/>
                <w:color w:val="auto"/>
              </w:rPr>
            </w:pPr>
          </w:p>
        </w:tc>
        <w:tc>
          <w:tcPr>
            <w:tcW w:w="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0" w:type="dxa"/>
            <w:vAlign w:val="bottom"/>
            <w:tcBorders>
              <w:right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68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1380" w:type="dxa"/>
            <w:vAlign w:val="bottom"/>
            <w:tcBorders>
              <w:left w:val="single" w:sz="8" w:color="auto"/>
              <w:right w:val="single" w:sz="8" w:color="auto"/>
            </w:tcBorders>
            <w:gridSpan w:val="2"/>
          </w:tcPr>
          <w:p>
            <w:pPr>
              <w:ind w:left="40"/>
              <w:spacing w:after="0" w:line="135" w:lineRule="exact"/>
              <w:rPr>
                <w:sz w:val="20"/>
                <w:szCs w:val="20"/>
                <w:color w:val="auto"/>
              </w:rPr>
            </w:pPr>
            <w:r>
              <w:rPr>
                <w:rFonts w:ascii="Arial" w:cs="Arial" w:eastAsia="Arial" w:hAnsi="Arial"/>
                <w:sz w:val="13"/>
                <w:szCs w:val="13"/>
                <w:color w:val="auto"/>
              </w:rPr>
              <w:t>Diabetes and</w:t>
            </w:r>
          </w:p>
        </w:tc>
        <w:tc>
          <w:tcPr>
            <w:tcW w:w="500" w:type="dxa"/>
            <w:vAlign w:val="bottom"/>
            <w:tcBorders>
              <w:right w:val="single" w:sz="8" w:color="auto"/>
            </w:tcBorders>
            <w:gridSpan w:val="3"/>
            <w:vMerge w:val="restart"/>
          </w:tcPr>
          <w:p>
            <w:pPr>
              <w:jc w:val="center"/>
              <w:ind w:right="20"/>
              <w:spacing w:after="0"/>
              <w:rPr>
                <w:sz w:val="20"/>
                <w:szCs w:val="20"/>
                <w:color w:val="auto"/>
              </w:rPr>
            </w:pPr>
            <w:r>
              <w:rPr>
                <w:rFonts w:ascii="Arial" w:cs="Arial" w:eastAsia="Arial" w:hAnsi="Arial"/>
                <w:sz w:val="14"/>
                <w:szCs w:val="14"/>
                <w:color w:val="auto"/>
              </w:rPr>
              <w:t>2015</w:t>
            </w:r>
          </w:p>
        </w:tc>
        <w:tc>
          <w:tcPr>
            <w:tcW w:w="860" w:type="dxa"/>
            <w:vAlign w:val="bottom"/>
            <w:tcBorders>
              <w:right w:val="single" w:sz="8" w:color="auto"/>
            </w:tcBorders>
            <w:gridSpan w:val="5"/>
            <w:vMerge w:val="restart"/>
          </w:tcPr>
          <w:p>
            <w:pPr>
              <w:jc w:val="right"/>
              <w:ind w:right="60"/>
              <w:spacing w:after="0"/>
              <w:rPr>
                <w:sz w:val="20"/>
                <w:szCs w:val="20"/>
                <w:color w:val="auto"/>
              </w:rPr>
            </w:pPr>
            <w:r>
              <w:rPr>
                <w:rFonts w:ascii="Arial" w:cs="Arial" w:eastAsia="Arial" w:hAnsi="Arial"/>
                <w:sz w:val="14"/>
                <w:szCs w:val="14"/>
                <w:color w:val="auto"/>
              </w:rPr>
              <w:t>$705,653</w:t>
            </w:r>
          </w:p>
        </w:tc>
        <w:tc>
          <w:tcPr>
            <w:tcW w:w="320" w:type="dxa"/>
            <w:vAlign w:val="bottom"/>
            <w:gridSpan w:val="3"/>
            <w:vMerge w:val="restart"/>
          </w:tcPr>
          <w:p>
            <w:pPr>
              <w:jc w:val="center"/>
              <w:ind w:left="88"/>
              <w:spacing w:after="0"/>
              <w:rPr>
                <w:sz w:val="20"/>
                <w:szCs w:val="20"/>
                <w:color w:val="auto"/>
              </w:rPr>
            </w:pPr>
            <w:r>
              <w:rPr>
                <w:rFonts w:ascii="Arial" w:cs="Arial" w:eastAsia="Arial" w:hAnsi="Arial"/>
                <w:sz w:val="14"/>
                <w:szCs w:val="14"/>
                <w:color w:val="auto"/>
              </w:rPr>
              <w:t>$0</w:t>
            </w:r>
          </w:p>
        </w:tc>
        <w:tc>
          <w:tcPr>
            <w:tcW w:w="20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gridSpan w:val="5"/>
            <w:vMerge w:val="restart"/>
          </w:tcPr>
          <w:p>
            <w:pPr>
              <w:jc w:val="center"/>
              <w:ind w:right="20"/>
              <w:spacing w:after="0"/>
              <w:rPr>
                <w:sz w:val="20"/>
                <w:szCs w:val="20"/>
                <w:color w:val="auto"/>
              </w:rPr>
            </w:pPr>
            <w:r>
              <w:rPr>
                <w:rFonts w:ascii="Arial" w:cs="Arial" w:eastAsia="Arial" w:hAnsi="Arial"/>
                <w:sz w:val="14"/>
                <w:szCs w:val="14"/>
                <w:color w:val="auto"/>
              </w:rPr>
              <w:t>$2,270,000</w:t>
            </w:r>
          </w:p>
        </w:tc>
        <w:tc>
          <w:tcPr>
            <w:tcW w:w="480" w:type="dxa"/>
            <w:vAlign w:val="bottom"/>
            <w:gridSpan w:val="3"/>
            <w:vMerge w:val="restart"/>
          </w:tcPr>
          <w:p>
            <w:pPr>
              <w:jc w:val="center"/>
              <w:ind w:left="208"/>
              <w:spacing w:after="0"/>
              <w:rPr>
                <w:sz w:val="20"/>
                <w:szCs w:val="20"/>
                <w:color w:val="auto"/>
              </w:rPr>
            </w:pPr>
            <w:r>
              <w:rPr>
                <w:rFonts w:ascii="Arial" w:cs="Arial" w:eastAsia="Arial" w:hAnsi="Arial"/>
                <w:sz w:val="14"/>
                <w:szCs w:val="14"/>
                <w:color w:val="auto"/>
              </w:rPr>
              <w:t>$0</w:t>
            </w:r>
          </w:p>
        </w:tc>
        <w:tc>
          <w:tcPr>
            <w:tcW w:w="200" w:type="dxa"/>
            <w:vAlign w:val="bottom"/>
            <w:tcBorders>
              <w:right w:val="single" w:sz="8" w:color="auto"/>
            </w:tcBorders>
          </w:tcPr>
          <w:p>
            <w:pPr>
              <w:spacing w:after="0"/>
              <w:rPr>
                <w:sz w:val="11"/>
                <w:szCs w:val="11"/>
                <w:color w:val="auto"/>
              </w:rPr>
            </w:pPr>
          </w:p>
        </w:tc>
        <w:tc>
          <w:tcPr>
            <w:tcW w:w="1040" w:type="dxa"/>
            <w:vAlign w:val="bottom"/>
            <w:tcBorders>
              <w:right w:val="single" w:sz="8" w:color="auto"/>
            </w:tcBorders>
            <w:gridSpan w:val="3"/>
            <w:vMerge w:val="restart"/>
          </w:tcPr>
          <w:p>
            <w:pPr>
              <w:jc w:val="right"/>
              <w:ind w:right="15"/>
              <w:spacing w:after="0"/>
              <w:rPr>
                <w:sz w:val="20"/>
                <w:szCs w:val="20"/>
                <w:color w:val="auto"/>
              </w:rPr>
            </w:pPr>
            <w:r>
              <w:rPr>
                <w:rFonts w:ascii="Arial" w:cs="Arial" w:eastAsia="Arial" w:hAnsi="Arial"/>
                <w:sz w:val="14"/>
                <w:szCs w:val="14"/>
                <w:color w:val="auto"/>
              </w:rPr>
              <w:t>$852,075</w:t>
            </w:r>
          </w:p>
        </w:tc>
        <w:tc>
          <w:tcPr>
            <w:tcW w:w="1160" w:type="dxa"/>
            <w:vAlign w:val="bottom"/>
            <w:tcBorders>
              <w:right w:val="single" w:sz="8" w:color="auto"/>
            </w:tcBorders>
            <w:gridSpan w:val="4"/>
            <w:vMerge w:val="restart"/>
          </w:tcPr>
          <w:p>
            <w:pPr>
              <w:jc w:val="right"/>
              <w:ind w:right="100"/>
              <w:spacing w:after="0"/>
              <w:rPr>
                <w:sz w:val="20"/>
                <w:szCs w:val="20"/>
                <w:color w:val="auto"/>
              </w:rPr>
            </w:pPr>
            <w:r>
              <w:rPr>
                <w:rFonts w:ascii="Arial" w:cs="Arial" w:eastAsia="Arial" w:hAnsi="Arial"/>
                <w:sz w:val="14"/>
                <w:szCs w:val="14"/>
                <w:color w:val="auto"/>
              </w:rPr>
              <w:t xml:space="preserve">$0 </w:t>
            </w:r>
            <w:r>
              <w:rPr>
                <w:rFonts w:ascii="Arial" w:cs="Arial" w:eastAsia="Arial" w:hAnsi="Arial"/>
                <w:sz w:val="17"/>
                <w:szCs w:val="17"/>
                <w:color w:val="auto"/>
                <w:vertAlign w:val="superscript"/>
              </w:rPr>
              <w:t>5</w:t>
            </w:r>
          </w:p>
        </w:tc>
        <w:tc>
          <w:tcPr>
            <w:tcW w:w="1020" w:type="dxa"/>
            <w:vAlign w:val="bottom"/>
            <w:tcBorders>
              <w:right w:val="single" w:sz="8" w:color="auto"/>
            </w:tcBorders>
            <w:gridSpan w:val="4"/>
            <w:vMerge w:val="restart"/>
          </w:tcPr>
          <w:p>
            <w:pPr>
              <w:jc w:val="right"/>
              <w:ind w:right="60"/>
              <w:spacing w:after="0"/>
              <w:rPr>
                <w:sz w:val="20"/>
                <w:szCs w:val="20"/>
                <w:color w:val="auto"/>
              </w:rPr>
            </w:pPr>
            <w:r>
              <w:rPr>
                <w:rFonts w:ascii="Arial" w:cs="Arial" w:eastAsia="Arial" w:hAnsi="Arial"/>
                <w:sz w:val="14"/>
                <w:szCs w:val="14"/>
                <w:color w:val="auto"/>
              </w:rPr>
              <w:t>$42,339</w:t>
            </w:r>
          </w:p>
        </w:tc>
        <w:tc>
          <w:tcPr>
            <w:tcW w:w="1020" w:type="dxa"/>
            <w:vAlign w:val="bottom"/>
            <w:tcBorders>
              <w:right w:val="single" w:sz="8" w:color="auto"/>
            </w:tcBorders>
            <w:gridSpan w:val="2"/>
            <w:vMerge w:val="restart"/>
          </w:tcPr>
          <w:p>
            <w:pPr>
              <w:jc w:val="right"/>
              <w:spacing w:after="0"/>
              <w:rPr>
                <w:sz w:val="20"/>
                <w:szCs w:val="20"/>
                <w:color w:val="auto"/>
              </w:rPr>
            </w:pPr>
            <w:r>
              <w:rPr>
                <w:rFonts w:ascii="Arial" w:cs="Arial" w:eastAsia="Arial" w:hAnsi="Arial"/>
                <w:sz w:val="14"/>
                <w:szCs w:val="14"/>
                <w:color w:val="auto"/>
              </w:rPr>
              <w:t>$3,870,067</w:t>
            </w:r>
          </w:p>
        </w:tc>
        <w:tc>
          <w:tcPr>
            <w:tcW w:w="0" w:type="dxa"/>
            <w:vAlign w:val="bottom"/>
          </w:tcPr>
          <w:p>
            <w:pPr>
              <w:spacing w:after="0"/>
              <w:rPr>
                <w:sz w:val="1"/>
                <w:szCs w:val="1"/>
                <w:color w:val="auto"/>
              </w:rPr>
            </w:pPr>
          </w:p>
        </w:tc>
      </w:tr>
      <w:tr>
        <w:trPr>
          <w:trHeight w:val="168"/>
        </w:trPr>
        <w:tc>
          <w:tcPr>
            <w:tcW w:w="138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3"/>
                <w:szCs w:val="13"/>
                <w:color w:val="auto"/>
              </w:rPr>
              <w:t>President, Lilly USA</w:t>
            </w:r>
          </w:p>
        </w:tc>
        <w:tc>
          <w:tcPr>
            <w:tcW w:w="500" w:type="dxa"/>
            <w:vAlign w:val="bottom"/>
            <w:tcBorders>
              <w:bottom w:val="single" w:sz="8" w:color="auto"/>
              <w:right w:val="single" w:sz="8" w:color="auto"/>
            </w:tcBorders>
            <w:gridSpan w:val="3"/>
            <w:vMerge w:val="continue"/>
          </w:tcPr>
          <w:p>
            <w:pPr>
              <w:spacing w:after="0"/>
              <w:rPr>
                <w:sz w:val="14"/>
                <w:szCs w:val="14"/>
                <w:color w:val="auto"/>
              </w:rPr>
            </w:pPr>
          </w:p>
        </w:tc>
        <w:tc>
          <w:tcPr>
            <w:tcW w:w="860" w:type="dxa"/>
            <w:vAlign w:val="bottom"/>
            <w:tcBorders>
              <w:bottom w:val="single" w:sz="8" w:color="auto"/>
              <w:right w:val="single" w:sz="8" w:color="auto"/>
            </w:tcBorders>
            <w:gridSpan w:val="5"/>
            <w:vMerge w:val="continue"/>
          </w:tcPr>
          <w:p>
            <w:pPr>
              <w:spacing w:after="0"/>
              <w:rPr>
                <w:sz w:val="14"/>
                <w:szCs w:val="14"/>
                <w:color w:val="auto"/>
              </w:rPr>
            </w:pPr>
          </w:p>
        </w:tc>
        <w:tc>
          <w:tcPr>
            <w:tcW w:w="320" w:type="dxa"/>
            <w:vAlign w:val="bottom"/>
            <w:tcBorders>
              <w:bottom w:val="single" w:sz="8" w:color="auto"/>
            </w:tcBorders>
            <w:gridSpan w:val="3"/>
            <w:vMerge w:val="continue"/>
          </w:tcPr>
          <w:p>
            <w:pPr>
              <w:spacing w:after="0"/>
              <w:rPr>
                <w:sz w:val="14"/>
                <w:szCs w:val="14"/>
                <w:color w:val="auto"/>
              </w:rPr>
            </w:pPr>
          </w:p>
        </w:tc>
        <w:tc>
          <w:tcPr>
            <w:tcW w:w="200" w:type="dxa"/>
            <w:vAlign w:val="bottom"/>
            <w:tcBorders>
              <w:bottom w:val="single" w:sz="8" w:color="auto"/>
              <w:right w:val="single" w:sz="8" w:color="auto"/>
            </w:tcBorders>
          </w:tcPr>
          <w:p>
            <w:pPr>
              <w:spacing w:after="0"/>
              <w:rPr>
                <w:sz w:val="14"/>
                <w:szCs w:val="14"/>
                <w:color w:val="auto"/>
              </w:rPr>
            </w:pPr>
          </w:p>
        </w:tc>
        <w:tc>
          <w:tcPr>
            <w:tcW w:w="980" w:type="dxa"/>
            <w:vAlign w:val="bottom"/>
            <w:tcBorders>
              <w:bottom w:val="single" w:sz="8" w:color="auto"/>
              <w:right w:val="single" w:sz="8" w:color="auto"/>
            </w:tcBorders>
            <w:gridSpan w:val="5"/>
            <w:vMerge w:val="continue"/>
          </w:tcPr>
          <w:p>
            <w:pPr>
              <w:spacing w:after="0"/>
              <w:rPr>
                <w:sz w:val="14"/>
                <w:szCs w:val="14"/>
                <w:color w:val="auto"/>
              </w:rPr>
            </w:pPr>
          </w:p>
        </w:tc>
        <w:tc>
          <w:tcPr>
            <w:tcW w:w="480" w:type="dxa"/>
            <w:vAlign w:val="bottom"/>
            <w:tcBorders>
              <w:bottom w:val="single" w:sz="8" w:color="auto"/>
            </w:tcBorders>
            <w:gridSpan w:val="3"/>
            <w:vMerge w:val="continue"/>
          </w:tcPr>
          <w:p>
            <w:pPr>
              <w:spacing w:after="0"/>
              <w:rPr>
                <w:sz w:val="14"/>
                <w:szCs w:val="14"/>
                <w:color w:val="auto"/>
              </w:rPr>
            </w:pPr>
          </w:p>
        </w:tc>
        <w:tc>
          <w:tcPr>
            <w:tcW w:w="200" w:type="dxa"/>
            <w:vAlign w:val="bottom"/>
            <w:tcBorders>
              <w:bottom w:val="single" w:sz="8" w:color="auto"/>
              <w:right w:val="single" w:sz="8" w:color="auto"/>
            </w:tcBorders>
          </w:tcPr>
          <w:p>
            <w:pPr>
              <w:spacing w:after="0"/>
              <w:rPr>
                <w:sz w:val="14"/>
                <w:szCs w:val="14"/>
                <w:color w:val="auto"/>
              </w:rPr>
            </w:pPr>
          </w:p>
        </w:tc>
        <w:tc>
          <w:tcPr>
            <w:tcW w:w="1040" w:type="dxa"/>
            <w:vAlign w:val="bottom"/>
            <w:tcBorders>
              <w:bottom w:val="single" w:sz="8" w:color="auto"/>
              <w:right w:val="single" w:sz="8" w:color="auto"/>
            </w:tcBorders>
            <w:gridSpan w:val="3"/>
            <w:vMerge w:val="continue"/>
          </w:tcPr>
          <w:p>
            <w:pPr>
              <w:spacing w:after="0"/>
              <w:rPr>
                <w:sz w:val="14"/>
                <w:szCs w:val="14"/>
                <w:color w:val="auto"/>
              </w:rPr>
            </w:pPr>
          </w:p>
        </w:tc>
        <w:tc>
          <w:tcPr>
            <w:tcW w:w="1160" w:type="dxa"/>
            <w:vAlign w:val="bottom"/>
            <w:tcBorders>
              <w:bottom w:val="single" w:sz="8" w:color="auto"/>
              <w:right w:val="single" w:sz="8" w:color="auto"/>
            </w:tcBorders>
            <w:gridSpan w:val="4"/>
            <w:vMerge w:val="continue"/>
          </w:tcPr>
          <w:p>
            <w:pPr>
              <w:spacing w:after="0"/>
              <w:rPr>
                <w:sz w:val="14"/>
                <w:szCs w:val="14"/>
                <w:color w:val="auto"/>
              </w:rPr>
            </w:pPr>
          </w:p>
        </w:tc>
        <w:tc>
          <w:tcPr>
            <w:tcW w:w="1020" w:type="dxa"/>
            <w:vAlign w:val="bottom"/>
            <w:tcBorders>
              <w:bottom w:val="single" w:sz="8" w:color="auto"/>
              <w:right w:val="single" w:sz="8" w:color="auto"/>
            </w:tcBorders>
            <w:gridSpan w:val="4"/>
            <w:vMerge w:val="continue"/>
          </w:tcPr>
          <w:p>
            <w:pPr>
              <w:spacing w:after="0"/>
              <w:rPr>
                <w:sz w:val="14"/>
                <w:szCs w:val="14"/>
                <w:color w:val="auto"/>
              </w:rPr>
            </w:pPr>
          </w:p>
        </w:tc>
        <w:tc>
          <w:tcPr>
            <w:tcW w:w="1020" w:type="dxa"/>
            <w:vAlign w:val="bottom"/>
            <w:tcBorders>
              <w:bottom w:val="single" w:sz="8" w:color="auto"/>
              <w:right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138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Derica W. Rice</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138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(retired)</w:t>
            </w:r>
          </w:p>
        </w:tc>
        <w:tc>
          <w:tcPr>
            <w:tcW w:w="500" w:type="dxa"/>
            <w:vAlign w:val="bottom"/>
            <w:tcBorders>
              <w:bottom w:val="single" w:sz="8" w:color="auto"/>
              <w:right w:val="single" w:sz="8" w:color="auto"/>
            </w:tcBorders>
            <w:gridSpan w:val="3"/>
          </w:tcPr>
          <w:p>
            <w:pPr>
              <w:jc w:val="center"/>
              <w:ind w:right="20"/>
              <w:spacing w:after="0"/>
              <w:rPr>
                <w:sz w:val="20"/>
                <w:szCs w:val="20"/>
                <w:color w:val="auto"/>
              </w:rPr>
            </w:pPr>
            <w:r>
              <w:rPr>
                <w:rFonts w:ascii="Arial" w:cs="Arial" w:eastAsia="Arial" w:hAnsi="Arial"/>
                <w:sz w:val="14"/>
                <w:szCs w:val="14"/>
                <w:color w:val="auto"/>
              </w:rPr>
              <w:t>2017</w:t>
            </w:r>
          </w:p>
        </w:tc>
        <w:tc>
          <w:tcPr>
            <w:tcW w:w="860" w:type="dxa"/>
            <w:vAlign w:val="bottom"/>
            <w:tcBorders>
              <w:bottom w:val="single" w:sz="8" w:color="auto"/>
              <w:right w:val="single" w:sz="8" w:color="auto"/>
            </w:tcBorders>
            <w:gridSpan w:val="5"/>
          </w:tcPr>
          <w:p>
            <w:pPr>
              <w:jc w:val="right"/>
              <w:ind w:right="60"/>
              <w:spacing w:after="0"/>
              <w:rPr>
                <w:sz w:val="20"/>
                <w:szCs w:val="20"/>
                <w:color w:val="auto"/>
              </w:rPr>
            </w:pPr>
            <w:r>
              <w:rPr>
                <w:rFonts w:ascii="Arial" w:cs="Arial" w:eastAsia="Arial" w:hAnsi="Arial"/>
                <w:sz w:val="14"/>
                <w:szCs w:val="14"/>
                <w:color w:val="auto"/>
              </w:rPr>
              <w:t>$1,089,134</w:t>
            </w:r>
          </w:p>
        </w:tc>
        <w:tc>
          <w:tcPr>
            <w:tcW w:w="320" w:type="dxa"/>
            <w:vAlign w:val="bottom"/>
            <w:tcBorders>
              <w:bottom w:val="single" w:sz="8" w:color="auto"/>
            </w:tcBorders>
            <w:gridSpan w:val="3"/>
          </w:tcPr>
          <w:p>
            <w:pPr>
              <w:jc w:val="center"/>
              <w:ind w:left="88"/>
              <w:spacing w:after="0"/>
              <w:rPr>
                <w:sz w:val="20"/>
                <w:szCs w:val="20"/>
                <w:color w:val="auto"/>
              </w:rPr>
            </w:pPr>
            <w:r>
              <w:rPr>
                <w:rFonts w:ascii="Arial" w:cs="Arial" w:eastAsia="Arial" w:hAnsi="Arial"/>
                <w:sz w:val="14"/>
                <w:szCs w:val="14"/>
                <w:color w:val="auto"/>
              </w:rPr>
              <w:t>$0</w:t>
            </w:r>
          </w:p>
        </w:tc>
        <w:tc>
          <w:tcPr>
            <w:tcW w:w="20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gridSpan w:val="5"/>
          </w:tcPr>
          <w:p>
            <w:pPr>
              <w:jc w:val="center"/>
              <w:ind w:right="20"/>
              <w:spacing w:after="0"/>
              <w:rPr>
                <w:sz w:val="20"/>
                <w:szCs w:val="20"/>
                <w:color w:val="auto"/>
              </w:rPr>
            </w:pPr>
            <w:r>
              <w:rPr>
                <w:rFonts w:ascii="Arial" w:cs="Arial" w:eastAsia="Arial" w:hAnsi="Arial"/>
                <w:sz w:val="14"/>
                <w:szCs w:val="14"/>
                <w:color w:val="auto"/>
              </w:rPr>
              <w:t>$4,560,000</w:t>
            </w:r>
          </w:p>
        </w:tc>
        <w:tc>
          <w:tcPr>
            <w:tcW w:w="480" w:type="dxa"/>
            <w:vAlign w:val="bottom"/>
            <w:tcBorders>
              <w:bottom w:val="single" w:sz="8" w:color="auto"/>
            </w:tcBorders>
            <w:gridSpan w:val="3"/>
          </w:tcPr>
          <w:p>
            <w:pPr>
              <w:jc w:val="center"/>
              <w:ind w:left="208"/>
              <w:spacing w:after="0"/>
              <w:rPr>
                <w:sz w:val="20"/>
                <w:szCs w:val="20"/>
                <w:color w:val="auto"/>
              </w:rPr>
            </w:pPr>
            <w:r>
              <w:rPr>
                <w:rFonts w:ascii="Arial" w:cs="Arial" w:eastAsia="Arial" w:hAnsi="Arial"/>
                <w:sz w:val="14"/>
                <w:szCs w:val="14"/>
                <w:color w:val="auto"/>
              </w:rPr>
              <w:t>$0</w:t>
            </w:r>
          </w:p>
        </w:tc>
        <w:tc>
          <w:tcPr>
            <w:tcW w:w="200" w:type="dxa"/>
            <w:vAlign w:val="bottom"/>
            <w:tcBorders>
              <w:bottom w:val="single" w:sz="8" w:color="auto"/>
              <w:right w:val="single" w:sz="8" w:color="auto"/>
            </w:tcBorders>
          </w:tcPr>
          <w:p>
            <w:pPr>
              <w:spacing w:after="0"/>
              <w:rPr>
                <w:sz w:val="15"/>
                <w:szCs w:val="15"/>
                <w:color w:val="auto"/>
              </w:rPr>
            </w:pPr>
          </w:p>
        </w:tc>
        <w:tc>
          <w:tcPr>
            <w:tcW w:w="1040" w:type="dxa"/>
            <w:vAlign w:val="bottom"/>
            <w:tcBorders>
              <w:bottom w:val="single" w:sz="8" w:color="auto"/>
              <w:right w:val="single" w:sz="8" w:color="auto"/>
            </w:tcBorders>
            <w:gridSpan w:val="3"/>
          </w:tcPr>
          <w:p>
            <w:pPr>
              <w:jc w:val="right"/>
              <w:ind w:right="15"/>
              <w:spacing w:after="0"/>
              <w:rPr>
                <w:sz w:val="20"/>
                <w:szCs w:val="20"/>
                <w:color w:val="auto"/>
              </w:rPr>
            </w:pPr>
            <w:r>
              <w:rPr>
                <w:rFonts w:ascii="Arial" w:cs="Arial" w:eastAsia="Arial" w:hAnsi="Arial"/>
                <w:sz w:val="14"/>
                <w:szCs w:val="14"/>
                <w:color w:val="auto"/>
              </w:rPr>
              <w:t>$1,459,440</w:t>
            </w:r>
          </w:p>
        </w:tc>
        <w:tc>
          <w:tcPr>
            <w:tcW w:w="1160" w:type="dxa"/>
            <w:vAlign w:val="bottom"/>
            <w:tcBorders>
              <w:bottom w:val="single" w:sz="8" w:color="auto"/>
              <w:right w:val="single" w:sz="8" w:color="auto"/>
            </w:tcBorders>
            <w:gridSpan w:val="4"/>
          </w:tcPr>
          <w:p>
            <w:pPr>
              <w:jc w:val="right"/>
              <w:ind w:right="220"/>
              <w:spacing w:after="0"/>
              <w:rPr>
                <w:sz w:val="20"/>
                <w:szCs w:val="20"/>
                <w:color w:val="auto"/>
              </w:rPr>
            </w:pPr>
            <w:r>
              <w:rPr>
                <w:rFonts w:ascii="Arial" w:cs="Arial" w:eastAsia="Arial" w:hAnsi="Arial"/>
                <w:sz w:val="14"/>
                <w:szCs w:val="14"/>
                <w:color w:val="auto"/>
              </w:rPr>
              <w:t>$1,719,690</w:t>
            </w:r>
          </w:p>
        </w:tc>
        <w:tc>
          <w:tcPr>
            <w:tcW w:w="1020" w:type="dxa"/>
            <w:vAlign w:val="bottom"/>
            <w:tcBorders>
              <w:bottom w:val="single" w:sz="8" w:color="auto"/>
              <w:right w:val="single" w:sz="8" w:color="auto"/>
            </w:tcBorders>
            <w:gridSpan w:val="4"/>
          </w:tcPr>
          <w:p>
            <w:pPr>
              <w:jc w:val="right"/>
              <w:ind w:right="60"/>
              <w:spacing w:after="0"/>
              <w:rPr>
                <w:sz w:val="20"/>
                <w:szCs w:val="20"/>
                <w:color w:val="auto"/>
              </w:rPr>
            </w:pPr>
            <w:r>
              <w:rPr>
                <w:rFonts w:ascii="Arial" w:cs="Arial" w:eastAsia="Arial" w:hAnsi="Arial"/>
                <w:sz w:val="14"/>
                <w:szCs w:val="14"/>
                <w:color w:val="auto"/>
              </w:rPr>
              <w:t>$65,348</w:t>
            </w:r>
          </w:p>
        </w:tc>
        <w:tc>
          <w:tcPr>
            <w:tcW w:w="102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4"/>
                <w:szCs w:val="14"/>
                <w:color w:val="auto"/>
              </w:rPr>
              <w:t>$8,893,612</w:t>
            </w:r>
          </w:p>
        </w:tc>
        <w:tc>
          <w:tcPr>
            <w:tcW w:w="0" w:type="dxa"/>
            <w:vAlign w:val="bottom"/>
          </w:tcPr>
          <w:p>
            <w:pPr>
              <w:spacing w:after="0"/>
              <w:rPr>
                <w:sz w:val="1"/>
                <w:szCs w:val="1"/>
                <w:color w:val="auto"/>
              </w:rPr>
            </w:pPr>
          </w:p>
        </w:tc>
      </w:tr>
      <w:tr>
        <w:trPr>
          <w:trHeight w:val="143"/>
        </w:trPr>
        <w:tc>
          <w:tcPr>
            <w:tcW w:w="1380" w:type="dxa"/>
            <w:vAlign w:val="bottom"/>
            <w:tcBorders>
              <w:left w:val="single" w:sz="8" w:color="auto"/>
              <w:right w:val="single" w:sz="8" w:color="auto"/>
            </w:tcBorders>
            <w:gridSpan w:val="2"/>
          </w:tcPr>
          <w:p>
            <w:pPr>
              <w:ind w:left="40"/>
              <w:spacing w:after="0" w:line="143" w:lineRule="exact"/>
              <w:rPr>
                <w:sz w:val="20"/>
                <w:szCs w:val="20"/>
                <w:color w:val="auto"/>
              </w:rPr>
            </w:pPr>
            <w:r>
              <w:rPr>
                <w:rFonts w:ascii="Arial" w:cs="Arial" w:eastAsia="Arial" w:hAnsi="Arial"/>
                <w:sz w:val="13"/>
                <w:szCs w:val="13"/>
                <w:color w:val="auto"/>
              </w:rPr>
              <w:t>Executive Vice</w:t>
            </w:r>
          </w:p>
        </w:tc>
        <w:tc>
          <w:tcPr>
            <w:tcW w:w="500" w:type="dxa"/>
            <w:vAlign w:val="bottom"/>
            <w:tcBorders>
              <w:right w:val="single" w:sz="8" w:color="auto"/>
            </w:tcBorders>
            <w:gridSpan w:val="3"/>
            <w:vMerge w:val="restart"/>
          </w:tcPr>
          <w:p>
            <w:pPr>
              <w:jc w:val="center"/>
              <w:ind w:right="20"/>
              <w:spacing w:after="0"/>
              <w:rPr>
                <w:sz w:val="20"/>
                <w:szCs w:val="20"/>
                <w:color w:val="auto"/>
              </w:rPr>
            </w:pPr>
            <w:r>
              <w:rPr>
                <w:rFonts w:ascii="Arial" w:cs="Arial" w:eastAsia="Arial" w:hAnsi="Arial"/>
                <w:sz w:val="14"/>
                <w:szCs w:val="14"/>
                <w:color w:val="auto"/>
              </w:rPr>
              <w:t>2016</w:t>
            </w:r>
          </w:p>
        </w:tc>
        <w:tc>
          <w:tcPr>
            <w:tcW w:w="860" w:type="dxa"/>
            <w:vAlign w:val="bottom"/>
            <w:tcBorders>
              <w:right w:val="single" w:sz="8" w:color="auto"/>
            </w:tcBorders>
            <w:gridSpan w:val="5"/>
            <w:vMerge w:val="restart"/>
          </w:tcPr>
          <w:p>
            <w:pPr>
              <w:jc w:val="right"/>
              <w:ind w:right="60"/>
              <w:spacing w:after="0"/>
              <w:rPr>
                <w:sz w:val="20"/>
                <w:szCs w:val="20"/>
                <w:color w:val="auto"/>
              </w:rPr>
            </w:pPr>
            <w:r>
              <w:rPr>
                <w:rFonts w:ascii="Arial" w:cs="Arial" w:eastAsia="Arial" w:hAnsi="Arial"/>
                <w:sz w:val="14"/>
                <w:szCs w:val="14"/>
                <w:color w:val="auto"/>
              </w:rPr>
              <w:t>$1,067,805</w:t>
            </w:r>
          </w:p>
        </w:tc>
        <w:tc>
          <w:tcPr>
            <w:tcW w:w="320" w:type="dxa"/>
            <w:vAlign w:val="bottom"/>
            <w:gridSpan w:val="3"/>
            <w:vMerge w:val="restart"/>
          </w:tcPr>
          <w:p>
            <w:pPr>
              <w:jc w:val="center"/>
              <w:ind w:left="88"/>
              <w:spacing w:after="0"/>
              <w:rPr>
                <w:sz w:val="20"/>
                <w:szCs w:val="20"/>
                <w:color w:val="auto"/>
              </w:rPr>
            </w:pPr>
            <w:r>
              <w:rPr>
                <w:rFonts w:ascii="Arial" w:cs="Arial" w:eastAsia="Arial" w:hAnsi="Arial"/>
                <w:sz w:val="14"/>
                <w:szCs w:val="14"/>
                <w:color w:val="auto"/>
              </w:rPr>
              <w:t>$0</w:t>
            </w:r>
          </w:p>
        </w:tc>
        <w:tc>
          <w:tcPr>
            <w:tcW w:w="20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gridSpan w:val="5"/>
            <w:vMerge w:val="restart"/>
          </w:tcPr>
          <w:p>
            <w:pPr>
              <w:jc w:val="center"/>
              <w:ind w:right="20"/>
              <w:spacing w:after="0"/>
              <w:rPr>
                <w:sz w:val="20"/>
                <w:szCs w:val="20"/>
                <w:color w:val="auto"/>
              </w:rPr>
            </w:pPr>
            <w:r>
              <w:rPr>
                <w:rFonts w:ascii="Arial" w:cs="Arial" w:eastAsia="Arial" w:hAnsi="Arial"/>
                <w:sz w:val="14"/>
                <w:szCs w:val="14"/>
                <w:color w:val="auto"/>
              </w:rPr>
              <w:t>$3,800,000</w:t>
            </w:r>
          </w:p>
        </w:tc>
        <w:tc>
          <w:tcPr>
            <w:tcW w:w="480" w:type="dxa"/>
            <w:vAlign w:val="bottom"/>
            <w:gridSpan w:val="3"/>
            <w:vMerge w:val="restart"/>
          </w:tcPr>
          <w:p>
            <w:pPr>
              <w:jc w:val="center"/>
              <w:ind w:left="208"/>
              <w:spacing w:after="0"/>
              <w:rPr>
                <w:sz w:val="20"/>
                <w:szCs w:val="20"/>
                <w:color w:val="auto"/>
              </w:rPr>
            </w:pPr>
            <w:r>
              <w:rPr>
                <w:rFonts w:ascii="Arial" w:cs="Arial" w:eastAsia="Arial" w:hAnsi="Arial"/>
                <w:sz w:val="14"/>
                <w:szCs w:val="14"/>
                <w:color w:val="auto"/>
              </w:rPr>
              <w:t>$0</w:t>
            </w:r>
          </w:p>
        </w:tc>
        <w:tc>
          <w:tcPr>
            <w:tcW w:w="20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gridSpan w:val="3"/>
            <w:vMerge w:val="restart"/>
          </w:tcPr>
          <w:p>
            <w:pPr>
              <w:jc w:val="right"/>
              <w:ind w:right="15"/>
              <w:spacing w:after="0"/>
              <w:rPr>
                <w:sz w:val="20"/>
                <w:szCs w:val="20"/>
                <w:color w:val="auto"/>
              </w:rPr>
            </w:pPr>
            <w:r>
              <w:rPr>
                <w:rFonts w:ascii="Arial" w:cs="Arial" w:eastAsia="Arial" w:hAnsi="Arial"/>
                <w:sz w:val="14"/>
                <w:szCs w:val="14"/>
                <w:color w:val="auto"/>
              </w:rPr>
              <w:t>$1,249,332</w:t>
            </w:r>
          </w:p>
        </w:tc>
        <w:tc>
          <w:tcPr>
            <w:tcW w:w="1160" w:type="dxa"/>
            <w:vAlign w:val="bottom"/>
            <w:tcBorders>
              <w:right w:val="single" w:sz="8" w:color="auto"/>
            </w:tcBorders>
            <w:gridSpan w:val="4"/>
            <w:vMerge w:val="restart"/>
          </w:tcPr>
          <w:p>
            <w:pPr>
              <w:jc w:val="right"/>
              <w:ind w:right="220"/>
              <w:spacing w:after="0"/>
              <w:rPr>
                <w:sz w:val="20"/>
                <w:szCs w:val="20"/>
                <w:color w:val="auto"/>
              </w:rPr>
            </w:pPr>
            <w:r>
              <w:rPr>
                <w:rFonts w:ascii="Arial" w:cs="Arial" w:eastAsia="Arial" w:hAnsi="Arial"/>
                <w:sz w:val="14"/>
                <w:szCs w:val="14"/>
                <w:color w:val="auto"/>
              </w:rPr>
              <w:t>$1,739,429</w:t>
            </w:r>
          </w:p>
        </w:tc>
        <w:tc>
          <w:tcPr>
            <w:tcW w:w="1020" w:type="dxa"/>
            <w:vAlign w:val="bottom"/>
            <w:tcBorders>
              <w:right w:val="single" w:sz="8" w:color="auto"/>
            </w:tcBorders>
            <w:gridSpan w:val="4"/>
            <w:vMerge w:val="restart"/>
          </w:tcPr>
          <w:p>
            <w:pPr>
              <w:jc w:val="right"/>
              <w:ind w:right="60"/>
              <w:spacing w:after="0"/>
              <w:rPr>
                <w:sz w:val="20"/>
                <w:szCs w:val="20"/>
                <w:color w:val="auto"/>
              </w:rPr>
            </w:pPr>
            <w:r>
              <w:rPr>
                <w:rFonts w:ascii="Arial" w:cs="Arial" w:eastAsia="Arial" w:hAnsi="Arial"/>
                <w:sz w:val="14"/>
                <w:szCs w:val="14"/>
                <w:color w:val="auto"/>
              </w:rPr>
              <w:t>$64,068</w:t>
            </w:r>
          </w:p>
        </w:tc>
        <w:tc>
          <w:tcPr>
            <w:tcW w:w="1020" w:type="dxa"/>
            <w:vAlign w:val="bottom"/>
            <w:tcBorders>
              <w:right w:val="single" w:sz="8" w:color="auto"/>
            </w:tcBorders>
            <w:gridSpan w:val="2"/>
            <w:vMerge w:val="restart"/>
          </w:tcPr>
          <w:p>
            <w:pPr>
              <w:jc w:val="right"/>
              <w:spacing w:after="0"/>
              <w:rPr>
                <w:sz w:val="20"/>
                <w:szCs w:val="20"/>
                <w:color w:val="auto"/>
              </w:rPr>
            </w:pPr>
            <w:r>
              <w:rPr>
                <w:rFonts w:ascii="Arial" w:cs="Arial" w:eastAsia="Arial" w:hAnsi="Arial"/>
                <w:sz w:val="14"/>
                <w:szCs w:val="14"/>
                <w:color w:val="auto"/>
              </w:rPr>
              <w:t>$7,920,634</w:t>
            </w:r>
          </w:p>
        </w:tc>
        <w:tc>
          <w:tcPr>
            <w:tcW w:w="0" w:type="dxa"/>
            <w:vAlign w:val="bottom"/>
          </w:tcPr>
          <w:p>
            <w:pPr>
              <w:spacing w:after="0"/>
              <w:rPr>
                <w:sz w:val="1"/>
                <w:szCs w:val="1"/>
                <w:color w:val="auto"/>
              </w:rPr>
            </w:pPr>
          </w:p>
        </w:tc>
      </w:tr>
      <w:tr>
        <w:trPr>
          <w:trHeight w:val="135"/>
        </w:trPr>
        <w:tc>
          <w:tcPr>
            <w:tcW w:w="1380" w:type="dxa"/>
            <w:vAlign w:val="bottom"/>
            <w:tcBorders>
              <w:left w:val="single" w:sz="8" w:color="auto"/>
              <w:right w:val="single" w:sz="8" w:color="auto"/>
            </w:tcBorders>
            <w:gridSpan w:val="2"/>
          </w:tcPr>
          <w:p>
            <w:pPr>
              <w:ind w:left="40"/>
              <w:spacing w:after="0" w:line="135" w:lineRule="exact"/>
              <w:rPr>
                <w:sz w:val="20"/>
                <w:szCs w:val="20"/>
                <w:color w:val="auto"/>
              </w:rPr>
            </w:pPr>
            <w:r>
              <w:rPr>
                <w:rFonts w:ascii="Arial" w:cs="Arial" w:eastAsia="Arial" w:hAnsi="Arial"/>
                <w:sz w:val="13"/>
                <w:szCs w:val="13"/>
                <w:color w:val="auto"/>
              </w:rPr>
              <w:t>President,</w:t>
            </w:r>
          </w:p>
        </w:tc>
        <w:tc>
          <w:tcPr>
            <w:tcW w:w="500" w:type="dxa"/>
            <w:vAlign w:val="bottom"/>
            <w:tcBorders>
              <w:bottom w:val="single" w:sz="8" w:color="auto"/>
              <w:right w:val="single" w:sz="8" w:color="auto"/>
            </w:tcBorders>
            <w:gridSpan w:val="3"/>
            <w:vMerge w:val="continue"/>
          </w:tcPr>
          <w:p>
            <w:pPr>
              <w:spacing w:after="0"/>
              <w:rPr>
                <w:sz w:val="11"/>
                <w:szCs w:val="11"/>
                <w:color w:val="auto"/>
              </w:rPr>
            </w:pPr>
          </w:p>
        </w:tc>
        <w:tc>
          <w:tcPr>
            <w:tcW w:w="860" w:type="dxa"/>
            <w:vAlign w:val="bottom"/>
            <w:tcBorders>
              <w:bottom w:val="single" w:sz="8" w:color="auto"/>
              <w:right w:val="single" w:sz="8" w:color="auto"/>
            </w:tcBorders>
            <w:gridSpan w:val="5"/>
            <w:vMerge w:val="continue"/>
          </w:tcPr>
          <w:p>
            <w:pPr>
              <w:spacing w:after="0"/>
              <w:rPr>
                <w:sz w:val="11"/>
                <w:szCs w:val="11"/>
                <w:color w:val="auto"/>
              </w:rPr>
            </w:pPr>
          </w:p>
        </w:tc>
        <w:tc>
          <w:tcPr>
            <w:tcW w:w="320" w:type="dxa"/>
            <w:vAlign w:val="bottom"/>
            <w:tcBorders>
              <w:bottom w:val="single" w:sz="8" w:color="auto"/>
            </w:tcBorders>
            <w:gridSpan w:val="3"/>
            <w:vMerge w:val="continue"/>
          </w:tcPr>
          <w:p>
            <w:pPr>
              <w:spacing w:after="0"/>
              <w:rPr>
                <w:sz w:val="11"/>
                <w:szCs w:val="11"/>
                <w:color w:val="auto"/>
              </w:rPr>
            </w:pPr>
          </w:p>
        </w:tc>
        <w:tc>
          <w:tcPr>
            <w:tcW w:w="200" w:type="dxa"/>
            <w:vAlign w:val="bottom"/>
            <w:tcBorders>
              <w:bottom w:val="single" w:sz="8" w:color="auto"/>
              <w:right w:val="single" w:sz="8" w:color="auto"/>
            </w:tcBorders>
          </w:tcPr>
          <w:p>
            <w:pPr>
              <w:spacing w:after="0"/>
              <w:rPr>
                <w:sz w:val="11"/>
                <w:szCs w:val="11"/>
                <w:color w:val="auto"/>
              </w:rPr>
            </w:pPr>
          </w:p>
        </w:tc>
        <w:tc>
          <w:tcPr>
            <w:tcW w:w="980" w:type="dxa"/>
            <w:vAlign w:val="bottom"/>
            <w:tcBorders>
              <w:bottom w:val="single" w:sz="8" w:color="auto"/>
              <w:right w:val="single" w:sz="8" w:color="auto"/>
            </w:tcBorders>
            <w:gridSpan w:val="5"/>
            <w:vMerge w:val="continue"/>
          </w:tcPr>
          <w:p>
            <w:pPr>
              <w:spacing w:after="0"/>
              <w:rPr>
                <w:sz w:val="11"/>
                <w:szCs w:val="11"/>
                <w:color w:val="auto"/>
              </w:rPr>
            </w:pPr>
          </w:p>
        </w:tc>
        <w:tc>
          <w:tcPr>
            <w:tcW w:w="480" w:type="dxa"/>
            <w:vAlign w:val="bottom"/>
            <w:tcBorders>
              <w:bottom w:val="single" w:sz="8" w:color="auto"/>
            </w:tcBorders>
            <w:gridSpan w:val="3"/>
            <w:vMerge w:val="continue"/>
          </w:tcPr>
          <w:p>
            <w:pPr>
              <w:spacing w:after="0"/>
              <w:rPr>
                <w:sz w:val="11"/>
                <w:szCs w:val="11"/>
                <w:color w:val="auto"/>
              </w:rPr>
            </w:pPr>
          </w:p>
        </w:tc>
        <w:tc>
          <w:tcPr>
            <w:tcW w:w="200" w:type="dxa"/>
            <w:vAlign w:val="bottom"/>
            <w:tcBorders>
              <w:bottom w:val="single" w:sz="8" w:color="auto"/>
              <w:right w:val="single" w:sz="8" w:color="auto"/>
            </w:tcBorders>
          </w:tcPr>
          <w:p>
            <w:pPr>
              <w:spacing w:after="0"/>
              <w:rPr>
                <w:sz w:val="11"/>
                <w:szCs w:val="11"/>
                <w:color w:val="auto"/>
              </w:rPr>
            </w:pPr>
          </w:p>
        </w:tc>
        <w:tc>
          <w:tcPr>
            <w:tcW w:w="1040" w:type="dxa"/>
            <w:vAlign w:val="bottom"/>
            <w:tcBorders>
              <w:bottom w:val="single" w:sz="8" w:color="auto"/>
              <w:right w:val="single" w:sz="8" w:color="auto"/>
            </w:tcBorders>
            <w:gridSpan w:val="3"/>
            <w:vMerge w:val="continue"/>
          </w:tcPr>
          <w:p>
            <w:pPr>
              <w:spacing w:after="0"/>
              <w:rPr>
                <w:sz w:val="11"/>
                <w:szCs w:val="11"/>
                <w:color w:val="auto"/>
              </w:rPr>
            </w:pPr>
          </w:p>
        </w:tc>
        <w:tc>
          <w:tcPr>
            <w:tcW w:w="1160" w:type="dxa"/>
            <w:vAlign w:val="bottom"/>
            <w:tcBorders>
              <w:bottom w:val="single" w:sz="8" w:color="auto"/>
              <w:right w:val="single" w:sz="8" w:color="auto"/>
            </w:tcBorders>
            <w:gridSpan w:val="4"/>
            <w:vMerge w:val="continue"/>
          </w:tcPr>
          <w:p>
            <w:pPr>
              <w:spacing w:after="0"/>
              <w:rPr>
                <w:sz w:val="11"/>
                <w:szCs w:val="11"/>
                <w:color w:val="auto"/>
              </w:rPr>
            </w:pPr>
          </w:p>
        </w:tc>
        <w:tc>
          <w:tcPr>
            <w:tcW w:w="1020" w:type="dxa"/>
            <w:vAlign w:val="bottom"/>
            <w:tcBorders>
              <w:bottom w:val="single" w:sz="8" w:color="auto"/>
              <w:right w:val="single" w:sz="8" w:color="auto"/>
            </w:tcBorders>
            <w:gridSpan w:val="4"/>
            <w:vMerge w:val="continue"/>
          </w:tcPr>
          <w:p>
            <w:pPr>
              <w:spacing w:after="0"/>
              <w:rPr>
                <w:sz w:val="11"/>
                <w:szCs w:val="11"/>
                <w:color w:val="auto"/>
              </w:rPr>
            </w:pPr>
          </w:p>
        </w:tc>
        <w:tc>
          <w:tcPr>
            <w:tcW w:w="1020" w:type="dxa"/>
            <w:vAlign w:val="bottom"/>
            <w:tcBorders>
              <w:bottom w:val="single" w:sz="8" w:color="auto"/>
              <w:right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380" w:type="dxa"/>
            <w:vAlign w:val="bottom"/>
            <w:tcBorders>
              <w:left w:val="single" w:sz="8" w:color="auto"/>
              <w:right w:val="single" w:sz="8" w:color="auto"/>
            </w:tcBorders>
            <w:gridSpan w:val="2"/>
          </w:tcPr>
          <w:p>
            <w:pPr>
              <w:ind w:left="40"/>
              <w:spacing w:after="0" w:line="115" w:lineRule="exact"/>
              <w:rPr>
                <w:sz w:val="20"/>
                <w:szCs w:val="20"/>
                <w:color w:val="auto"/>
              </w:rPr>
            </w:pPr>
            <w:r>
              <w:rPr>
                <w:rFonts w:ascii="Arial" w:cs="Arial" w:eastAsia="Arial" w:hAnsi="Arial"/>
                <w:sz w:val="13"/>
                <w:szCs w:val="13"/>
                <w:color w:val="auto"/>
              </w:rPr>
              <w:t>Global Services and</w:t>
            </w:r>
          </w:p>
        </w:tc>
        <w:tc>
          <w:tcPr>
            <w:tcW w:w="500" w:type="dxa"/>
            <w:vAlign w:val="bottom"/>
            <w:tcBorders>
              <w:right w:val="single" w:sz="8" w:color="auto"/>
            </w:tcBorders>
            <w:gridSpan w:val="3"/>
            <w:vMerge w:val="restart"/>
          </w:tcPr>
          <w:p>
            <w:pPr>
              <w:jc w:val="center"/>
              <w:ind w:right="20"/>
              <w:spacing w:after="0"/>
              <w:rPr>
                <w:sz w:val="20"/>
                <w:szCs w:val="20"/>
                <w:color w:val="auto"/>
              </w:rPr>
            </w:pPr>
            <w:r>
              <w:rPr>
                <w:rFonts w:ascii="Arial" w:cs="Arial" w:eastAsia="Arial" w:hAnsi="Arial"/>
                <w:sz w:val="14"/>
                <w:szCs w:val="14"/>
                <w:color w:val="auto"/>
              </w:rPr>
              <w:t>2015</w:t>
            </w:r>
          </w:p>
        </w:tc>
        <w:tc>
          <w:tcPr>
            <w:tcW w:w="860" w:type="dxa"/>
            <w:vAlign w:val="bottom"/>
            <w:tcBorders>
              <w:right w:val="single" w:sz="8" w:color="auto"/>
            </w:tcBorders>
            <w:gridSpan w:val="5"/>
            <w:vMerge w:val="restart"/>
          </w:tcPr>
          <w:p>
            <w:pPr>
              <w:jc w:val="right"/>
              <w:ind w:right="60"/>
              <w:spacing w:after="0"/>
              <w:rPr>
                <w:sz w:val="20"/>
                <w:szCs w:val="20"/>
                <w:color w:val="auto"/>
              </w:rPr>
            </w:pPr>
            <w:r>
              <w:rPr>
                <w:rFonts w:ascii="Arial" w:cs="Arial" w:eastAsia="Arial" w:hAnsi="Arial"/>
                <w:sz w:val="14"/>
                <w:szCs w:val="14"/>
                <w:color w:val="auto"/>
              </w:rPr>
              <w:t>$1,045,200</w:t>
            </w:r>
          </w:p>
        </w:tc>
        <w:tc>
          <w:tcPr>
            <w:tcW w:w="320" w:type="dxa"/>
            <w:vAlign w:val="bottom"/>
            <w:gridSpan w:val="3"/>
            <w:vMerge w:val="restart"/>
          </w:tcPr>
          <w:p>
            <w:pPr>
              <w:jc w:val="center"/>
              <w:ind w:left="88"/>
              <w:spacing w:after="0"/>
              <w:rPr>
                <w:sz w:val="20"/>
                <w:szCs w:val="20"/>
                <w:color w:val="auto"/>
              </w:rPr>
            </w:pPr>
            <w:r>
              <w:rPr>
                <w:rFonts w:ascii="Arial" w:cs="Arial" w:eastAsia="Arial" w:hAnsi="Arial"/>
                <w:sz w:val="14"/>
                <w:szCs w:val="14"/>
                <w:color w:val="auto"/>
              </w:rPr>
              <w:t>$0</w:t>
            </w:r>
          </w:p>
        </w:tc>
        <w:tc>
          <w:tcPr>
            <w:tcW w:w="200" w:type="dxa"/>
            <w:vAlign w:val="bottom"/>
            <w:tcBorders>
              <w:right w:val="single" w:sz="8" w:color="auto"/>
            </w:tcBorders>
          </w:tcPr>
          <w:p>
            <w:pPr>
              <w:spacing w:after="0"/>
              <w:rPr>
                <w:sz w:val="10"/>
                <w:szCs w:val="10"/>
                <w:color w:val="auto"/>
              </w:rPr>
            </w:pPr>
          </w:p>
        </w:tc>
        <w:tc>
          <w:tcPr>
            <w:tcW w:w="980" w:type="dxa"/>
            <w:vAlign w:val="bottom"/>
            <w:tcBorders>
              <w:right w:val="single" w:sz="8" w:color="auto"/>
            </w:tcBorders>
            <w:gridSpan w:val="5"/>
            <w:vMerge w:val="restart"/>
          </w:tcPr>
          <w:p>
            <w:pPr>
              <w:jc w:val="center"/>
              <w:ind w:right="20"/>
              <w:spacing w:after="0"/>
              <w:rPr>
                <w:sz w:val="20"/>
                <w:szCs w:val="20"/>
                <w:color w:val="auto"/>
              </w:rPr>
            </w:pPr>
            <w:r>
              <w:rPr>
                <w:rFonts w:ascii="Arial" w:cs="Arial" w:eastAsia="Arial" w:hAnsi="Arial"/>
                <w:sz w:val="14"/>
                <w:szCs w:val="14"/>
                <w:color w:val="auto"/>
              </w:rPr>
              <w:t>$4,313,000</w:t>
            </w:r>
          </w:p>
        </w:tc>
        <w:tc>
          <w:tcPr>
            <w:tcW w:w="480" w:type="dxa"/>
            <w:vAlign w:val="bottom"/>
            <w:gridSpan w:val="3"/>
            <w:vMerge w:val="restart"/>
          </w:tcPr>
          <w:p>
            <w:pPr>
              <w:jc w:val="center"/>
              <w:ind w:left="208"/>
              <w:spacing w:after="0"/>
              <w:rPr>
                <w:sz w:val="20"/>
                <w:szCs w:val="20"/>
                <w:color w:val="auto"/>
              </w:rPr>
            </w:pPr>
            <w:r>
              <w:rPr>
                <w:rFonts w:ascii="Arial" w:cs="Arial" w:eastAsia="Arial" w:hAnsi="Arial"/>
                <w:sz w:val="14"/>
                <w:szCs w:val="14"/>
                <w:color w:val="auto"/>
              </w:rPr>
              <w:t>$0</w:t>
            </w:r>
          </w:p>
        </w:tc>
        <w:tc>
          <w:tcPr>
            <w:tcW w:w="200" w:type="dxa"/>
            <w:vAlign w:val="bottom"/>
            <w:tcBorders>
              <w:right w:val="single" w:sz="8" w:color="auto"/>
            </w:tcBorders>
          </w:tcPr>
          <w:p>
            <w:pPr>
              <w:spacing w:after="0"/>
              <w:rPr>
                <w:sz w:val="10"/>
                <w:szCs w:val="10"/>
                <w:color w:val="auto"/>
              </w:rPr>
            </w:pPr>
          </w:p>
        </w:tc>
        <w:tc>
          <w:tcPr>
            <w:tcW w:w="1040" w:type="dxa"/>
            <w:vAlign w:val="bottom"/>
            <w:tcBorders>
              <w:right w:val="single" w:sz="8" w:color="auto"/>
            </w:tcBorders>
            <w:gridSpan w:val="3"/>
            <w:vMerge w:val="restart"/>
          </w:tcPr>
          <w:p>
            <w:pPr>
              <w:jc w:val="right"/>
              <w:ind w:right="15"/>
              <w:spacing w:after="0"/>
              <w:rPr>
                <w:sz w:val="20"/>
                <w:szCs w:val="20"/>
                <w:color w:val="auto"/>
              </w:rPr>
            </w:pPr>
            <w:r>
              <w:rPr>
                <w:rFonts w:ascii="Arial" w:cs="Arial" w:eastAsia="Arial" w:hAnsi="Arial"/>
                <w:sz w:val="14"/>
                <w:szCs w:val="14"/>
                <w:color w:val="auto"/>
              </w:rPr>
              <w:t>$1,514,495</w:t>
            </w:r>
          </w:p>
        </w:tc>
        <w:tc>
          <w:tcPr>
            <w:tcW w:w="1160" w:type="dxa"/>
            <w:vAlign w:val="bottom"/>
            <w:tcBorders>
              <w:right w:val="single" w:sz="8" w:color="auto"/>
            </w:tcBorders>
            <w:gridSpan w:val="4"/>
            <w:vMerge w:val="restart"/>
          </w:tcPr>
          <w:p>
            <w:pPr>
              <w:jc w:val="right"/>
              <w:ind w:right="100"/>
              <w:spacing w:after="0"/>
              <w:rPr>
                <w:sz w:val="20"/>
                <w:szCs w:val="20"/>
                <w:color w:val="auto"/>
              </w:rPr>
            </w:pPr>
            <w:r>
              <w:rPr>
                <w:rFonts w:ascii="Arial" w:cs="Arial" w:eastAsia="Arial" w:hAnsi="Arial"/>
                <w:sz w:val="14"/>
                <w:szCs w:val="14"/>
                <w:color w:val="auto"/>
              </w:rPr>
              <w:t xml:space="preserve">$0 </w:t>
            </w:r>
            <w:r>
              <w:rPr>
                <w:rFonts w:ascii="Arial" w:cs="Arial" w:eastAsia="Arial" w:hAnsi="Arial"/>
                <w:sz w:val="17"/>
                <w:szCs w:val="17"/>
                <w:color w:val="auto"/>
                <w:vertAlign w:val="superscript"/>
              </w:rPr>
              <w:t>5</w:t>
            </w:r>
          </w:p>
        </w:tc>
        <w:tc>
          <w:tcPr>
            <w:tcW w:w="1020" w:type="dxa"/>
            <w:vAlign w:val="bottom"/>
            <w:tcBorders>
              <w:right w:val="single" w:sz="8" w:color="auto"/>
            </w:tcBorders>
            <w:gridSpan w:val="4"/>
            <w:vMerge w:val="restart"/>
          </w:tcPr>
          <w:p>
            <w:pPr>
              <w:jc w:val="right"/>
              <w:ind w:right="60"/>
              <w:spacing w:after="0"/>
              <w:rPr>
                <w:sz w:val="20"/>
                <w:szCs w:val="20"/>
                <w:color w:val="auto"/>
              </w:rPr>
            </w:pPr>
            <w:r>
              <w:rPr>
                <w:rFonts w:ascii="Arial" w:cs="Arial" w:eastAsia="Arial" w:hAnsi="Arial"/>
                <w:sz w:val="14"/>
                <w:szCs w:val="14"/>
                <w:color w:val="auto"/>
              </w:rPr>
              <w:t>$62,712</w:t>
            </w:r>
          </w:p>
        </w:tc>
        <w:tc>
          <w:tcPr>
            <w:tcW w:w="1020" w:type="dxa"/>
            <w:vAlign w:val="bottom"/>
            <w:tcBorders>
              <w:right w:val="single" w:sz="8" w:color="auto"/>
            </w:tcBorders>
            <w:gridSpan w:val="2"/>
            <w:vMerge w:val="restart"/>
          </w:tcPr>
          <w:p>
            <w:pPr>
              <w:jc w:val="right"/>
              <w:spacing w:after="0"/>
              <w:rPr>
                <w:sz w:val="20"/>
                <w:szCs w:val="20"/>
                <w:color w:val="auto"/>
              </w:rPr>
            </w:pPr>
            <w:r>
              <w:rPr>
                <w:rFonts w:ascii="Arial" w:cs="Arial" w:eastAsia="Arial" w:hAnsi="Arial"/>
                <w:sz w:val="14"/>
                <w:szCs w:val="14"/>
                <w:color w:val="auto"/>
              </w:rPr>
              <w:t>$6,935,407</w:t>
            </w:r>
          </w:p>
        </w:tc>
        <w:tc>
          <w:tcPr>
            <w:tcW w:w="0" w:type="dxa"/>
            <w:vAlign w:val="bottom"/>
          </w:tcPr>
          <w:p>
            <w:pPr>
              <w:spacing w:after="0"/>
              <w:rPr>
                <w:sz w:val="1"/>
                <w:szCs w:val="1"/>
                <w:color w:val="auto"/>
              </w:rPr>
            </w:pPr>
          </w:p>
        </w:tc>
      </w:tr>
      <w:tr>
        <w:trPr>
          <w:trHeight w:val="168"/>
        </w:trPr>
        <w:tc>
          <w:tcPr>
            <w:tcW w:w="138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3"/>
                <w:szCs w:val="13"/>
                <w:color w:val="auto"/>
              </w:rPr>
              <w:t>Chief Financial Officer</w:t>
            </w:r>
          </w:p>
        </w:tc>
        <w:tc>
          <w:tcPr>
            <w:tcW w:w="500" w:type="dxa"/>
            <w:vAlign w:val="bottom"/>
            <w:tcBorders>
              <w:bottom w:val="single" w:sz="8" w:color="auto"/>
              <w:right w:val="single" w:sz="8" w:color="auto"/>
            </w:tcBorders>
            <w:gridSpan w:val="3"/>
            <w:vMerge w:val="continue"/>
          </w:tcPr>
          <w:p>
            <w:pPr>
              <w:spacing w:after="0"/>
              <w:rPr>
                <w:sz w:val="14"/>
                <w:szCs w:val="14"/>
                <w:color w:val="auto"/>
              </w:rPr>
            </w:pPr>
          </w:p>
        </w:tc>
        <w:tc>
          <w:tcPr>
            <w:tcW w:w="860" w:type="dxa"/>
            <w:vAlign w:val="bottom"/>
            <w:tcBorders>
              <w:bottom w:val="single" w:sz="8" w:color="auto"/>
              <w:right w:val="single" w:sz="8" w:color="auto"/>
            </w:tcBorders>
            <w:gridSpan w:val="5"/>
            <w:vMerge w:val="continue"/>
          </w:tcPr>
          <w:p>
            <w:pPr>
              <w:spacing w:after="0"/>
              <w:rPr>
                <w:sz w:val="14"/>
                <w:szCs w:val="14"/>
                <w:color w:val="auto"/>
              </w:rPr>
            </w:pPr>
          </w:p>
        </w:tc>
        <w:tc>
          <w:tcPr>
            <w:tcW w:w="320" w:type="dxa"/>
            <w:vAlign w:val="bottom"/>
            <w:tcBorders>
              <w:bottom w:val="single" w:sz="8" w:color="auto"/>
            </w:tcBorders>
            <w:gridSpan w:val="3"/>
            <w:vMerge w:val="continue"/>
          </w:tcPr>
          <w:p>
            <w:pPr>
              <w:spacing w:after="0"/>
              <w:rPr>
                <w:sz w:val="14"/>
                <w:szCs w:val="14"/>
                <w:color w:val="auto"/>
              </w:rPr>
            </w:pPr>
          </w:p>
        </w:tc>
        <w:tc>
          <w:tcPr>
            <w:tcW w:w="200" w:type="dxa"/>
            <w:vAlign w:val="bottom"/>
            <w:tcBorders>
              <w:bottom w:val="single" w:sz="8" w:color="auto"/>
              <w:right w:val="single" w:sz="8" w:color="auto"/>
            </w:tcBorders>
          </w:tcPr>
          <w:p>
            <w:pPr>
              <w:spacing w:after="0"/>
              <w:rPr>
                <w:sz w:val="14"/>
                <w:szCs w:val="14"/>
                <w:color w:val="auto"/>
              </w:rPr>
            </w:pPr>
          </w:p>
        </w:tc>
        <w:tc>
          <w:tcPr>
            <w:tcW w:w="980" w:type="dxa"/>
            <w:vAlign w:val="bottom"/>
            <w:tcBorders>
              <w:bottom w:val="single" w:sz="8" w:color="auto"/>
              <w:right w:val="single" w:sz="8" w:color="auto"/>
            </w:tcBorders>
            <w:gridSpan w:val="5"/>
            <w:vMerge w:val="continue"/>
          </w:tcPr>
          <w:p>
            <w:pPr>
              <w:spacing w:after="0"/>
              <w:rPr>
                <w:sz w:val="14"/>
                <w:szCs w:val="14"/>
                <w:color w:val="auto"/>
              </w:rPr>
            </w:pPr>
          </w:p>
        </w:tc>
        <w:tc>
          <w:tcPr>
            <w:tcW w:w="480" w:type="dxa"/>
            <w:vAlign w:val="bottom"/>
            <w:tcBorders>
              <w:bottom w:val="single" w:sz="8" w:color="auto"/>
            </w:tcBorders>
            <w:gridSpan w:val="3"/>
            <w:vMerge w:val="continue"/>
          </w:tcPr>
          <w:p>
            <w:pPr>
              <w:spacing w:after="0"/>
              <w:rPr>
                <w:sz w:val="14"/>
                <w:szCs w:val="14"/>
                <w:color w:val="auto"/>
              </w:rPr>
            </w:pPr>
          </w:p>
        </w:tc>
        <w:tc>
          <w:tcPr>
            <w:tcW w:w="200" w:type="dxa"/>
            <w:vAlign w:val="bottom"/>
            <w:tcBorders>
              <w:bottom w:val="single" w:sz="8" w:color="auto"/>
              <w:right w:val="single" w:sz="8" w:color="auto"/>
            </w:tcBorders>
          </w:tcPr>
          <w:p>
            <w:pPr>
              <w:spacing w:after="0"/>
              <w:rPr>
                <w:sz w:val="14"/>
                <w:szCs w:val="14"/>
                <w:color w:val="auto"/>
              </w:rPr>
            </w:pPr>
          </w:p>
        </w:tc>
        <w:tc>
          <w:tcPr>
            <w:tcW w:w="1040" w:type="dxa"/>
            <w:vAlign w:val="bottom"/>
            <w:tcBorders>
              <w:bottom w:val="single" w:sz="8" w:color="auto"/>
              <w:right w:val="single" w:sz="8" w:color="auto"/>
            </w:tcBorders>
            <w:gridSpan w:val="3"/>
            <w:vMerge w:val="continue"/>
          </w:tcPr>
          <w:p>
            <w:pPr>
              <w:spacing w:after="0"/>
              <w:rPr>
                <w:sz w:val="14"/>
                <w:szCs w:val="14"/>
                <w:color w:val="auto"/>
              </w:rPr>
            </w:pPr>
          </w:p>
        </w:tc>
        <w:tc>
          <w:tcPr>
            <w:tcW w:w="1160" w:type="dxa"/>
            <w:vAlign w:val="bottom"/>
            <w:tcBorders>
              <w:bottom w:val="single" w:sz="8" w:color="auto"/>
              <w:right w:val="single" w:sz="8" w:color="auto"/>
            </w:tcBorders>
            <w:gridSpan w:val="4"/>
            <w:vMerge w:val="continue"/>
          </w:tcPr>
          <w:p>
            <w:pPr>
              <w:spacing w:after="0"/>
              <w:rPr>
                <w:sz w:val="14"/>
                <w:szCs w:val="14"/>
                <w:color w:val="auto"/>
              </w:rPr>
            </w:pPr>
          </w:p>
        </w:tc>
        <w:tc>
          <w:tcPr>
            <w:tcW w:w="1020" w:type="dxa"/>
            <w:vAlign w:val="bottom"/>
            <w:tcBorders>
              <w:bottom w:val="single" w:sz="8" w:color="auto"/>
              <w:right w:val="single" w:sz="8" w:color="auto"/>
            </w:tcBorders>
            <w:gridSpan w:val="4"/>
            <w:vMerge w:val="continue"/>
          </w:tcPr>
          <w:p>
            <w:pPr>
              <w:spacing w:after="0"/>
              <w:rPr>
                <w:sz w:val="14"/>
                <w:szCs w:val="14"/>
                <w:color w:val="auto"/>
              </w:rPr>
            </w:pPr>
          </w:p>
        </w:tc>
        <w:tc>
          <w:tcPr>
            <w:tcW w:w="1020" w:type="dxa"/>
            <w:vAlign w:val="bottom"/>
            <w:tcBorders>
              <w:bottom w:val="single" w:sz="8" w:color="auto"/>
              <w:right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138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Jan M. Lundberg,</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138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Ph.D.</w:t>
            </w:r>
          </w:p>
        </w:tc>
        <w:tc>
          <w:tcPr>
            <w:tcW w:w="500" w:type="dxa"/>
            <w:vAlign w:val="bottom"/>
            <w:tcBorders>
              <w:bottom w:val="single" w:sz="8" w:color="auto"/>
              <w:right w:val="single" w:sz="8" w:color="auto"/>
            </w:tcBorders>
            <w:gridSpan w:val="3"/>
          </w:tcPr>
          <w:p>
            <w:pPr>
              <w:jc w:val="center"/>
              <w:ind w:right="20"/>
              <w:spacing w:after="0"/>
              <w:rPr>
                <w:sz w:val="20"/>
                <w:szCs w:val="20"/>
                <w:color w:val="auto"/>
              </w:rPr>
            </w:pPr>
            <w:r>
              <w:rPr>
                <w:rFonts w:ascii="Arial" w:cs="Arial" w:eastAsia="Arial" w:hAnsi="Arial"/>
                <w:sz w:val="14"/>
                <w:szCs w:val="14"/>
                <w:color w:val="auto"/>
              </w:rPr>
              <w:t>2017</w:t>
            </w:r>
          </w:p>
        </w:tc>
        <w:tc>
          <w:tcPr>
            <w:tcW w:w="860" w:type="dxa"/>
            <w:vAlign w:val="bottom"/>
            <w:tcBorders>
              <w:bottom w:val="single" w:sz="8" w:color="auto"/>
              <w:right w:val="single" w:sz="8" w:color="auto"/>
            </w:tcBorders>
            <w:gridSpan w:val="5"/>
          </w:tcPr>
          <w:p>
            <w:pPr>
              <w:jc w:val="right"/>
              <w:ind w:right="60"/>
              <w:spacing w:after="0"/>
              <w:rPr>
                <w:sz w:val="20"/>
                <w:szCs w:val="20"/>
                <w:color w:val="auto"/>
              </w:rPr>
            </w:pPr>
            <w:r>
              <w:rPr>
                <w:rFonts w:ascii="Arial" w:cs="Arial" w:eastAsia="Arial" w:hAnsi="Arial"/>
                <w:sz w:val="14"/>
                <w:szCs w:val="14"/>
                <w:color w:val="auto"/>
              </w:rPr>
              <w:t>$1,024,643</w:t>
            </w:r>
          </w:p>
        </w:tc>
        <w:tc>
          <w:tcPr>
            <w:tcW w:w="320" w:type="dxa"/>
            <w:vAlign w:val="bottom"/>
            <w:tcBorders>
              <w:bottom w:val="single" w:sz="8" w:color="auto"/>
            </w:tcBorders>
            <w:gridSpan w:val="3"/>
          </w:tcPr>
          <w:p>
            <w:pPr>
              <w:jc w:val="center"/>
              <w:ind w:left="88"/>
              <w:spacing w:after="0"/>
              <w:rPr>
                <w:sz w:val="20"/>
                <w:szCs w:val="20"/>
                <w:color w:val="auto"/>
              </w:rPr>
            </w:pPr>
            <w:r>
              <w:rPr>
                <w:rFonts w:ascii="Arial" w:cs="Arial" w:eastAsia="Arial" w:hAnsi="Arial"/>
                <w:sz w:val="14"/>
                <w:szCs w:val="14"/>
                <w:color w:val="auto"/>
              </w:rPr>
              <w:t>$0</w:t>
            </w:r>
          </w:p>
        </w:tc>
        <w:tc>
          <w:tcPr>
            <w:tcW w:w="20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gridSpan w:val="5"/>
          </w:tcPr>
          <w:p>
            <w:pPr>
              <w:jc w:val="center"/>
              <w:ind w:right="20"/>
              <w:spacing w:after="0"/>
              <w:rPr>
                <w:sz w:val="20"/>
                <w:szCs w:val="20"/>
                <w:color w:val="auto"/>
              </w:rPr>
            </w:pPr>
            <w:r>
              <w:rPr>
                <w:rFonts w:ascii="Arial" w:cs="Arial" w:eastAsia="Arial" w:hAnsi="Arial"/>
                <w:sz w:val="14"/>
                <w:szCs w:val="14"/>
                <w:color w:val="auto"/>
              </w:rPr>
              <w:t>$4,320,000</w:t>
            </w:r>
          </w:p>
        </w:tc>
        <w:tc>
          <w:tcPr>
            <w:tcW w:w="480" w:type="dxa"/>
            <w:vAlign w:val="bottom"/>
            <w:tcBorders>
              <w:bottom w:val="single" w:sz="8" w:color="auto"/>
            </w:tcBorders>
            <w:gridSpan w:val="3"/>
          </w:tcPr>
          <w:p>
            <w:pPr>
              <w:jc w:val="center"/>
              <w:ind w:left="208"/>
              <w:spacing w:after="0"/>
              <w:rPr>
                <w:sz w:val="20"/>
                <w:szCs w:val="20"/>
                <w:color w:val="auto"/>
              </w:rPr>
            </w:pPr>
            <w:r>
              <w:rPr>
                <w:rFonts w:ascii="Arial" w:cs="Arial" w:eastAsia="Arial" w:hAnsi="Arial"/>
                <w:sz w:val="14"/>
                <w:szCs w:val="14"/>
                <w:color w:val="auto"/>
              </w:rPr>
              <w:t>$0</w:t>
            </w:r>
          </w:p>
        </w:tc>
        <w:tc>
          <w:tcPr>
            <w:tcW w:w="200" w:type="dxa"/>
            <w:vAlign w:val="bottom"/>
            <w:tcBorders>
              <w:bottom w:val="single" w:sz="8" w:color="auto"/>
              <w:right w:val="single" w:sz="8" w:color="auto"/>
            </w:tcBorders>
          </w:tcPr>
          <w:p>
            <w:pPr>
              <w:spacing w:after="0"/>
              <w:rPr>
                <w:sz w:val="15"/>
                <w:szCs w:val="15"/>
                <w:color w:val="auto"/>
              </w:rPr>
            </w:pPr>
          </w:p>
        </w:tc>
        <w:tc>
          <w:tcPr>
            <w:tcW w:w="1040" w:type="dxa"/>
            <w:vAlign w:val="bottom"/>
            <w:tcBorders>
              <w:bottom w:val="single" w:sz="8" w:color="auto"/>
              <w:right w:val="single" w:sz="8" w:color="auto"/>
            </w:tcBorders>
            <w:gridSpan w:val="3"/>
          </w:tcPr>
          <w:p>
            <w:pPr>
              <w:jc w:val="right"/>
              <w:ind w:right="15"/>
              <w:spacing w:after="0"/>
              <w:rPr>
                <w:sz w:val="20"/>
                <w:szCs w:val="20"/>
                <w:color w:val="auto"/>
              </w:rPr>
            </w:pPr>
            <w:r>
              <w:rPr>
                <w:rFonts w:ascii="Arial" w:cs="Arial" w:eastAsia="Arial" w:hAnsi="Arial"/>
                <w:sz w:val="14"/>
                <w:szCs w:val="14"/>
                <w:color w:val="auto"/>
              </w:rPr>
              <w:t>$1,373,021</w:t>
            </w:r>
          </w:p>
        </w:tc>
        <w:tc>
          <w:tcPr>
            <w:tcW w:w="1160" w:type="dxa"/>
            <w:vAlign w:val="bottom"/>
            <w:tcBorders>
              <w:bottom w:val="single" w:sz="8" w:color="auto"/>
              <w:right w:val="single" w:sz="8" w:color="auto"/>
            </w:tcBorders>
            <w:gridSpan w:val="4"/>
          </w:tcPr>
          <w:p>
            <w:pPr>
              <w:jc w:val="right"/>
              <w:ind w:right="220"/>
              <w:spacing w:after="0"/>
              <w:rPr>
                <w:sz w:val="20"/>
                <w:szCs w:val="20"/>
                <w:color w:val="auto"/>
              </w:rPr>
            </w:pPr>
            <w:r>
              <w:rPr>
                <w:rFonts w:ascii="Arial" w:cs="Arial" w:eastAsia="Arial" w:hAnsi="Arial"/>
                <w:sz w:val="14"/>
                <w:szCs w:val="14"/>
                <w:color w:val="auto"/>
              </w:rPr>
              <w:t>$618,333</w:t>
            </w:r>
          </w:p>
        </w:tc>
        <w:tc>
          <w:tcPr>
            <w:tcW w:w="1020" w:type="dxa"/>
            <w:vAlign w:val="bottom"/>
            <w:tcBorders>
              <w:bottom w:val="single" w:sz="8" w:color="auto"/>
              <w:right w:val="single" w:sz="8" w:color="auto"/>
            </w:tcBorders>
            <w:gridSpan w:val="4"/>
          </w:tcPr>
          <w:p>
            <w:pPr>
              <w:jc w:val="right"/>
              <w:ind w:right="60"/>
              <w:spacing w:after="0"/>
              <w:rPr>
                <w:sz w:val="20"/>
                <w:szCs w:val="20"/>
                <w:color w:val="auto"/>
              </w:rPr>
            </w:pPr>
            <w:r>
              <w:rPr>
                <w:rFonts w:ascii="Arial" w:cs="Arial" w:eastAsia="Arial" w:hAnsi="Arial"/>
                <w:sz w:val="14"/>
                <w:szCs w:val="14"/>
                <w:color w:val="auto"/>
              </w:rPr>
              <w:t>$61,479</w:t>
            </w:r>
          </w:p>
        </w:tc>
        <w:tc>
          <w:tcPr>
            <w:tcW w:w="102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4"/>
                <w:szCs w:val="14"/>
                <w:color w:val="auto"/>
              </w:rPr>
              <w:t>$7,397,476</w:t>
            </w:r>
          </w:p>
        </w:tc>
        <w:tc>
          <w:tcPr>
            <w:tcW w:w="0" w:type="dxa"/>
            <w:vAlign w:val="bottom"/>
          </w:tcPr>
          <w:p>
            <w:pPr>
              <w:spacing w:after="0"/>
              <w:rPr>
                <w:sz w:val="1"/>
                <w:szCs w:val="1"/>
                <w:color w:val="auto"/>
              </w:rPr>
            </w:pPr>
          </w:p>
        </w:tc>
      </w:tr>
      <w:tr>
        <w:trPr>
          <w:trHeight w:val="143"/>
        </w:trPr>
        <w:tc>
          <w:tcPr>
            <w:tcW w:w="1380" w:type="dxa"/>
            <w:vAlign w:val="bottom"/>
            <w:tcBorders>
              <w:left w:val="single" w:sz="8" w:color="auto"/>
              <w:right w:val="single" w:sz="8" w:color="auto"/>
            </w:tcBorders>
            <w:gridSpan w:val="2"/>
          </w:tcPr>
          <w:p>
            <w:pPr>
              <w:ind w:left="40"/>
              <w:spacing w:after="0" w:line="143" w:lineRule="exact"/>
              <w:rPr>
                <w:sz w:val="20"/>
                <w:szCs w:val="20"/>
                <w:color w:val="auto"/>
              </w:rPr>
            </w:pPr>
            <w:r>
              <w:rPr>
                <w:rFonts w:ascii="Arial" w:cs="Arial" w:eastAsia="Arial" w:hAnsi="Arial"/>
                <w:sz w:val="13"/>
                <w:szCs w:val="13"/>
                <w:color w:val="auto"/>
              </w:rPr>
              <w:t>Executive Vice</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380" w:type="dxa"/>
            <w:vAlign w:val="bottom"/>
            <w:tcBorders>
              <w:left w:val="single" w:sz="8" w:color="auto"/>
              <w:right w:val="single" w:sz="8" w:color="auto"/>
            </w:tcBorders>
            <w:gridSpan w:val="2"/>
          </w:tcPr>
          <w:p>
            <w:pPr>
              <w:ind w:left="40"/>
              <w:spacing w:after="0" w:line="135" w:lineRule="exact"/>
              <w:rPr>
                <w:sz w:val="20"/>
                <w:szCs w:val="20"/>
                <w:color w:val="auto"/>
              </w:rPr>
            </w:pPr>
            <w:r>
              <w:rPr>
                <w:rFonts w:ascii="Arial" w:cs="Arial" w:eastAsia="Arial" w:hAnsi="Arial"/>
                <w:sz w:val="13"/>
                <w:szCs w:val="13"/>
                <w:color w:val="auto"/>
              </w:rPr>
              <w:t>President, Science</w:t>
            </w:r>
          </w:p>
        </w:tc>
        <w:tc>
          <w:tcPr>
            <w:tcW w:w="500" w:type="dxa"/>
            <w:vAlign w:val="bottom"/>
            <w:tcBorders>
              <w:right w:val="single" w:sz="8" w:color="auto"/>
            </w:tcBorders>
            <w:gridSpan w:val="3"/>
            <w:vMerge w:val="restart"/>
          </w:tcPr>
          <w:p>
            <w:pPr>
              <w:jc w:val="center"/>
              <w:ind w:right="20"/>
              <w:spacing w:after="0"/>
              <w:rPr>
                <w:sz w:val="20"/>
                <w:szCs w:val="20"/>
                <w:color w:val="auto"/>
              </w:rPr>
            </w:pPr>
            <w:r>
              <w:rPr>
                <w:rFonts w:ascii="Arial" w:cs="Arial" w:eastAsia="Arial" w:hAnsi="Arial"/>
                <w:sz w:val="14"/>
                <w:szCs w:val="14"/>
                <w:color w:val="auto"/>
              </w:rPr>
              <w:t>2016</w:t>
            </w:r>
          </w:p>
        </w:tc>
        <w:tc>
          <w:tcPr>
            <w:tcW w:w="860" w:type="dxa"/>
            <w:vAlign w:val="bottom"/>
            <w:tcBorders>
              <w:right w:val="single" w:sz="8" w:color="auto"/>
            </w:tcBorders>
            <w:gridSpan w:val="5"/>
            <w:vMerge w:val="restart"/>
          </w:tcPr>
          <w:p>
            <w:pPr>
              <w:jc w:val="right"/>
              <w:ind w:right="60"/>
              <w:spacing w:after="0"/>
              <w:rPr>
                <w:sz w:val="20"/>
                <w:szCs w:val="20"/>
                <w:color w:val="auto"/>
              </w:rPr>
            </w:pPr>
            <w:r>
              <w:rPr>
                <w:rFonts w:ascii="Arial" w:cs="Arial" w:eastAsia="Arial" w:hAnsi="Arial"/>
                <w:sz w:val="14"/>
                <w:szCs w:val="14"/>
                <w:color w:val="auto"/>
              </w:rPr>
              <w:t>$1,007,855</w:t>
            </w:r>
          </w:p>
        </w:tc>
        <w:tc>
          <w:tcPr>
            <w:tcW w:w="320" w:type="dxa"/>
            <w:vAlign w:val="bottom"/>
            <w:gridSpan w:val="3"/>
            <w:vMerge w:val="restart"/>
          </w:tcPr>
          <w:p>
            <w:pPr>
              <w:jc w:val="center"/>
              <w:ind w:left="88"/>
              <w:spacing w:after="0"/>
              <w:rPr>
                <w:sz w:val="20"/>
                <w:szCs w:val="20"/>
                <w:color w:val="auto"/>
              </w:rPr>
            </w:pPr>
            <w:r>
              <w:rPr>
                <w:rFonts w:ascii="Arial" w:cs="Arial" w:eastAsia="Arial" w:hAnsi="Arial"/>
                <w:sz w:val="14"/>
                <w:szCs w:val="14"/>
                <w:color w:val="auto"/>
              </w:rPr>
              <w:t>$0</w:t>
            </w:r>
          </w:p>
        </w:tc>
        <w:tc>
          <w:tcPr>
            <w:tcW w:w="20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gridSpan w:val="5"/>
            <w:vMerge w:val="restart"/>
          </w:tcPr>
          <w:p>
            <w:pPr>
              <w:jc w:val="center"/>
              <w:ind w:right="20"/>
              <w:spacing w:after="0"/>
              <w:rPr>
                <w:sz w:val="20"/>
                <w:szCs w:val="20"/>
                <w:color w:val="auto"/>
              </w:rPr>
            </w:pPr>
            <w:r>
              <w:rPr>
                <w:rFonts w:ascii="Arial" w:cs="Arial" w:eastAsia="Arial" w:hAnsi="Arial"/>
                <w:sz w:val="14"/>
                <w:szCs w:val="14"/>
                <w:color w:val="auto"/>
              </w:rPr>
              <w:t>$3,600,000</w:t>
            </w:r>
          </w:p>
        </w:tc>
        <w:tc>
          <w:tcPr>
            <w:tcW w:w="480" w:type="dxa"/>
            <w:vAlign w:val="bottom"/>
            <w:gridSpan w:val="3"/>
            <w:vMerge w:val="restart"/>
          </w:tcPr>
          <w:p>
            <w:pPr>
              <w:jc w:val="center"/>
              <w:ind w:left="208"/>
              <w:spacing w:after="0"/>
              <w:rPr>
                <w:sz w:val="20"/>
                <w:szCs w:val="20"/>
                <w:color w:val="auto"/>
              </w:rPr>
            </w:pPr>
            <w:r>
              <w:rPr>
                <w:rFonts w:ascii="Arial" w:cs="Arial" w:eastAsia="Arial" w:hAnsi="Arial"/>
                <w:sz w:val="14"/>
                <w:szCs w:val="14"/>
                <w:color w:val="auto"/>
              </w:rPr>
              <w:t>$0</w:t>
            </w:r>
          </w:p>
        </w:tc>
        <w:tc>
          <w:tcPr>
            <w:tcW w:w="200" w:type="dxa"/>
            <w:vAlign w:val="bottom"/>
            <w:tcBorders>
              <w:right w:val="single" w:sz="8" w:color="auto"/>
            </w:tcBorders>
          </w:tcPr>
          <w:p>
            <w:pPr>
              <w:spacing w:after="0"/>
              <w:rPr>
                <w:sz w:val="11"/>
                <w:szCs w:val="11"/>
                <w:color w:val="auto"/>
              </w:rPr>
            </w:pPr>
          </w:p>
        </w:tc>
        <w:tc>
          <w:tcPr>
            <w:tcW w:w="1040" w:type="dxa"/>
            <w:vAlign w:val="bottom"/>
            <w:tcBorders>
              <w:right w:val="single" w:sz="8" w:color="auto"/>
            </w:tcBorders>
            <w:gridSpan w:val="3"/>
            <w:vMerge w:val="restart"/>
          </w:tcPr>
          <w:p>
            <w:pPr>
              <w:jc w:val="right"/>
              <w:ind w:right="15"/>
              <w:spacing w:after="0"/>
              <w:rPr>
                <w:sz w:val="20"/>
                <w:szCs w:val="20"/>
                <w:color w:val="auto"/>
              </w:rPr>
            </w:pPr>
            <w:r>
              <w:rPr>
                <w:rFonts w:ascii="Arial" w:cs="Arial" w:eastAsia="Arial" w:hAnsi="Arial"/>
                <w:sz w:val="14"/>
                <w:szCs w:val="14"/>
                <w:color w:val="auto"/>
              </w:rPr>
              <w:t>$1,179,190</w:t>
            </w:r>
          </w:p>
        </w:tc>
        <w:tc>
          <w:tcPr>
            <w:tcW w:w="1160" w:type="dxa"/>
            <w:vAlign w:val="bottom"/>
            <w:tcBorders>
              <w:right w:val="single" w:sz="8" w:color="auto"/>
            </w:tcBorders>
            <w:gridSpan w:val="4"/>
            <w:vMerge w:val="restart"/>
          </w:tcPr>
          <w:p>
            <w:pPr>
              <w:jc w:val="right"/>
              <w:ind w:right="220"/>
              <w:spacing w:after="0"/>
              <w:rPr>
                <w:sz w:val="20"/>
                <w:szCs w:val="20"/>
                <w:color w:val="auto"/>
              </w:rPr>
            </w:pPr>
            <w:r>
              <w:rPr>
                <w:rFonts w:ascii="Arial" w:cs="Arial" w:eastAsia="Arial" w:hAnsi="Arial"/>
                <w:sz w:val="14"/>
                <w:szCs w:val="14"/>
                <w:color w:val="auto"/>
              </w:rPr>
              <w:t>$627,381</w:t>
            </w:r>
          </w:p>
        </w:tc>
        <w:tc>
          <w:tcPr>
            <w:tcW w:w="1020" w:type="dxa"/>
            <w:vAlign w:val="bottom"/>
            <w:tcBorders>
              <w:right w:val="single" w:sz="8" w:color="auto"/>
            </w:tcBorders>
            <w:gridSpan w:val="4"/>
            <w:vMerge w:val="restart"/>
          </w:tcPr>
          <w:p>
            <w:pPr>
              <w:jc w:val="right"/>
              <w:ind w:right="60"/>
              <w:spacing w:after="0"/>
              <w:rPr>
                <w:sz w:val="20"/>
                <w:szCs w:val="20"/>
                <w:color w:val="auto"/>
              </w:rPr>
            </w:pPr>
            <w:r>
              <w:rPr>
                <w:rFonts w:ascii="Arial" w:cs="Arial" w:eastAsia="Arial" w:hAnsi="Arial"/>
                <w:sz w:val="14"/>
                <w:szCs w:val="14"/>
                <w:color w:val="auto"/>
              </w:rPr>
              <w:t>$60,471</w:t>
            </w:r>
          </w:p>
        </w:tc>
        <w:tc>
          <w:tcPr>
            <w:tcW w:w="1020" w:type="dxa"/>
            <w:vAlign w:val="bottom"/>
            <w:tcBorders>
              <w:right w:val="single" w:sz="8" w:color="auto"/>
            </w:tcBorders>
            <w:gridSpan w:val="2"/>
            <w:vMerge w:val="restart"/>
          </w:tcPr>
          <w:p>
            <w:pPr>
              <w:jc w:val="right"/>
              <w:spacing w:after="0"/>
              <w:rPr>
                <w:sz w:val="20"/>
                <w:szCs w:val="20"/>
                <w:color w:val="auto"/>
              </w:rPr>
            </w:pPr>
            <w:r>
              <w:rPr>
                <w:rFonts w:ascii="Arial" w:cs="Arial" w:eastAsia="Arial" w:hAnsi="Arial"/>
                <w:sz w:val="14"/>
                <w:szCs w:val="14"/>
                <w:color w:val="auto"/>
              </w:rPr>
              <w:t>$6,474,897</w:t>
            </w:r>
          </w:p>
        </w:tc>
        <w:tc>
          <w:tcPr>
            <w:tcW w:w="0" w:type="dxa"/>
            <w:vAlign w:val="bottom"/>
          </w:tcPr>
          <w:p>
            <w:pPr>
              <w:spacing w:after="0"/>
              <w:rPr>
                <w:sz w:val="1"/>
                <w:szCs w:val="1"/>
                <w:color w:val="auto"/>
              </w:rPr>
            </w:pPr>
          </w:p>
        </w:tc>
      </w:tr>
      <w:tr>
        <w:trPr>
          <w:trHeight w:val="135"/>
        </w:trPr>
        <w:tc>
          <w:tcPr>
            <w:tcW w:w="1380" w:type="dxa"/>
            <w:vAlign w:val="bottom"/>
            <w:tcBorders>
              <w:left w:val="single" w:sz="8" w:color="auto"/>
              <w:right w:val="single" w:sz="8" w:color="auto"/>
            </w:tcBorders>
            <w:gridSpan w:val="2"/>
          </w:tcPr>
          <w:p>
            <w:pPr>
              <w:ind w:left="40"/>
              <w:spacing w:after="0" w:line="135" w:lineRule="exact"/>
              <w:rPr>
                <w:sz w:val="20"/>
                <w:szCs w:val="20"/>
                <w:color w:val="auto"/>
              </w:rPr>
            </w:pPr>
            <w:r>
              <w:rPr>
                <w:rFonts w:ascii="Arial" w:cs="Arial" w:eastAsia="Arial" w:hAnsi="Arial"/>
                <w:sz w:val="13"/>
                <w:szCs w:val="13"/>
                <w:color w:val="auto"/>
              </w:rPr>
              <w:t>and Technology and</w:t>
            </w:r>
          </w:p>
        </w:tc>
        <w:tc>
          <w:tcPr>
            <w:tcW w:w="500" w:type="dxa"/>
            <w:vAlign w:val="bottom"/>
            <w:tcBorders>
              <w:bottom w:val="single" w:sz="8" w:color="auto"/>
              <w:right w:val="single" w:sz="8" w:color="auto"/>
            </w:tcBorders>
            <w:gridSpan w:val="3"/>
            <w:vMerge w:val="continue"/>
          </w:tcPr>
          <w:p>
            <w:pPr>
              <w:spacing w:after="0"/>
              <w:rPr>
                <w:sz w:val="11"/>
                <w:szCs w:val="11"/>
                <w:color w:val="auto"/>
              </w:rPr>
            </w:pPr>
          </w:p>
        </w:tc>
        <w:tc>
          <w:tcPr>
            <w:tcW w:w="860" w:type="dxa"/>
            <w:vAlign w:val="bottom"/>
            <w:tcBorders>
              <w:bottom w:val="single" w:sz="8" w:color="auto"/>
              <w:right w:val="single" w:sz="8" w:color="auto"/>
            </w:tcBorders>
            <w:gridSpan w:val="5"/>
            <w:vMerge w:val="continue"/>
          </w:tcPr>
          <w:p>
            <w:pPr>
              <w:spacing w:after="0"/>
              <w:rPr>
                <w:sz w:val="11"/>
                <w:szCs w:val="11"/>
                <w:color w:val="auto"/>
              </w:rPr>
            </w:pPr>
          </w:p>
        </w:tc>
        <w:tc>
          <w:tcPr>
            <w:tcW w:w="320" w:type="dxa"/>
            <w:vAlign w:val="bottom"/>
            <w:tcBorders>
              <w:bottom w:val="single" w:sz="8" w:color="auto"/>
            </w:tcBorders>
            <w:gridSpan w:val="3"/>
            <w:vMerge w:val="continue"/>
          </w:tcPr>
          <w:p>
            <w:pPr>
              <w:spacing w:after="0"/>
              <w:rPr>
                <w:sz w:val="11"/>
                <w:szCs w:val="11"/>
                <w:color w:val="auto"/>
              </w:rPr>
            </w:pPr>
          </w:p>
        </w:tc>
        <w:tc>
          <w:tcPr>
            <w:tcW w:w="200" w:type="dxa"/>
            <w:vAlign w:val="bottom"/>
            <w:tcBorders>
              <w:bottom w:val="single" w:sz="8" w:color="auto"/>
              <w:right w:val="single" w:sz="8" w:color="auto"/>
            </w:tcBorders>
          </w:tcPr>
          <w:p>
            <w:pPr>
              <w:spacing w:after="0"/>
              <w:rPr>
                <w:sz w:val="11"/>
                <w:szCs w:val="11"/>
                <w:color w:val="auto"/>
              </w:rPr>
            </w:pPr>
          </w:p>
        </w:tc>
        <w:tc>
          <w:tcPr>
            <w:tcW w:w="980" w:type="dxa"/>
            <w:vAlign w:val="bottom"/>
            <w:tcBorders>
              <w:bottom w:val="single" w:sz="8" w:color="auto"/>
              <w:right w:val="single" w:sz="8" w:color="auto"/>
            </w:tcBorders>
            <w:gridSpan w:val="5"/>
            <w:vMerge w:val="continue"/>
          </w:tcPr>
          <w:p>
            <w:pPr>
              <w:spacing w:after="0"/>
              <w:rPr>
                <w:sz w:val="11"/>
                <w:szCs w:val="11"/>
                <w:color w:val="auto"/>
              </w:rPr>
            </w:pPr>
          </w:p>
        </w:tc>
        <w:tc>
          <w:tcPr>
            <w:tcW w:w="480" w:type="dxa"/>
            <w:vAlign w:val="bottom"/>
            <w:tcBorders>
              <w:bottom w:val="single" w:sz="8" w:color="auto"/>
            </w:tcBorders>
            <w:gridSpan w:val="3"/>
            <w:vMerge w:val="continue"/>
          </w:tcPr>
          <w:p>
            <w:pPr>
              <w:spacing w:after="0"/>
              <w:rPr>
                <w:sz w:val="11"/>
                <w:szCs w:val="11"/>
                <w:color w:val="auto"/>
              </w:rPr>
            </w:pPr>
          </w:p>
        </w:tc>
        <w:tc>
          <w:tcPr>
            <w:tcW w:w="200" w:type="dxa"/>
            <w:vAlign w:val="bottom"/>
            <w:tcBorders>
              <w:bottom w:val="single" w:sz="8" w:color="auto"/>
              <w:right w:val="single" w:sz="8" w:color="auto"/>
            </w:tcBorders>
          </w:tcPr>
          <w:p>
            <w:pPr>
              <w:spacing w:after="0"/>
              <w:rPr>
                <w:sz w:val="11"/>
                <w:szCs w:val="11"/>
                <w:color w:val="auto"/>
              </w:rPr>
            </w:pPr>
          </w:p>
        </w:tc>
        <w:tc>
          <w:tcPr>
            <w:tcW w:w="1040" w:type="dxa"/>
            <w:vAlign w:val="bottom"/>
            <w:tcBorders>
              <w:bottom w:val="single" w:sz="8" w:color="auto"/>
              <w:right w:val="single" w:sz="8" w:color="auto"/>
            </w:tcBorders>
            <w:gridSpan w:val="3"/>
            <w:vMerge w:val="continue"/>
          </w:tcPr>
          <w:p>
            <w:pPr>
              <w:spacing w:after="0"/>
              <w:rPr>
                <w:sz w:val="11"/>
                <w:szCs w:val="11"/>
                <w:color w:val="auto"/>
              </w:rPr>
            </w:pPr>
          </w:p>
        </w:tc>
        <w:tc>
          <w:tcPr>
            <w:tcW w:w="1160" w:type="dxa"/>
            <w:vAlign w:val="bottom"/>
            <w:tcBorders>
              <w:bottom w:val="single" w:sz="8" w:color="auto"/>
              <w:right w:val="single" w:sz="8" w:color="auto"/>
            </w:tcBorders>
            <w:gridSpan w:val="4"/>
            <w:vMerge w:val="continue"/>
          </w:tcPr>
          <w:p>
            <w:pPr>
              <w:spacing w:after="0"/>
              <w:rPr>
                <w:sz w:val="11"/>
                <w:szCs w:val="11"/>
                <w:color w:val="auto"/>
              </w:rPr>
            </w:pPr>
          </w:p>
        </w:tc>
        <w:tc>
          <w:tcPr>
            <w:tcW w:w="1020" w:type="dxa"/>
            <w:vAlign w:val="bottom"/>
            <w:tcBorders>
              <w:bottom w:val="single" w:sz="8" w:color="auto"/>
              <w:right w:val="single" w:sz="8" w:color="auto"/>
            </w:tcBorders>
            <w:gridSpan w:val="4"/>
            <w:vMerge w:val="continue"/>
          </w:tcPr>
          <w:p>
            <w:pPr>
              <w:spacing w:after="0"/>
              <w:rPr>
                <w:sz w:val="11"/>
                <w:szCs w:val="11"/>
                <w:color w:val="auto"/>
              </w:rPr>
            </w:pPr>
          </w:p>
        </w:tc>
        <w:tc>
          <w:tcPr>
            <w:tcW w:w="1020" w:type="dxa"/>
            <w:vAlign w:val="bottom"/>
            <w:tcBorders>
              <w:bottom w:val="single" w:sz="8" w:color="auto"/>
              <w:right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380" w:type="dxa"/>
            <w:vAlign w:val="bottom"/>
            <w:tcBorders>
              <w:left w:val="single" w:sz="8" w:color="auto"/>
              <w:right w:val="single" w:sz="8" w:color="auto"/>
            </w:tcBorders>
            <w:gridSpan w:val="2"/>
          </w:tcPr>
          <w:p>
            <w:pPr>
              <w:ind w:left="40"/>
              <w:spacing w:after="0" w:line="115" w:lineRule="exact"/>
              <w:rPr>
                <w:sz w:val="20"/>
                <w:szCs w:val="20"/>
                <w:color w:val="auto"/>
              </w:rPr>
            </w:pPr>
            <w:r>
              <w:rPr>
                <w:rFonts w:ascii="Arial" w:cs="Arial" w:eastAsia="Arial" w:hAnsi="Arial"/>
                <w:sz w:val="13"/>
                <w:szCs w:val="13"/>
                <w:color w:val="auto"/>
              </w:rPr>
              <w:t>President,</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Borders>
              <w:right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380" w:type="dxa"/>
            <w:vAlign w:val="bottom"/>
            <w:tcBorders>
              <w:left w:val="single" w:sz="8" w:color="auto"/>
              <w:right w:val="single" w:sz="8" w:color="auto"/>
            </w:tcBorders>
            <w:gridSpan w:val="2"/>
          </w:tcPr>
          <w:p>
            <w:pPr>
              <w:ind w:left="40"/>
              <w:spacing w:after="0" w:line="135" w:lineRule="exact"/>
              <w:rPr>
                <w:sz w:val="20"/>
                <w:szCs w:val="20"/>
                <w:color w:val="auto"/>
              </w:rPr>
            </w:pPr>
            <w:r>
              <w:rPr>
                <w:rFonts w:ascii="Arial" w:cs="Arial" w:eastAsia="Arial" w:hAnsi="Arial"/>
                <w:sz w:val="13"/>
                <w:szCs w:val="13"/>
                <w:color w:val="auto"/>
              </w:rPr>
              <w:t>Lilly Research</w:t>
            </w:r>
          </w:p>
        </w:tc>
        <w:tc>
          <w:tcPr>
            <w:tcW w:w="500" w:type="dxa"/>
            <w:vAlign w:val="bottom"/>
            <w:tcBorders>
              <w:right w:val="single" w:sz="8" w:color="auto"/>
            </w:tcBorders>
            <w:gridSpan w:val="3"/>
            <w:vMerge w:val="restart"/>
          </w:tcPr>
          <w:p>
            <w:pPr>
              <w:jc w:val="center"/>
              <w:ind w:right="20"/>
              <w:spacing w:after="0"/>
              <w:rPr>
                <w:sz w:val="20"/>
                <w:szCs w:val="20"/>
                <w:color w:val="auto"/>
              </w:rPr>
            </w:pPr>
            <w:r>
              <w:rPr>
                <w:rFonts w:ascii="Arial" w:cs="Arial" w:eastAsia="Arial" w:hAnsi="Arial"/>
                <w:sz w:val="14"/>
                <w:szCs w:val="14"/>
                <w:color w:val="auto"/>
              </w:rPr>
              <w:t>2015</w:t>
            </w:r>
          </w:p>
        </w:tc>
        <w:tc>
          <w:tcPr>
            <w:tcW w:w="860" w:type="dxa"/>
            <w:vAlign w:val="bottom"/>
            <w:tcBorders>
              <w:right w:val="single" w:sz="8" w:color="auto"/>
            </w:tcBorders>
            <w:gridSpan w:val="5"/>
            <w:vMerge w:val="restart"/>
          </w:tcPr>
          <w:p>
            <w:pPr>
              <w:jc w:val="right"/>
              <w:ind w:right="60"/>
              <w:spacing w:after="0"/>
              <w:rPr>
                <w:sz w:val="20"/>
                <w:szCs w:val="20"/>
                <w:color w:val="auto"/>
              </w:rPr>
            </w:pPr>
            <w:r>
              <w:rPr>
                <w:rFonts w:ascii="Arial" w:cs="Arial" w:eastAsia="Arial" w:hAnsi="Arial"/>
                <w:sz w:val="14"/>
                <w:szCs w:val="14"/>
                <w:color w:val="auto"/>
              </w:rPr>
              <w:t>$1,007,855</w:t>
            </w:r>
          </w:p>
        </w:tc>
        <w:tc>
          <w:tcPr>
            <w:tcW w:w="320" w:type="dxa"/>
            <w:vAlign w:val="bottom"/>
            <w:gridSpan w:val="3"/>
            <w:vMerge w:val="restart"/>
          </w:tcPr>
          <w:p>
            <w:pPr>
              <w:jc w:val="center"/>
              <w:ind w:left="88"/>
              <w:spacing w:after="0"/>
              <w:rPr>
                <w:sz w:val="20"/>
                <w:szCs w:val="20"/>
                <w:color w:val="auto"/>
              </w:rPr>
            </w:pPr>
            <w:r>
              <w:rPr>
                <w:rFonts w:ascii="Arial" w:cs="Arial" w:eastAsia="Arial" w:hAnsi="Arial"/>
                <w:sz w:val="14"/>
                <w:szCs w:val="14"/>
                <w:color w:val="auto"/>
              </w:rPr>
              <w:t>$0</w:t>
            </w:r>
          </w:p>
        </w:tc>
        <w:tc>
          <w:tcPr>
            <w:tcW w:w="20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gridSpan w:val="5"/>
            <w:vMerge w:val="restart"/>
          </w:tcPr>
          <w:p>
            <w:pPr>
              <w:jc w:val="center"/>
              <w:ind w:right="20"/>
              <w:spacing w:after="0"/>
              <w:rPr>
                <w:sz w:val="20"/>
                <w:szCs w:val="20"/>
                <w:color w:val="auto"/>
              </w:rPr>
            </w:pPr>
            <w:r>
              <w:rPr>
                <w:rFonts w:ascii="Arial" w:cs="Arial" w:eastAsia="Arial" w:hAnsi="Arial"/>
                <w:sz w:val="14"/>
                <w:szCs w:val="14"/>
                <w:color w:val="auto"/>
              </w:rPr>
              <w:t>$3,859,000</w:t>
            </w:r>
          </w:p>
        </w:tc>
        <w:tc>
          <w:tcPr>
            <w:tcW w:w="480" w:type="dxa"/>
            <w:vAlign w:val="bottom"/>
            <w:gridSpan w:val="3"/>
            <w:vMerge w:val="restart"/>
          </w:tcPr>
          <w:p>
            <w:pPr>
              <w:jc w:val="center"/>
              <w:ind w:left="208"/>
              <w:spacing w:after="0"/>
              <w:rPr>
                <w:sz w:val="20"/>
                <w:szCs w:val="20"/>
                <w:color w:val="auto"/>
              </w:rPr>
            </w:pPr>
            <w:r>
              <w:rPr>
                <w:rFonts w:ascii="Arial" w:cs="Arial" w:eastAsia="Arial" w:hAnsi="Arial"/>
                <w:sz w:val="14"/>
                <w:szCs w:val="14"/>
                <w:color w:val="auto"/>
              </w:rPr>
              <w:t>$0</w:t>
            </w:r>
          </w:p>
        </w:tc>
        <w:tc>
          <w:tcPr>
            <w:tcW w:w="200" w:type="dxa"/>
            <w:vAlign w:val="bottom"/>
            <w:tcBorders>
              <w:right w:val="single" w:sz="8" w:color="auto"/>
            </w:tcBorders>
          </w:tcPr>
          <w:p>
            <w:pPr>
              <w:spacing w:after="0"/>
              <w:rPr>
                <w:sz w:val="11"/>
                <w:szCs w:val="11"/>
                <w:color w:val="auto"/>
              </w:rPr>
            </w:pPr>
          </w:p>
        </w:tc>
        <w:tc>
          <w:tcPr>
            <w:tcW w:w="1040" w:type="dxa"/>
            <w:vAlign w:val="bottom"/>
            <w:tcBorders>
              <w:right w:val="single" w:sz="8" w:color="auto"/>
            </w:tcBorders>
            <w:gridSpan w:val="3"/>
            <w:vMerge w:val="restart"/>
          </w:tcPr>
          <w:p>
            <w:pPr>
              <w:jc w:val="right"/>
              <w:ind w:right="15"/>
              <w:spacing w:after="0"/>
              <w:rPr>
                <w:sz w:val="20"/>
                <w:szCs w:val="20"/>
                <w:color w:val="auto"/>
              </w:rPr>
            </w:pPr>
            <w:r>
              <w:rPr>
                <w:rFonts w:ascii="Arial" w:cs="Arial" w:eastAsia="Arial" w:hAnsi="Arial"/>
                <w:sz w:val="14"/>
                <w:szCs w:val="14"/>
                <w:color w:val="auto"/>
              </w:rPr>
              <w:t>$1,460,382</w:t>
            </w:r>
          </w:p>
        </w:tc>
        <w:tc>
          <w:tcPr>
            <w:tcW w:w="1160" w:type="dxa"/>
            <w:vAlign w:val="bottom"/>
            <w:tcBorders>
              <w:right w:val="single" w:sz="8" w:color="auto"/>
            </w:tcBorders>
            <w:gridSpan w:val="4"/>
            <w:vMerge w:val="restart"/>
          </w:tcPr>
          <w:p>
            <w:pPr>
              <w:jc w:val="right"/>
              <w:ind w:right="220"/>
              <w:spacing w:after="0"/>
              <w:rPr>
                <w:sz w:val="20"/>
                <w:szCs w:val="20"/>
                <w:color w:val="auto"/>
              </w:rPr>
            </w:pPr>
            <w:r>
              <w:rPr>
                <w:rFonts w:ascii="Arial" w:cs="Arial" w:eastAsia="Arial" w:hAnsi="Arial"/>
                <w:sz w:val="14"/>
                <w:szCs w:val="14"/>
                <w:color w:val="auto"/>
              </w:rPr>
              <w:t>$390,645</w:t>
            </w:r>
          </w:p>
        </w:tc>
        <w:tc>
          <w:tcPr>
            <w:tcW w:w="1020" w:type="dxa"/>
            <w:vAlign w:val="bottom"/>
            <w:tcBorders>
              <w:right w:val="single" w:sz="8" w:color="auto"/>
            </w:tcBorders>
            <w:gridSpan w:val="4"/>
            <w:vMerge w:val="restart"/>
          </w:tcPr>
          <w:p>
            <w:pPr>
              <w:jc w:val="right"/>
              <w:ind w:right="60"/>
              <w:spacing w:after="0"/>
              <w:rPr>
                <w:sz w:val="20"/>
                <w:szCs w:val="20"/>
                <w:color w:val="auto"/>
              </w:rPr>
            </w:pPr>
            <w:r>
              <w:rPr>
                <w:rFonts w:ascii="Arial" w:cs="Arial" w:eastAsia="Arial" w:hAnsi="Arial"/>
                <w:sz w:val="14"/>
                <w:szCs w:val="14"/>
                <w:color w:val="auto"/>
              </w:rPr>
              <w:t>$60,471</w:t>
            </w:r>
          </w:p>
        </w:tc>
        <w:tc>
          <w:tcPr>
            <w:tcW w:w="1020" w:type="dxa"/>
            <w:vAlign w:val="bottom"/>
            <w:tcBorders>
              <w:right w:val="single" w:sz="8" w:color="auto"/>
            </w:tcBorders>
            <w:gridSpan w:val="2"/>
            <w:vMerge w:val="restart"/>
          </w:tcPr>
          <w:p>
            <w:pPr>
              <w:jc w:val="right"/>
              <w:spacing w:after="0"/>
              <w:rPr>
                <w:sz w:val="20"/>
                <w:szCs w:val="20"/>
                <w:color w:val="auto"/>
              </w:rPr>
            </w:pPr>
            <w:r>
              <w:rPr>
                <w:rFonts w:ascii="Arial" w:cs="Arial" w:eastAsia="Arial" w:hAnsi="Arial"/>
                <w:sz w:val="14"/>
                <w:szCs w:val="14"/>
                <w:color w:val="auto"/>
              </w:rPr>
              <w:t>$6,778,353</w:t>
            </w: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3"/>
                <w:szCs w:val="13"/>
                <w:color w:val="auto"/>
              </w:rPr>
              <w:t>Laboratories</w:t>
            </w:r>
          </w:p>
        </w:tc>
        <w:tc>
          <w:tcPr>
            <w:tcW w:w="500" w:type="dxa"/>
            <w:vAlign w:val="bottom"/>
            <w:tcBorders>
              <w:bottom w:val="single" w:sz="8" w:color="auto"/>
              <w:right w:val="single" w:sz="8" w:color="auto"/>
            </w:tcBorders>
            <w:gridSpan w:val="3"/>
            <w:vMerge w:val="continue"/>
          </w:tcPr>
          <w:p>
            <w:pPr>
              <w:spacing w:after="0"/>
              <w:rPr>
                <w:sz w:val="14"/>
                <w:szCs w:val="14"/>
                <w:color w:val="auto"/>
              </w:rPr>
            </w:pPr>
          </w:p>
        </w:tc>
        <w:tc>
          <w:tcPr>
            <w:tcW w:w="860" w:type="dxa"/>
            <w:vAlign w:val="bottom"/>
            <w:tcBorders>
              <w:bottom w:val="single" w:sz="8" w:color="auto"/>
              <w:right w:val="single" w:sz="8" w:color="auto"/>
            </w:tcBorders>
            <w:gridSpan w:val="5"/>
            <w:vMerge w:val="continue"/>
          </w:tcPr>
          <w:p>
            <w:pPr>
              <w:spacing w:after="0"/>
              <w:rPr>
                <w:sz w:val="14"/>
                <w:szCs w:val="14"/>
                <w:color w:val="auto"/>
              </w:rPr>
            </w:pPr>
          </w:p>
        </w:tc>
        <w:tc>
          <w:tcPr>
            <w:tcW w:w="320" w:type="dxa"/>
            <w:vAlign w:val="bottom"/>
            <w:tcBorders>
              <w:bottom w:val="single" w:sz="8" w:color="auto"/>
            </w:tcBorders>
            <w:gridSpan w:val="3"/>
            <w:vMerge w:val="continue"/>
          </w:tcPr>
          <w:p>
            <w:pPr>
              <w:spacing w:after="0"/>
              <w:rPr>
                <w:sz w:val="14"/>
                <w:szCs w:val="14"/>
                <w:color w:val="auto"/>
              </w:rPr>
            </w:pPr>
          </w:p>
        </w:tc>
        <w:tc>
          <w:tcPr>
            <w:tcW w:w="200" w:type="dxa"/>
            <w:vAlign w:val="bottom"/>
            <w:tcBorders>
              <w:bottom w:val="single" w:sz="8" w:color="auto"/>
              <w:right w:val="single" w:sz="8" w:color="auto"/>
            </w:tcBorders>
          </w:tcPr>
          <w:p>
            <w:pPr>
              <w:spacing w:after="0"/>
              <w:rPr>
                <w:sz w:val="14"/>
                <w:szCs w:val="14"/>
                <w:color w:val="auto"/>
              </w:rPr>
            </w:pPr>
          </w:p>
        </w:tc>
        <w:tc>
          <w:tcPr>
            <w:tcW w:w="980" w:type="dxa"/>
            <w:vAlign w:val="bottom"/>
            <w:tcBorders>
              <w:bottom w:val="single" w:sz="8" w:color="auto"/>
              <w:right w:val="single" w:sz="8" w:color="auto"/>
            </w:tcBorders>
            <w:gridSpan w:val="5"/>
            <w:vMerge w:val="continue"/>
          </w:tcPr>
          <w:p>
            <w:pPr>
              <w:spacing w:after="0"/>
              <w:rPr>
                <w:sz w:val="14"/>
                <w:szCs w:val="14"/>
                <w:color w:val="auto"/>
              </w:rPr>
            </w:pPr>
          </w:p>
        </w:tc>
        <w:tc>
          <w:tcPr>
            <w:tcW w:w="480" w:type="dxa"/>
            <w:vAlign w:val="bottom"/>
            <w:tcBorders>
              <w:bottom w:val="single" w:sz="8" w:color="auto"/>
            </w:tcBorders>
            <w:gridSpan w:val="3"/>
            <w:vMerge w:val="continue"/>
          </w:tcPr>
          <w:p>
            <w:pPr>
              <w:spacing w:after="0"/>
              <w:rPr>
                <w:sz w:val="14"/>
                <w:szCs w:val="14"/>
                <w:color w:val="auto"/>
              </w:rPr>
            </w:pPr>
          </w:p>
        </w:tc>
        <w:tc>
          <w:tcPr>
            <w:tcW w:w="200" w:type="dxa"/>
            <w:vAlign w:val="bottom"/>
            <w:tcBorders>
              <w:bottom w:val="single" w:sz="8" w:color="auto"/>
              <w:right w:val="single" w:sz="8" w:color="auto"/>
            </w:tcBorders>
          </w:tcPr>
          <w:p>
            <w:pPr>
              <w:spacing w:after="0"/>
              <w:rPr>
                <w:sz w:val="14"/>
                <w:szCs w:val="14"/>
                <w:color w:val="auto"/>
              </w:rPr>
            </w:pPr>
          </w:p>
        </w:tc>
        <w:tc>
          <w:tcPr>
            <w:tcW w:w="1040" w:type="dxa"/>
            <w:vAlign w:val="bottom"/>
            <w:tcBorders>
              <w:bottom w:val="single" w:sz="8" w:color="auto"/>
              <w:right w:val="single" w:sz="8" w:color="auto"/>
            </w:tcBorders>
            <w:gridSpan w:val="3"/>
            <w:vMerge w:val="continue"/>
          </w:tcPr>
          <w:p>
            <w:pPr>
              <w:spacing w:after="0"/>
              <w:rPr>
                <w:sz w:val="14"/>
                <w:szCs w:val="14"/>
                <w:color w:val="auto"/>
              </w:rPr>
            </w:pPr>
          </w:p>
        </w:tc>
        <w:tc>
          <w:tcPr>
            <w:tcW w:w="1160" w:type="dxa"/>
            <w:vAlign w:val="bottom"/>
            <w:tcBorders>
              <w:bottom w:val="single" w:sz="8" w:color="auto"/>
              <w:right w:val="single" w:sz="8" w:color="auto"/>
            </w:tcBorders>
            <w:gridSpan w:val="4"/>
            <w:vMerge w:val="continue"/>
          </w:tcPr>
          <w:p>
            <w:pPr>
              <w:spacing w:after="0"/>
              <w:rPr>
                <w:sz w:val="14"/>
                <w:szCs w:val="14"/>
                <w:color w:val="auto"/>
              </w:rPr>
            </w:pPr>
          </w:p>
        </w:tc>
        <w:tc>
          <w:tcPr>
            <w:tcW w:w="1020" w:type="dxa"/>
            <w:vAlign w:val="bottom"/>
            <w:tcBorders>
              <w:bottom w:val="single" w:sz="8" w:color="auto"/>
              <w:right w:val="single" w:sz="8" w:color="auto"/>
            </w:tcBorders>
            <w:gridSpan w:val="4"/>
            <w:vMerge w:val="continue"/>
          </w:tcPr>
          <w:p>
            <w:pPr>
              <w:spacing w:after="0"/>
              <w:rPr>
                <w:sz w:val="14"/>
                <w:szCs w:val="14"/>
                <w:color w:val="auto"/>
              </w:rPr>
            </w:pPr>
          </w:p>
        </w:tc>
        <w:tc>
          <w:tcPr>
            <w:tcW w:w="1020" w:type="dxa"/>
            <w:vAlign w:val="bottom"/>
            <w:tcBorders>
              <w:bottom w:val="single" w:sz="8" w:color="auto"/>
              <w:right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138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Michael J.</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138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Harrington</w:t>
            </w:r>
          </w:p>
        </w:tc>
        <w:tc>
          <w:tcPr>
            <w:tcW w:w="500" w:type="dxa"/>
            <w:vAlign w:val="bottom"/>
            <w:tcBorders>
              <w:bottom w:val="single" w:sz="8" w:color="auto"/>
              <w:right w:val="single" w:sz="8" w:color="auto"/>
            </w:tcBorders>
            <w:gridSpan w:val="3"/>
          </w:tcPr>
          <w:p>
            <w:pPr>
              <w:jc w:val="center"/>
              <w:ind w:right="20"/>
              <w:spacing w:after="0"/>
              <w:rPr>
                <w:sz w:val="20"/>
                <w:szCs w:val="20"/>
                <w:color w:val="auto"/>
              </w:rPr>
            </w:pPr>
            <w:r>
              <w:rPr>
                <w:rFonts w:ascii="Arial" w:cs="Arial" w:eastAsia="Arial" w:hAnsi="Arial"/>
                <w:sz w:val="14"/>
                <w:szCs w:val="14"/>
                <w:color w:val="auto"/>
              </w:rPr>
              <w:t>2017</w:t>
            </w:r>
          </w:p>
        </w:tc>
        <w:tc>
          <w:tcPr>
            <w:tcW w:w="860" w:type="dxa"/>
            <w:vAlign w:val="bottom"/>
            <w:tcBorders>
              <w:bottom w:val="single" w:sz="8" w:color="auto"/>
              <w:right w:val="single" w:sz="8" w:color="auto"/>
            </w:tcBorders>
            <w:gridSpan w:val="5"/>
          </w:tcPr>
          <w:p>
            <w:pPr>
              <w:jc w:val="right"/>
              <w:ind w:right="60"/>
              <w:spacing w:after="0"/>
              <w:rPr>
                <w:sz w:val="20"/>
                <w:szCs w:val="20"/>
                <w:color w:val="auto"/>
              </w:rPr>
            </w:pPr>
            <w:r>
              <w:rPr>
                <w:rFonts w:ascii="Arial" w:cs="Arial" w:eastAsia="Arial" w:hAnsi="Arial"/>
                <w:sz w:val="14"/>
                <w:szCs w:val="14"/>
                <w:color w:val="auto"/>
              </w:rPr>
              <w:t>$856,130</w:t>
            </w:r>
          </w:p>
        </w:tc>
        <w:tc>
          <w:tcPr>
            <w:tcW w:w="320" w:type="dxa"/>
            <w:vAlign w:val="bottom"/>
            <w:tcBorders>
              <w:bottom w:val="single" w:sz="8" w:color="auto"/>
            </w:tcBorders>
            <w:gridSpan w:val="3"/>
          </w:tcPr>
          <w:p>
            <w:pPr>
              <w:jc w:val="center"/>
              <w:ind w:left="88"/>
              <w:spacing w:after="0"/>
              <w:rPr>
                <w:sz w:val="20"/>
                <w:szCs w:val="20"/>
                <w:color w:val="auto"/>
              </w:rPr>
            </w:pPr>
            <w:r>
              <w:rPr>
                <w:rFonts w:ascii="Arial" w:cs="Arial" w:eastAsia="Arial" w:hAnsi="Arial"/>
                <w:sz w:val="14"/>
                <w:szCs w:val="14"/>
                <w:color w:val="auto"/>
              </w:rPr>
              <w:t>$0</w:t>
            </w:r>
          </w:p>
        </w:tc>
        <w:tc>
          <w:tcPr>
            <w:tcW w:w="20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gridSpan w:val="5"/>
          </w:tcPr>
          <w:p>
            <w:pPr>
              <w:jc w:val="center"/>
              <w:ind w:right="20"/>
              <w:spacing w:after="0"/>
              <w:rPr>
                <w:sz w:val="20"/>
                <w:szCs w:val="20"/>
                <w:color w:val="auto"/>
              </w:rPr>
            </w:pPr>
            <w:r>
              <w:rPr>
                <w:rFonts w:ascii="Arial" w:cs="Arial" w:eastAsia="Arial" w:hAnsi="Arial"/>
                <w:sz w:val="14"/>
                <w:szCs w:val="14"/>
                <w:color w:val="auto"/>
              </w:rPr>
              <w:t>$2,760,000</w:t>
            </w:r>
          </w:p>
        </w:tc>
        <w:tc>
          <w:tcPr>
            <w:tcW w:w="480" w:type="dxa"/>
            <w:vAlign w:val="bottom"/>
            <w:tcBorders>
              <w:bottom w:val="single" w:sz="8" w:color="auto"/>
            </w:tcBorders>
            <w:gridSpan w:val="3"/>
          </w:tcPr>
          <w:p>
            <w:pPr>
              <w:jc w:val="center"/>
              <w:ind w:left="208"/>
              <w:spacing w:after="0"/>
              <w:rPr>
                <w:sz w:val="20"/>
                <w:szCs w:val="20"/>
                <w:color w:val="auto"/>
              </w:rPr>
            </w:pPr>
            <w:r>
              <w:rPr>
                <w:rFonts w:ascii="Arial" w:cs="Arial" w:eastAsia="Arial" w:hAnsi="Arial"/>
                <w:sz w:val="14"/>
                <w:szCs w:val="14"/>
                <w:color w:val="auto"/>
              </w:rPr>
              <w:t>$0</w:t>
            </w:r>
          </w:p>
        </w:tc>
        <w:tc>
          <w:tcPr>
            <w:tcW w:w="200" w:type="dxa"/>
            <w:vAlign w:val="bottom"/>
            <w:tcBorders>
              <w:bottom w:val="single" w:sz="8" w:color="auto"/>
              <w:right w:val="single" w:sz="8" w:color="auto"/>
            </w:tcBorders>
          </w:tcPr>
          <w:p>
            <w:pPr>
              <w:spacing w:after="0"/>
              <w:rPr>
                <w:sz w:val="15"/>
                <w:szCs w:val="15"/>
                <w:color w:val="auto"/>
              </w:rPr>
            </w:pPr>
          </w:p>
        </w:tc>
        <w:tc>
          <w:tcPr>
            <w:tcW w:w="1040" w:type="dxa"/>
            <w:vAlign w:val="bottom"/>
            <w:tcBorders>
              <w:bottom w:val="single" w:sz="8" w:color="auto"/>
              <w:right w:val="single" w:sz="8" w:color="auto"/>
            </w:tcBorders>
            <w:gridSpan w:val="3"/>
          </w:tcPr>
          <w:p>
            <w:pPr>
              <w:jc w:val="right"/>
              <w:ind w:right="15"/>
              <w:spacing w:after="0"/>
              <w:rPr>
                <w:sz w:val="20"/>
                <w:szCs w:val="20"/>
                <w:color w:val="auto"/>
              </w:rPr>
            </w:pPr>
            <w:r>
              <w:rPr>
                <w:rFonts w:ascii="Arial" w:cs="Arial" w:eastAsia="Arial" w:hAnsi="Arial"/>
                <w:sz w:val="14"/>
                <w:szCs w:val="14"/>
                <w:color w:val="auto"/>
              </w:rPr>
              <w:t>$917,771</w:t>
            </w:r>
          </w:p>
        </w:tc>
        <w:tc>
          <w:tcPr>
            <w:tcW w:w="1160" w:type="dxa"/>
            <w:vAlign w:val="bottom"/>
            <w:tcBorders>
              <w:bottom w:val="single" w:sz="8" w:color="auto"/>
              <w:right w:val="single" w:sz="8" w:color="auto"/>
            </w:tcBorders>
            <w:gridSpan w:val="4"/>
          </w:tcPr>
          <w:p>
            <w:pPr>
              <w:jc w:val="right"/>
              <w:ind w:right="220"/>
              <w:spacing w:after="0"/>
              <w:rPr>
                <w:sz w:val="20"/>
                <w:szCs w:val="20"/>
                <w:color w:val="auto"/>
              </w:rPr>
            </w:pPr>
            <w:r>
              <w:rPr>
                <w:rFonts w:ascii="Arial" w:cs="Arial" w:eastAsia="Arial" w:hAnsi="Arial"/>
                <w:sz w:val="14"/>
                <w:szCs w:val="14"/>
                <w:color w:val="auto"/>
              </w:rPr>
              <w:t>$1,657,718</w:t>
            </w:r>
          </w:p>
        </w:tc>
        <w:tc>
          <w:tcPr>
            <w:tcW w:w="1020" w:type="dxa"/>
            <w:vAlign w:val="bottom"/>
            <w:tcBorders>
              <w:bottom w:val="single" w:sz="8" w:color="auto"/>
              <w:right w:val="single" w:sz="8" w:color="auto"/>
            </w:tcBorders>
            <w:gridSpan w:val="4"/>
          </w:tcPr>
          <w:p>
            <w:pPr>
              <w:jc w:val="right"/>
              <w:ind w:right="60"/>
              <w:spacing w:after="0"/>
              <w:rPr>
                <w:sz w:val="20"/>
                <w:szCs w:val="20"/>
                <w:color w:val="auto"/>
              </w:rPr>
            </w:pPr>
            <w:r>
              <w:rPr>
                <w:rFonts w:ascii="Arial" w:cs="Arial" w:eastAsia="Arial" w:hAnsi="Arial"/>
                <w:sz w:val="14"/>
                <w:szCs w:val="14"/>
                <w:color w:val="auto"/>
              </w:rPr>
              <w:t>$51,368</w:t>
            </w:r>
          </w:p>
        </w:tc>
        <w:tc>
          <w:tcPr>
            <w:tcW w:w="102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4"/>
                <w:szCs w:val="14"/>
                <w:color w:val="auto"/>
              </w:rPr>
              <w:t>$6,242,987</w:t>
            </w:r>
          </w:p>
        </w:tc>
        <w:tc>
          <w:tcPr>
            <w:tcW w:w="0" w:type="dxa"/>
            <w:vAlign w:val="bottom"/>
          </w:tcPr>
          <w:p>
            <w:pPr>
              <w:spacing w:after="0"/>
              <w:rPr>
                <w:sz w:val="1"/>
                <w:szCs w:val="1"/>
                <w:color w:val="auto"/>
              </w:rPr>
            </w:pPr>
          </w:p>
        </w:tc>
      </w:tr>
      <w:tr>
        <w:trPr>
          <w:trHeight w:val="143"/>
        </w:trPr>
        <w:tc>
          <w:tcPr>
            <w:tcW w:w="1380" w:type="dxa"/>
            <w:vAlign w:val="bottom"/>
            <w:tcBorders>
              <w:left w:val="single" w:sz="8" w:color="auto"/>
              <w:right w:val="single" w:sz="8" w:color="auto"/>
            </w:tcBorders>
            <w:gridSpan w:val="2"/>
          </w:tcPr>
          <w:p>
            <w:pPr>
              <w:ind w:left="40"/>
              <w:spacing w:after="0" w:line="143" w:lineRule="exact"/>
              <w:rPr>
                <w:sz w:val="20"/>
                <w:szCs w:val="20"/>
                <w:color w:val="auto"/>
              </w:rPr>
            </w:pPr>
            <w:r>
              <w:rPr>
                <w:rFonts w:ascii="Arial" w:cs="Arial" w:eastAsia="Arial" w:hAnsi="Arial"/>
                <w:sz w:val="13"/>
                <w:szCs w:val="13"/>
                <w:color w:val="auto"/>
              </w:rPr>
              <w:t>Senior Vice President</w:t>
            </w:r>
          </w:p>
        </w:tc>
        <w:tc>
          <w:tcPr>
            <w:tcW w:w="500" w:type="dxa"/>
            <w:vAlign w:val="bottom"/>
            <w:tcBorders>
              <w:right w:val="single" w:sz="8" w:color="auto"/>
            </w:tcBorders>
            <w:gridSpan w:val="3"/>
            <w:vMerge w:val="restart"/>
          </w:tcPr>
          <w:p>
            <w:pPr>
              <w:jc w:val="center"/>
              <w:ind w:right="20"/>
              <w:spacing w:after="0"/>
              <w:rPr>
                <w:sz w:val="20"/>
                <w:szCs w:val="20"/>
                <w:color w:val="auto"/>
              </w:rPr>
            </w:pPr>
            <w:r>
              <w:rPr>
                <w:rFonts w:ascii="Arial" w:cs="Arial" w:eastAsia="Arial" w:hAnsi="Arial"/>
                <w:sz w:val="14"/>
                <w:szCs w:val="14"/>
                <w:color w:val="auto"/>
              </w:rPr>
              <w:t>2016</w:t>
            </w:r>
          </w:p>
        </w:tc>
        <w:tc>
          <w:tcPr>
            <w:tcW w:w="860" w:type="dxa"/>
            <w:vAlign w:val="bottom"/>
            <w:tcBorders>
              <w:right w:val="single" w:sz="8" w:color="auto"/>
            </w:tcBorders>
            <w:gridSpan w:val="5"/>
            <w:vMerge w:val="restart"/>
          </w:tcPr>
          <w:p>
            <w:pPr>
              <w:jc w:val="right"/>
              <w:ind w:right="60"/>
              <w:spacing w:after="0"/>
              <w:rPr>
                <w:sz w:val="20"/>
                <w:szCs w:val="20"/>
                <w:color w:val="auto"/>
              </w:rPr>
            </w:pPr>
            <w:r>
              <w:rPr>
                <w:rFonts w:ascii="Arial" w:cs="Arial" w:eastAsia="Arial" w:hAnsi="Arial"/>
                <w:sz w:val="14"/>
                <w:szCs w:val="14"/>
                <w:color w:val="auto"/>
              </w:rPr>
              <w:t>$827,400</w:t>
            </w:r>
          </w:p>
        </w:tc>
        <w:tc>
          <w:tcPr>
            <w:tcW w:w="320" w:type="dxa"/>
            <w:vAlign w:val="bottom"/>
            <w:gridSpan w:val="3"/>
            <w:vMerge w:val="restart"/>
          </w:tcPr>
          <w:p>
            <w:pPr>
              <w:jc w:val="center"/>
              <w:ind w:left="88"/>
              <w:spacing w:after="0"/>
              <w:rPr>
                <w:sz w:val="20"/>
                <w:szCs w:val="20"/>
                <w:color w:val="auto"/>
              </w:rPr>
            </w:pPr>
            <w:r>
              <w:rPr>
                <w:rFonts w:ascii="Arial" w:cs="Arial" w:eastAsia="Arial" w:hAnsi="Arial"/>
                <w:sz w:val="14"/>
                <w:szCs w:val="14"/>
                <w:color w:val="auto"/>
              </w:rPr>
              <w:t>$0</w:t>
            </w:r>
          </w:p>
        </w:tc>
        <w:tc>
          <w:tcPr>
            <w:tcW w:w="20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gridSpan w:val="5"/>
            <w:vMerge w:val="restart"/>
          </w:tcPr>
          <w:p>
            <w:pPr>
              <w:jc w:val="center"/>
              <w:ind w:right="20"/>
              <w:spacing w:after="0"/>
              <w:rPr>
                <w:sz w:val="20"/>
                <w:szCs w:val="20"/>
                <w:color w:val="auto"/>
              </w:rPr>
            </w:pPr>
            <w:r>
              <w:rPr>
                <w:rFonts w:ascii="Arial" w:cs="Arial" w:eastAsia="Arial" w:hAnsi="Arial"/>
                <w:sz w:val="14"/>
                <w:szCs w:val="14"/>
                <w:color w:val="auto"/>
              </w:rPr>
              <w:t>$2,300,000</w:t>
            </w:r>
          </w:p>
        </w:tc>
        <w:tc>
          <w:tcPr>
            <w:tcW w:w="480" w:type="dxa"/>
            <w:vAlign w:val="bottom"/>
            <w:gridSpan w:val="3"/>
            <w:vMerge w:val="restart"/>
          </w:tcPr>
          <w:p>
            <w:pPr>
              <w:jc w:val="center"/>
              <w:ind w:left="208"/>
              <w:spacing w:after="0"/>
              <w:rPr>
                <w:sz w:val="20"/>
                <w:szCs w:val="20"/>
                <w:color w:val="auto"/>
              </w:rPr>
            </w:pPr>
            <w:r>
              <w:rPr>
                <w:rFonts w:ascii="Arial" w:cs="Arial" w:eastAsia="Arial" w:hAnsi="Arial"/>
                <w:sz w:val="14"/>
                <w:szCs w:val="14"/>
                <w:color w:val="auto"/>
              </w:rPr>
              <w:t>$0</w:t>
            </w:r>
          </w:p>
        </w:tc>
        <w:tc>
          <w:tcPr>
            <w:tcW w:w="20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gridSpan w:val="3"/>
            <w:vMerge w:val="restart"/>
          </w:tcPr>
          <w:p>
            <w:pPr>
              <w:jc w:val="right"/>
              <w:ind w:right="15"/>
              <w:spacing w:after="0"/>
              <w:rPr>
                <w:sz w:val="20"/>
                <w:szCs w:val="20"/>
                <w:color w:val="auto"/>
              </w:rPr>
            </w:pPr>
            <w:r>
              <w:rPr>
                <w:rFonts w:ascii="Arial" w:cs="Arial" w:eastAsia="Arial" w:hAnsi="Arial"/>
                <w:sz w:val="14"/>
                <w:szCs w:val="14"/>
                <w:color w:val="auto"/>
              </w:rPr>
              <w:t>$774,446</w:t>
            </w:r>
          </w:p>
        </w:tc>
        <w:tc>
          <w:tcPr>
            <w:tcW w:w="1160" w:type="dxa"/>
            <w:vAlign w:val="bottom"/>
            <w:tcBorders>
              <w:right w:val="single" w:sz="8" w:color="auto"/>
            </w:tcBorders>
            <w:gridSpan w:val="4"/>
            <w:vMerge w:val="restart"/>
          </w:tcPr>
          <w:p>
            <w:pPr>
              <w:jc w:val="right"/>
              <w:ind w:right="220"/>
              <w:spacing w:after="0"/>
              <w:rPr>
                <w:sz w:val="20"/>
                <w:szCs w:val="20"/>
                <w:color w:val="auto"/>
              </w:rPr>
            </w:pPr>
            <w:r>
              <w:rPr>
                <w:rFonts w:ascii="Arial" w:cs="Arial" w:eastAsia="Arial" w:hAnsi="Arial"/>
                <w:sz w:val="14"/>
                <w:szCs w:val="14"/>
                <w:color w:val="auto"/>
              </w:rPr>
              <w:t>$1,441,954</w:t>
            </w:r>
          </w:p>
        </w:tc>
        <w:tc>
          <w:tcPr>
            <w:tcW w:w="1020" w:type="dxa"/>
            <w:vAlign w:val="bottom"/>
            <w:tcBorders>
              <w:right w:val="single" w:sz="8" w:color="auto"/>
            </w:tcBorders>
            <w:gridSpan w:val="4"/>
            <w:vMerge w:val="restart"/>
          </w:tcPr>
          <w:p>
            <w:pPr>
              <w:jc w:val="right"/>
              <w:ind w:right="60"/>
              <w:spacing w:after="0"/>
              <w:rPr>
                <w:sz w:val="20"/>
                <w:szCs w:val="20"/>
                <w:color w:val="auto"/>
              </w:rPr>
            </w:pPr>
            <w:r>
              <w:rPr>
                <w:rFonts w:ascii="Arial" w:cs="Arial" w:eastAsia="Arial" w:hAnsi="Arial"/>
                <w:sz w:val="14"/>
                <w:szCs w:val="14"/>
                <w:color w:val="auto"/>
              </w:rPr>
              <w:t>$49,644</w:t>
            </w:r>
          </w:p>
        </w:tc>
        <w:tc>
          <w:tcPr>
            <w:tcW w:w="1020" w:type="dxa"/>
            <w:vAlign w:val="bottom"/>
            <w:tcBorders>
              <w:right w:val="single" w:sz="8" w:color="auto"/>
            </w:tcBorders>
            <w:gridSpan w:val="2"/>
            <w:vMerge w:val="restart"/>
          </w:tcPr>
          <w:p>
            <w:pPr>
              <w:jc w:val="right"/>
              <w:spacing w:after="0"/>
              <w:rPr>
                <w:sz w:val="20"/>
                <w:szCs w:val="20"/>
                <w:color w:val="auto"/>
              </w:rPr>
            </w:pPr>
            <w:r>
              <w:rPr>
                <w:rFonts w:ascii="Arial" w:cs="Arial" w:eastAsia="Arial" w:hAnsi="Arial"/>
                <w:sz w:val="14"/>
                <w:szCs w:val="14"/>
                <w:color w:val="auto"/>
              </w:rPr>
              <w:t>$5,393,444</w:t>
            </w:r>
          </w:p>
        </w:tc>
        <w:tc>
          <w:tcPr>
            <w:tcW w:w="0" w:type="dxa"/>
            <w:vAlign w:val="bottom"/>
          </w:tcPr>
          <w:p>
            <w:pPr>
              <w:spacing w:after="0"/>
              <w:rPr>
                <w:sz w:val="1"/>
                <w:szCs w:val="1"/>
                <w:color w:val="auto"/>
              </w:rPr>
            </w:pPr>
          </w:p>
        </w:tc>
      </w:tr>
      <w:tr>
        <w:trPr>
          <w:trHeight w:val="128"/>
        </w:trPr>
        <w:tc>
          <w:tcPr>
            <w:tcW w:w="1380" w:type="dxa"/>
            <w:vAlign w:val="bottom"/>
            <w:tcBorders>
              <w:left w:val="single" w:sz="8" w:color="auto"/>
              <w:right w:val="single" w:sz="8" w:color="auto"/>
            </w:tcBorders>
            <w:gridSpan w:val="2"/>
          </w:tcPr>
          <w:p>
            <w:pPr>
              <w:ind w:left="40"/>
              <w:spacing w:after="0" w:line="128" w:lineRule="exact"/>
              <w:rPr>
                <w:sz w:val="20"/>
                <w:szCs w:val="20"/>
                <w:color w:val="auto"/>
              </w:rPr>
            </w:pPr>
            <w:r>
              <w:rPr>
                <w:rFonts w:ascii="Arial" w:cs="Arial" w:eastAsia="Arial" w:hAnsi="Arial"/>
                <w:sz w:val="13"/>
                <w:szCs w:val="13"/>
                <w:color w:val="auto"/>
              </w:rPr>
              <w:t>and</w:t>
            </w:r>
          </w:p>
        </w:tc>
        <w:tc>
          <w:tcPr>
            <w:tcW w:w="500" w:type="dxa"/>
            <w:vAlign w:val="bottom"/>
            <w:tcBorders>
              <w:bottom w:val="single" w:sz="8" w:color="auto"/>
              <w:right w:val="single" w:sz="8" w:color="auto"/>
            </w:tcBorders>
            <w:gridSpan w:val="3"/>
            <w:vMerge w:val="continue"/>
          </w:tcPr>
          <w:p>
            <w:pPr>
              <w:spacing w:after="0"/>
              <w:rPr>
                <w:sz w:val="11"/>
                <w:szCs w:val="11"/>
                <w:color w:val="auto"/>
              </w:rPr>
            </w:pPr>
          </w:p>
        </w:tc>
        <w:tc>
          <w:tcPr>
            <w:tcW w:w="860" w:type="dxa"/>
            <w:vAlign w:val="bottom"/>
            <w:tcBorders>
              <w:bottom w:val="single" w:sz="8" w:color="auto"/>
              <w:right w:val="single" w:sz="8" w:color="auto"/>
            </w:tcBorders>
            <w:gridSpan w:val="5"/>
            <w:vMerge w:val="continue"/>
          </w:tcPr>
          <w:p>
            <w:pPr>
              <w:spacing w:after="0"/>
              <w:rPr>
                <w:sz w:val="11"/>
                <w:szCs w:val="11"/>
                <w:color w:val="auto"/>
              </w:rPr>
            </w:pPr>
          </w:p>
        </w:tc>
        <w:tc>
          <w:tcPr>
            <w:tcW w:w="320" w:type="dxa"/>
            <w:vAlign w:val="bottom"/>
            <w:tcBorders>
              <w:bottom w:val="single" w:sz="8" w:color="auto"/>
            </w:tcBorders>
            <w:gridSpan w:val="3"/>
            <w:vMerge w:val="continue"/>
          </w:tcPr>
          <w:p>
            <w:pPr>
              <w:spacing w:after="0"/>
              <w:rPr>
                <w:sz w:val="11"/>
                <w:szCs w:val="11"/>
                <w:color w:val="auto"/>
              </w:rPr>
            </w:pPr>
          </w:p>
        </w:tc>
        <w:tc>
          <w:tcPr>
            <w:tcW w:w="200" w:type="dxa"/>
            <w:vAlign w:val="bottom"/>
            <w:tcBorders>
              <w:bottom w:val="single" w:sz="8" w:color="auto"/>
              <w:right w:val="single" w:sz="8" w:color="auto"/>
            </w:tcBorders>
          </w:tcPr>
          <w:p>
            <w:pPr>
              <w:spacing w:after="0"/>
              <w:rPr>
                <w:sz w:val="11"/>
                <w:szCs w:val="11"/>
                <w:color w:val="auto"/>
              </w:rPr>
            </w:pPr>
          </w:p>
        </w:tc>
        <w:tc>
          <w:tcPr>
            <w:tcW w:w="980" w:type="dxa"/>
            <w:vAlign w:val="bottom"/>
            <w:tcBorders>
              <w:bottom w:val="single" w:sz="8" w:color="auto"/>
              <w:right w:val="single" w:sz="8" w:color="auto"/>
            </w:tcBorders>
            <w:gridSpan w:val="5"/>
            <w:vMerge w:val="continue"/>
          </w:tcPr>
          <w:p>
            <w:pPr>
              <w:spacing w:after="0"/>
              <w:rPr>
                <w:sz w:val="11"/>
                <w:szCs w:val="11"/>
                <w:color w:val="auto"/>
              </w:rPr>
            </w:pPr>
          </w:p>
        </w:tc>
        <w:tc>
          <w:tcPr>
            <w:tcW w:w="480" w:type="dxa"/>
            <w:vAlign w:val="bottom"/>
            <w:tcBorders>
              <w:bottom w:val="single" w:sz="8" w:color="auto"/>
            </w:tcBorders>
            <w:gridSpan w:val="3"/>
            <w:vMerge w:val="continue"/>
          </w:tcPr>
          <w:p>
            <w:pPr>
              <w:spacing w:after="0"/>
              <w:rPr>
                <w:sz w:val="11"/>
                <w:szCs w:val="11"/>
                <w:color w:val="auto"/>
              </w:rPr>
            </w:pPr>
          </w:p>
        </w:tc>
        <w:tc>
          <w:tcPr>
            <w:tcW w:w="200" w:type="dxa"/>
            <w:vAlign w:val="bottom"/>
            <w:tcBorders>
              <w:bottom w:val="single" w:sz="8" w:color="auto"/>
              <w:right w:val="single" w:sz="8" w:color="auto"/>
            </w:tcBorders>
          </w:tcPr>
          <w:p>
            <w:pPr>
              <w:spacing w:after="0"/>
              <w:rPr>
                <w:sz w:val="11"/>
                <w:szCs w:val="11"/>
                <w:color w:val="auto"/>
              </w:rPr>
            </w:pPr>
          </w:p>
        </w:tc>
        <w:tc>
          <w:tcPr>
            <w:tcW w:w="1040" w:type="dxa"/>
            <w:vAlign w:val="bottom"/>
            <w:tcBorders>
              <w:bottom w:val="single" w:sz="8" w:color="auto"/>
              <w:right w:val="single" w:sz="8" w:color="auto"/>
            </w:tcBorders>
            <w:gridSpan w:val="3"/>
            <w:vMerge w:val="continue"/>
          </w:tcPr>
          <w:p>
            <w:pPr>
              <w:spacing w:after="0"/>
              <w:rPr>
                <w:sz w:val="11"/>
                <w:szCs w:val="11"/>
                <w:color w:val="auto"/>
              </w:rPr>
            </w:pPr>
          </w:p>
        </w:tc>
        <w:tc>
          <w:tcPr>
            <w:tcW w:w="1160" w:type="dxa"/>
            <w:vAlign w:val="bottom"/>
            <w:tcBorders>
              <w:bottom w:val="single" w:sz="8" w:color="auto"/>
              <w:right w:val="single" w:sz="8" w:color="auto"/>
            </w:tcBorders>
            <w:gridSpan w:val="4"/>
            <w:vMerge w:val="continue"/>
          </w:tcPr>
          <w:p>
            <w:pPr>
              <w:spacing w:after="0"/>
              <w:rPr>
                <w:sz w:val="11"/>
                <w:szCs w:val="11"/>
                <w:color w:val="auto"/>
              </w:rPr>
            </w:pPr>
          </w:p>
        </w:tc>
        <w:tc>
          <w:tcPr>
            <w:tcW w:w="1020" w:type="dxa"/>
            <w:vAlign w:val="bottom"/>
            <w:tcBorders>
              <w:bottom w:val="single" w:sz="8" w:color="auto"/>
              <w:right w:val="single" w:sz="8" w:color="auto"/>
            </w:tcBorders>
            <w:gridSpan w:val="4"/>
            <w:vMerge w:val="continue"/>
          </w:tcPr>
          <w:p>
            <w:pPr>
              <w:spacing w:after="0"/>
              <w:rPr>
                <w:sz w:val="11"/>
                <w:szCs w:val="11"/>
                <w:color w:val="auto"/>
              </w:rPr>
            </w:pPr>
          </w:p>
        </w:tc>
        <w:tc>
          <w:tcPr>
            <w:tcW w:w="1020" w:type="dxa"/>
            <w:vAlign w:val="bottom"/>
            <w:tcBorders>
              <w:bottom w:val="single" w:sz="8" w:color="auto"/>
              <w:right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380" w:type="dxa"/>
            <w:vAlign w:val="bottom"/>
            <w:tcBorders>
              <w:left w:val="single" w:sz="8" w:color="auto"/>
              <w:right w:val="single" w:sz="8" w:color="auto"/>
            </w:tcBorders>
            <w:gridSpan w:val="2"/>
          </w:tcPr>
          <w:p>
            <w:pPr>
              <w:ind w:left="40"/>
              <w:spacing w:after="0" w:line="140" w:lineRule="exact"/>
              <w:rPr>
                <w:sz w:val="20"/>
                <w:szCs w:val="20"/>
                <w:color w:val="auto"/>
              </w:rPr>
            </w:pPr>
            <w:r>
              <w:rPr>
                <w:rFonts w:ascii="Arial" w:cs="Arial" w:eastAsia="Arial" w:hAnsi="Arial"/>
                <w:sz w:val="13"/>
                <w:szCs w:val="13"/>
                <w:color w:val="auto"/>
              </w:rPr>
              <w:t>General Counsel</w:t>
            </w:r>
          </w:p>
        </w:tc>
        <w:tc>
          <w:tcPr>
            <w:tcW w:w="500" w:type="dxa"/>
            <w:vAlign w:val="bottom"/>
            <w:tcBorders>
              <w:right w:val="single" w:sz="8" w:color="auto"/>
            </w:tcBorders>
            <w:gridSpan w:val="3"/>
            <w:vMerge w:val="restart"/>
          </w:tcPr>
          <w:p>
            <w:pPr>
              <w:jc w:val="center"/>
              <w:ind w:right="20"/>
              <w:spacing w:after="0"/>
              <w:rPr>
                <w:sz w:val="20"/>
                <w:szCs w:val="20"/>
                <w:color w:val="auto"/>
              </w:rPr>
            </w:pPr>
            <w:r>
              <w:rPr>
                <w:rFonts w:ascii="Arial" w:cs="Arial" w:eastAsia="Arial" w:hAnsi="Arial"/>
                <w:sz w:val="14"/>
                <w:szCs w:val="14"/>
                <w:color w:val="auto"/>
              </w:rPr>
              <w:t>2015</w:t>
            </w:r>
          </w:p>
        </w:tc>
        <w:tc>
          <w:tcPr>
            <w:tcW w:w="860" w:type="dxa"/>
            <w:vAlign w:val="bottom"/>
            <w:tcBorders>
              <w:right w:val="single" w:sz="8" w:color="auto"/>
            </w:tcBorders>
            <w:gridSpan w:val="5"/>
            <w:vMerge w:val="restart"/>
          </w:tcPr>
          <w:p>
            <w:pPr>
              <w:jc w:val="right"/>
              <w:ind w:right="60"/>
              <w:spacing w:after="0"/>
              <w:rPr>
                <w:sz w:val="20"/>
                <w:szCs w:val="20"/>
                <w:color w:val="auto"/>
              </w:rPr>
            </w:pPr>
            <w:r>
              <w:rPr>
                <w:rFonts w:ascii="Arial" w:cs="Arial" w:eastAsia="Arial" w:hAnsi="Arial"/>
                <w:sz w:val="14"/>
                <w:szCs w:val="14"/>
                <w:color w:val="auto"/>
              </w:rPr>
              <w:t>$784,167</w:t>
            </w:r>
          </w:p>
        </w:tc>
        <w:tc>
          <w:tcPr>
            <w:tcW w:w="320" w:type="dxa"/>
            <w:vAlign w:val="bottom"/>
            <w:gridSpan w:val="3"/>
            <w:vMerge w:val="restart"/>
          </w:tcPr>
          <w:p>
            <w:pPr>
              <w:jc w:val="center"/>
              <w:ind w:left="88"/>
              <w:spacing w:after="0"/>
              <w:rPr>
                <w:sz w:val="20"/>
                <w:szCs w:val="20"/>
                <w:color w:val="auto"/>
              </w:rPr>
            </w:pPr>
            <w:r>
              <w:rPr>
                <w:rFonts w:ascii="Arial" w:cs="Arial" w:eastAsia="Arial" w:hAnsi="Arial"/>
                <w:sz w:val="14"/>
                <w:szCs w:val="14"/>
                <w:color w:val="auto"/>
              </w:rPr>
              <w:t>$0</w:t>
            </w:r>
          </w:p>
        </w:tc>
        <w:tc>
          <w:tcPr>
            <w:tcW w:w="20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gridSpan w:val="5"/>
            <w:vMerge w:val="restart"/>
          </w:tcPr>
          <w:p>
            <w:pPr>
              <w:jc w:val="center"/>
              <w:ind w:right="20"/>
              <w:spacing w:after="0"/>
              <w:rPr>
                <w:sz w:val="20"/>
                <w:szCs w:val="20"/>
                <w:color w:val="auto"/>
              </w:rPr>
            </w:pPr>
            <w:r>
              <w:rPr>
                <w:rFonts w:ascii="Arial" w:cs="Arial" w:eastAsia="Arial" w:hAnsi="Arial"/>
                <w:sz w:val="14"/>
                <w:szCs w:val="14"/>
                <w:color w:val="auto"/>
              </w:rPr>
              <w:t>$2,610,500</w:t>
            </w:r>
          </w:p>
        </w:tc>
        <w:tc>
          <w:tcPr>
            <w:tcW w:w="480" w:type="dxa"/>
            <w:vAlign w:val="bottom"/>
            <w:gridSpan w:val="3"/>
            <w:vMerge w:val="restart"/>
          </w:tcPr>
          <w:p>
            <w:pPr>
              <w:jc w:val="center"/>
              <w:ind w:left="208"/>
              <w:spacing w:after="0"/>
              <w:rPr>
                <w:sz w:val="20"/>
                <w:szCs w:val="20"/>
                <w:color w:val="auto"/>
              </w:rPr>
            </w:pPr>
            <w:r>
              <w:rPr>
                <w:rFonts w:ascii="Arial" w:cs="Arial" w:eastAsia="Arial" w:hAnsi="Arial"/>
                <w:sz w:val="14"/>
                <w:szCs w:val="14"/>
                <w:color w:val="auto"/>
              </w:rPr>
              <w:t>$0</w:t>
            </w:r>
          </w:p>
        </w:tc>
        <w:tc>
          <w:tcPr>
            <w:tcW w:w="20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gridSpan w:val="3"/>
            <w:vMerge w:val="restart"/>
          </w:tcPr>
          <w:p>
            <w:pPr>
              <w:jc w:val="right"/>
              <w:ind w:right="15"/>
              <w:spacing w:after="0"/>
              <w:rPr>
                <w:sz w:val="20"/>
                <w:szCs w:val="20"/>
                <w:color w:val="auto"/>
              </w:rPr>
            </w:pPr>
            <w:r>
              <w:rPr>
                <w:rFonts w:ascii="Arial" w:cs="Arial" w:eastAsia="Arial" w:hAnsi="Arial"/>
                <w:sz w:val="14"/>
                <w:szCs w:val="14"/>
                <w:color w:val="auto"/>
              </w:rPr>
              <w:t>$946,881</w:t>
            </w:r>
          </w:p>
        </w:tc>
        <w:tc>
          <w:tcPr>
            <w:tcW w:w="1160" w:type="dxa"/>
            <w:vAlign w:val="bottom"/>
            <w:tcBorders>
              <w:right w:val="single" w:sz="8" w:color="auto"/>
            </w:tcBorders>
            <w:gridSpan w:val="4"/>
            <w:vMerge w:val="restart"/>
          </w:tcPr>
          <w:p>
            <w:pPr>
              <w:jc w:val="right"/>
              <w:ind w:right="220"/>
              <w:spacing w:after="0"/>
              <w:rPr>
                <w:sz w:val="20"/>
                <w:szCs w:val="20"/>
                <w:color w:val="auto"/>
              </w:rPr>
            </w:pPr>
            <w:r>
              <w:rPr>
                <w:rFonts w:ascii="Arial" w:cs="Arial" w:eastAsia="Arial" w:hAnsi="Arial"/>
                <w:sz w:val="14"/>
                <w:szCs w:val="14"/>
                <w:color w:val="auto"/>
              </w:rPr>
              <w:t>$391,899</w:t>
            </w:r>
          </w:p>
        </w:tc>
        <w:tc>
          <w:tcPr>
            <w:tcW w:w="1020" w:type="dxa"/>
            <w:vAlign w:val="bottom"/>
            <w:tcBorders>
              <w:right w:val="single" w:sz="8" w:color="auto"/>
            </w:tcBorders>
            <w:gridSpan w:val="4"/>
            <w:vMerge w:val="restart"/>
          </w:tcPr>
          <w:p>
            <w:pPr>
              <w:jc w:val="right"/>
              <w:ind w:right="60"/>
              <w:spacing w:after="0"/>
              <w:rPr>
                <w:sz w:val="20"/>
                <w:szCs w:val="20"/>
                <w:color w:val="auto"/>
              </w:rPr>
            </w:pPr>
            <w:r>
              <w:rPr>
                <w:rFonts w:ascii="Arial" w:cs="Arial" w:eastAsia="Arial" w:hAnsi="Arial"/>
                <w:sz w:val="14"/>
                <w:szCs w:val="14"/>
                <w:color w:val="auto"/>
              </w:rPr>
              <w:t>$47,050</w:t>
            </w:r>
          </w:p>
        </w:tc>
        <w:tc>
          <w:tcPr>
            <w:tcW w:w="1020" w:type="dxa"/>
            <w:vAlign w:val="bottom"/>
            <w:tcBorders>
              <w:right w:val="single" w:sz="8" w:color="auto"/>
            </w:tcBorders>
            <w:gridSpan w:val="2"/>
            <w:vMerge w:val="restart"/>
          </w:tcPr>
          <w:p>
            <w:pPr>
              <w:jc w:val="right"/>
              <w:spacing w:after="0"/>
              <w:rPr>
                <w:sz w:val="20"/>
                <w:szCs w:val="20"/>
                <w:color w:val="auto"/>
              </w:rPr>
            </w:pPr>
            <w:r>
              <w:rPr>
                <w:rFonts w:ascii="Arial" w:cs="Arial" w:eastAsia="Arial" w:hAnsi="Arial"/>
                <w:sz w:val="14"/>
                <w:szCs w:val="14"/>
                <w:color w:val="auto"/>
              </w:rPr>
              <w:t>$4,780,497</w:t>
            </w:r>
          </w:p>
        </w:tc>
        <w:tc>
          <w:tcPr>
            <w:tcW w:w="0" w:type="dxa"/>
            <w:vAlign w:val="bottom"/>
          </w:tcPr>
          <w:p>
            <w:pPr>
              <w:spacing w:after="0"/>
              <w:rPr>
                <w:sz w:val="1"/>
                <w:szCs w:val="1"/>
                <w:color w:val="auto"/>
              </w:rPr>
            </w:pPr>
          </w:p>
        </w:tc>
      </w:tr>
      <w:tr>
        <w:trPr>
          <w:trHeight w:val="118"/>
        </w:trPr>
        <w:tc>
          <w:tcPr>
            <w:tcW w:w="560" w:type="dxa"/>
            <w:vAlign w:val="bottom"/>
            <w:tcBorders>
              <w:left w:val="single" w:sz="8" w:color="auto"/>
              <w:bottom w:val="single" w:sz="8" w:color="auto"/>
            </w:tcBorders>
          </w:tcPr>
          <w:p>
            <w:pPr>
              <w:spacing w:after="0"/>
              <w:rPr>
                <w:sz w:val="10"/>
                <w:szCs w:val="10"/>
                <w:color w:val="auto"/>
              </w:rPr>
            </w:pPr>
          </w:p>
        </w:tc>
        <w:tc>
          <w:tcPr>
            <w:tcW w:w="820" w:type="dxa"/>
            <w:vAlign w:val="bottom"/>
            <w:tcBorders>
              <w:bottom w:val="single" w:sz="8" w:color="auto"/>
              <w:right w:val="single" w:sz="8" w:color="auto"/>
            </w:tcBorders>
          </w:tcPr>
          <w:p>
            <w:pPr>
              <w:spacing w:after="0"/>
              <w:rPr>
                <w:sz w:val="10"/>
                <w:szCs w:val="10"/>
                <w:color w:val="auto"/>
              </w:rPr>
            </w:pPr>
          </w:p>
        </w:tc>
        <w:tc>
          <w:tcPr>
            <w:tcW w:w="500" w:type="dxa"/>
            <w:vAlign w:val="bottom"/>
            <w:tcBorders>
              <w:bottom w:val="single" w:sz="8" w:color="auto"/>
              <w:right w:val="single" w:sz="8" w:color="auto"/>
            </w:tcBorders>
            <w:gridSpan w:val="3"/>
            <w:vMerge w:val="continue"/>
          </w:tcPr>
          <w:p>
            <w:pPr>
              <w:spacing w:after="0"/>
              <w:rPr>
                <w:sz w:val="10"/>
                <w:szCs w:val="10"/>
                <w:color w:val="auto"/>
              </w:rPr>
            </w:pPr>
          </w:p>
        </w:tc>
        <w:tc>
          <w:tcPr>
            <w:tcW w:w="860" w:type="dxa"/>
            <w:vAlign w:val="bottom"/>
            <w:tcBorders>
              <w:bottom w:val="single" w:sz="8" w:color="auto"/>
              <w:right w:val="single" w:sz="8" w:color="auto"/>
            </w:tcBorders>
            <w:gridSpan w:val="5"/>
            <w:vMerge w:val="continue"/>
          </w:tcPr>
          <w:p>
            <w:pPr>
              <w:spacing w:after="0"/>
              <w:rPr>
                <w:sz w:val="10"/>
                <w:szCs w:val="10"/>
                <w:color w:val="auto"/>
              </w:rPr>
            </w:pPr>
          </w:p>
        </w:tc>
        <w:tc>
          <w:tcPr>
            <w:tcW w:w="320" w:type="dxa"/>
            <w:vAlign w:val="bottom"/>
            <w:tcBorders>
              <w:bottom w:val="single" w:sz="8" w:color="auto"/>
            </w:tcBorders>
            <w:gridSpan w:val="3"/>
            <w:vMerge w:val="continue"/>
          </w:tcPr>
          <w:p>
            <w:pPr>
              <w:spacing w:after="0"/>
              <w:rPr>
                <w:sz w:val="10"/>
                <w:szCs w:val="10"/>
                <w:color w:val="auto"/>
              </w:rPr>
            </w:pPr>
          </w:p>
        </w:tc>
        <w:tc>
          <w:tcPr>
            <w:tcW w:w="200" w:type="dxa"/>
            <w:vAlign w:val="bottom"/>
            <w:tcBorders>
              <w:bottom w:val="single" w:sz="8" w:color="auto"/>
              <w:right w:val="single" w:sz="8" w:color="auto"/>
            </w:tcBorders>
          </w:tcPr>
          <w:p>
            <w:pPr>
              <w:spacing w:after="0"/>
              <w:rPr>
                <w:sz w:val="10"/>
                <w:szCs w:val="10"/>
                <w:color w:val="auto"/>
              </w:rPr>
            </w:pPr>
          </w:p>
        </w:tc>
        <w:tc>
          <w:tcPr>
            <w:tcW w:w="980" w:type="dxa"/>
            <w:vAlign w:val="bottom"/>
            <w:tcBorders>
              <w:bottom w:val="single" w:sz="8" w:color="auto"/>
              <w:right w:val="single" w:sz="8" w:color="auto"/>
            </w:tcBorders>
            <w:gridSpan w:val="5"/>
            <w:vMerge w:val="continue"/>
          </w:tcPr>
          <w:p>
            <w:pPr>
              <w:spacing w:after="0"/>
              <w:rPr>
                <w:sz w:val="10"/>
                <w:szCs w:val="10"/>
                <w:color w:val="auto"/>
              </w:rPr>
            </w:pPr>
          </w:p>
        </w:tc>
        <w:tc>
          <w:tcPr>
            <w:tcW w:w="480" w:type="dxa"/>
            <w:vAlign w:val="bottom"/>
            <w:tcBorders>
              <w:bottom w:val="single" w:sz="8" w:color="auto"/>
            </w:tcBorders>
            <w:gridSpan w:val="3"/>
            <w:vMerge w:val="continue"/>
          </w:tcPr>
          <w:p>
            <w:pPr>
              <w:spacing w:after="0"/>
              <w:rPr>
                <w:sz w:val="10"/>
                <w:szCs w:val="10"/>
                <w:color w:val="auto"/>
              </w:rPr>
            </w:pPr>
          </w:p>
        </w:tc>
        <w:tc>
          <w:tcPr>
            <w:tcW w:w="200" w:type="dxa"/>
            <w:vAlign w:val="bottom"/>
            <w:tcBorders>
              <w:bottom w:val="single" w:sz="8" w:color="auto"/>
              <w:right w:val="single" w:sz="8" w:color="auto"/>
            </w:tcBorders>
          </w:tcPr>
          <w:p>
            <w:pPr>
              <w:spacing w:after="0"/>
              <w:rPr>
                <w:sz w:val="10"/>
                <w:szCs w:val="10"/>
                <w:color w:val="auto"/>
              </w:rPr>
            </w:pPr>
          </w:p>
        </w:tc>
        <w:tc>
          <w:tcPr>
            <w:tcW w:w="1040" w:type="dxa"/>
            <w:vAlign w:val="bottom"/>
            <w:tcBorders>
              <w:bottom w:val="single" w:sz="8" w:color="auto"/>
              <w:right w:val="single" w:sz="8" w:color="auto"/>
            </w:tcBorders>
            <w:gridSpan w:val="3"/>
            <w:vMerge w:val="continue"/>
          </w:tcPr>
          <w:p>
            <w:pPr>
              <w:spacing w:after="0"/>
              <w:rPr>
                <w:sz w:val="10"/>
                <w:szCs w:val="10"/>
                <w:color w:val="auto"/>
              </w:rPr>
            </w:pPr>
          </w:p>
        </w:tc>
        <w:tc>
          <w:tcPr>
            <w:tcW w:w="1160" w:type="dxa"/>
            <w:vAlign w:val="bottom"/>
            <w:tcBorders>
              <w:bottom w:val="single" w:sz="8" w:color="auto"/>
              <w:right w:val="single" w:sz="8" w:color="auto"/>
            </w:tcBorders>
            <w:gridSpan w:val="4"/>
            <w:vMerge w:val="continue"/>
          </w:tcPr>
          <w:p>
            <w:pPr>
              <w:spacing w:after="0"/>
              <w:rPr>
                <w:sz w:val="10"/>
                <w:szCs w:val="10"/>
                <w:color w:val="auto"/>
              </w:rPr>
            </w:pPr>
          </w:p>
        </w:tc>
        <w:tc>
          <w:tcPr>
            <w:tcW w:w="1020" w:type="dxa"/>
            <w:vAlign w:val="bottom"/>
            <w:tcBorders>
              <w:bottom w:val="single" w:sz="8" w:color="auto"/>
              <w:right w:val="single" w:sz="8" w:color="auto"/>
            </w:tcBorders>
            <w:gridSpan w:val="4"/>
            <w:vMerge w:val="continue"/>
          </w:tcPr>
          <w:p>
            <w:pPr>
              <w:spacing w:after="0"/>
              <w:rPr>
                <w:sz w:val="10"/>
                <w:szCs w:val="10"/>
                <w:color w:val="auto"/>
              </w:rPr>
            </w:pPr>
          </w:p>
        </w:tc>
        <w:tc>
          <w:tcPr>
            <w:tcW w:w="1020" w:type="dxa"/>
            <w:vAlign w:val="bottom"/>
            <w:tcBorders>
              <w:bottom w:val="single" w:sz="8" w:color="auto"/>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80" w:right="40" w:firstLine="9"/>
        <w:spacing w:after="0" w:line="260" w:lineRule="auto"/>
        <w:tabs>
          <w:tab w:leader="none" w:pos="170" w:val="left"/>
        </w:tabs>
        <w:numPr>
          <w:ilvl w:val="0"/>
          <w:numId w:val="63"/>
        </w:numPr>
        <w:rPr>
          <w:rFonts w:ascii="Arial" w:cs="Arial" w:eastAsia="Arial" w:hAnsi="Arial"/>
          <w:sz w:val="21"/>
          <w:szCs w:val="21"/>
          <w:color w:val="auto"/>
          <w:vertAlign w:val="superscript"/>
        </w:rPr>
      </w:pPr>
      <w:r>
        <w:rPr>
          <w:rFonts w:ascii="Arial" w:cs="Arial" w:eastAsia="Arial" w:hAnsi="Arial"/>
          <w:sz w:val="17"/>
          <w:szCs w:val="17"/>
          <w:color w:val="auto"/>
        </w:rPr>
        <w:t xml:space="preserve">This column shows the grant date fair value of performance awards and shareholder value awards computed in accordance with FASB ASC Topic 718. See </w:t>
      </w:r>
      <w:r>
        <w:rPr>
          <w:rFonts w:ascii="Arial" w:cs="Arial" w:eastAsia="Arial" w:hAnsi="Arial"/>
          <w:sz w:val="17"/>
          <w:szCs w:val="17"/>
          <w:u w:val="single" w:color="auto"/>
          <w:color w:val="auto"/>
        </w:rPr>
        <w:t>Note 11</w:t>
      </w:r>
      <w:r>
        <w:rPr>
          <w:rFonts w:ascii="Arial" w:cs="Arial" w:eastAsia="Arial" w:hAnsi="Arial"/>
          <w:sz w:val="17"/>
          <w:szCs w:val="17"/>
          <w:color w:val="auto"/>
        </w:rPr>
        <w:t xml:space="preserve"> of the consolidated financial statements in the company’s Annual Report on Form 10-K for the fiscal year ended December 31, 2017 for additional detail regarding assumptions underlying the valuation of equity awards. All values in the “Stock Awards” column were based upon the probable outcome of performance conditions as of the grant date, which vary year to year. For 2017, the probable outcome of the performance awards at the time of grant was at maximum. As a result, the values in the "Stock Awards" column are above target. For Mr. Conterno, this column shows both the grant date fair value of performance awards and shareholder value awards, as well as a special retention grant of $3 million he received in recognition of his leadership in delivering the company's strategy and providing continuity in a time of significant transition at the company; this special retention grant will vest on December 11, 2021, and it will be forfeited if Mr. Conterno resigns or retires from the company prior to that date.</w:t>
      </w:r>
    </w:p>
    <w:p>
      <w:pPr>
        <w:spacing w:after="0" w:line="151" w:lineRule="exact"/>
        <w:rPr>
          <w:sz w:val="20"/>
          <w:szCs w:val="20"/>
          <w:color w:val="auto"/>
        </w:rPr>
      </w:pPr>
    </w:p>
    <w:p>
      <w:pPr>
        <w:ind w:left="80"/>
        <w:spacing w:after="0"/>
        <w:rPr>
          <w:sz w:val="20"/>
          <w:szCs w:val="20"/>
          <w:color w:val="auto"/>
        </w:rPr>
      </w:pPr>
      <w:r>
        <w:rPr>
          <w:rFonts w:ascii="Arial" w:cs="Arial" w:eastAsia="Arial" w:hAnsi="Arial"/>
          <w:sz w:val="18"/>
          <w:szCs w:val="18"/>
          <w:color w:val="auto"/>
        </w:rPr>
        <w:t>For purposes of comparison, the supplemental table below shows the total target grant values approved by the committee:</w:t>
      </w:r>
    </w:p>
    <w:p>
      <w:pPr>
        <w:spacing w:after="0" w:line="125" w:lineRule="exact"/>
        <w:rPr>
          <w:sz w:val="20"/>
          <w:szCs w:val="20"/>
          <w:color w:val="auto"/>
        </w:rPr>
      </w:pPr>
    </w:p>
    <w:tbl>
      <w:tblPr>
        <w:tblLayout w:type="fixed"/>
        <w:tblInd w:w="3190" w:type="dxa"/>
        <w:tblCellMar>
          <w:top w:w="0" w:type="dxa"/>
          <w:left w:w="0" w:type="dxa"/>
          <w:bottom w:w="0" w:type="dxa"/>
          <w:right w:w="0" w:type="dxa"/>
        </w:tblCellMar>
      </w:tblPr>
      <w:tr>
        <w:trPr>
          <w:trHeight w:val="224"/>
        </w:trPr>
        <w:tc>
          <w:tcPr>
            <w:tcW w:w="1280" w:type="dxa"/>
            <w:vAlign w:val="bottom"/>
            <w:tcBorders>
              <w:top w:val="single" w:sz="8" w:color="auto"/>
              <w:left w:val="single" w:sz="8" w:color="auto"/>
              <w:bottom w:val="single" w:sz="8" w:color="auto"/>
              <w:right w:val="single" w:sz="8" w:color="auto"/>
            </w:tcBorders>
            <w:shd w:val="clear" w:color="auto" w:fill="E3E3E3"/>
          </w:tcPr>
          <w:p>
            <w:pPr>
              <w:ind w:left="40"/>
              <w:spacing w:after="0"/>
              <w:rPr>
                <w:sz w:val="20"/>
                <w:szCs w:val="20"/>
                <w:color w:val="auto"/>
              </w:rPr>
            </w:pPr>
            <w:r>
              <w:rPr>
                <w:rFonts w:ascii="Arial" w:cs="Arial" w:eastAsia="Arial" w:hAnsi="Arial"/>
                <w:sz w:val="14"/>
                <w:szCs w:val="14"/>
                <w:b w:val="1"/>
                <w:bCs w:val="1"/>
                <w:color w:val="auto"/>
              </w:rPr>
              <w:t>Name</w:t>
            </w:r>
          </w:p>
        </w:tc>
        <w:tc>
          <w:tcPr>
            <w:tcW w:w="1300" w:type="dxa"/>
            <w:vAlign w:val="bottom"/>
            <w:tcBorders>
              <w:top w:val="single" w:sz="8" w:color="auto"/>
              <w:bottom w:val="single" w:sz="8" w:color="auto"/>
              <w:right w:val="single" w:sz="8" w:color="auto"/>
            </w:tcBorders>
            <w:shd w:val="clear" w:color="auto" w:fill="E3E3E3"/>
          </w:tcPr>
          <w:p>
            <w:pPr>
              <w:jc w:val="center"/>
              <w:spacing w:after="0"/>
              <w:rPr>
                <w:sz w:val="20"/>
                <w:szCs w:val="20"/>
                <w:color w:val="auto"/>
              </w:rPr>
            </w:pPr>
            <w:r>
              <w:rPr>
                <w:rFonts w:ascii="Arial" w:cs="Arial" w:eastAsia="Arial" w:hAnsi="Arial"/>
                <w:sz w:val="14"/>
                <w:szCs w:val="14"/>
                <w:b w:val="1"/>
                <w:bCs w:val="1"/>
                <w:color w:val="auto"/>
              </w:rPr>
              <w:t>2015 Total Equity</w:t>
            </w:r>
          </w:p>
        </w:tc>
        <w:tc>
          <w:tcPr>
            <w:tcW w:w="1300" w:type="dxa"/>
            <w:vAlign w:val="bottom"/>
            <w:tcBorders>
              <w:top w:val="single" w:sz="8" w:color="auto"/>
              <w:bottom w:val="single" w:sz="8" w:color="auto"/>
              <w:right w:val="single" w:sz="8" w:color="auto"/>
            </w:tcBorders>
            <w:shd w:val="clear" w:color="auto" w:fill="E3E3E3"/>
          </w:tcPr>
          <w:p>
            <w:pPr>
              <w:jc w:val="center"/>
              <w:spacing w:after="0"/>
              <w:rPr>
                <w:sz w:val="20"/>
                <w:szCs w:val="20"/>
                <w:color w:val="auto"/>
              </w:rPr>
            </w:pPr>
            <w:r>
              <w:rPr>
                <w:rFonts w:ascii="Arial" w:cs="Arial" w:eastAsia="Arial" w:hAnsi="Arial"/>
                <w:sz w:val="14"/>
                <w:szCs w:val="14"/>
                <w:b w:val="1"/>
                <w:bCs w:val="1"/>
                <w:color w:val="auto"/>
              </w:rPr>
              <w:t>2016 Total Equity</w:t>
            </w:r>
          </w:p>
        </w:tc>
        <w:tc>
          <w:tcPr>
            <w:tcW w:w="1280" w:type="dxa"/>
            <w:vAlign w:val="bottom"/>
            <w:tcBorders>
              <w:top w:val="single" w:sz="8" w:color="auto"/>
              <w:bottom w:val="single" w:sz="8" w:color="auto"/>
              <w:right w:val="single" w:sz="8" w:color="auto"/>
            </w:tcBorders>
            <w:shd w:val="clear" w:color="auto" w:fill="E3E3E3"/>
          </w:tcPr>
          <w:p>
            <w:pPr>
              <w:jc w:val="center"/>
              <w:spacing w:after="0"/>
              <w:rPr>
                <w:sz w:val="20"/>
                <w:szCs w:val="20"/>
                <w:color w:val="auto"/>
              </w:rPr>
            </w:pPr>
            <w:r>
              <w:rPr>
                <w:rFonts w:ascii="Arial" w:cs="Arial" w:eastAsia="Arial" w:hAnsi="Arial"/>
                <w:sz w:val="14"/>
                <w:szCs w:val="14"/>
                <w:b w:val="1"/>
                <w:bCs w:val="1"/>
                <w:color w:val="auto"/>
              </w:rPr>
              <w:t>2017 Total Equity</w:t>
            </w:r>
          </w:p>
        </w:tc>
      </w:tr>
      <w:tr>
        <w:trPr>
          <w:trHeight w:val="210"/>
        </w:trPr>
        <w:tc>
          <w:tcPr>
            <w:tcW w:w="12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Mr. Ricks</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N/A</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N/A</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$8,500,000</w:t>
            </w:r>
          </w:p>
        </w:tc>
      </w:tr>
      <w:tr>
        <w:trPr>
          <w:trHeight w:val="210"/>
        </w:trPr>
        <w:tc>
          <w:tcPr>
            <w:tcW w:w="12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Mr. Conterno</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$2,000,000</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$2,200,000</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$2,500,000</w:t>
            </w:r>
          </w:p>
        </w:tc>
      </w:tr>
      <w:tr>
        <w:trPr>
          <w:trHeight w:val="210"/>
        </w:trPr>
        <w:tc>
          <w:tcPr>
            <w:tcW w:w="12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Mr. Rice (retired)</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$3,800,000</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$3,800,000</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$3,800,000</w:t>
            </w:r>
          </w:p>
        </w:tc>
      </w:tr>
      <w:tr>
        <w:trPr>
          <w:trHeight w:val="210"/>
        </w:trPr>
        <w:tc>
          <w:tcPr>
            <w:tcW w:w="12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Dr. Lundberg</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$3,400,000</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$3,600,000</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$3,600,000</w:t>
            </w:r>
          </w:p>
        </w:tc>
      </w:tr>
      <w:tr>
        <w:trPr>
          <w:trHeight w:val="210"/>
        </w:trPr>
        <w:tc>
          <w:tcPr>
            <w:tcW w:w="12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Mr. Harrington</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$2,300,000</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$2,300,000</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$2,300,000</w:t>
            </w:r>
          </w:p>
        </w:tc>
      </w:tr>
    </w:tbl>
    <w:p>
      <w:pPr>
        <w:spacing w:after="0" w:line="215"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The table below shows the minimum, target, and maximum payouts (using the grant date fair value) for the 2017-2019 performance awards included in the Summary Compensation Table.</w:t>
      </w:r>
    </w:p>
    <w:p>
      <w:pPr>
        <w:spacing w:after="0" w:line="2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P50</w:t>
      </w:r>
    </w:p>
    <w:p>
      <w:pPr>
        <w:sectPr>
          <w:pgSz w:w="11900" w:h="16838" w:orient="portrait"/>
          <w:cols w:equalWidth="0" w:num="1">
            <w:col w:w="11420"/>
          </w:cols>
          <w:pgMar w:left="240" w:top="559" w:right="239" w:bottom="1440" w:gutter="0" w:footer="0" w:header="0"/>
          <w:type w:val="continuous"/>
        </w:sectPr>
      </w:pPr>
    </w:p>
    <w:bookmarkStart w:id="54" w:name="page55"/>
    <w:bookmarkEnd w:id="54"/>
    <w:tbl>
      <w:tblPr>
        <w:tblLayout w:type="fixed"/>
        <w:tblInd w:w="2370" w:type="dxa"/>
        <w:tblCellMar>
          <w:top w:w="0" w:type="dxa"/>
          <w:left w:w="0" w:type="dxa"/>
          <w:bottom w:w="0" w:type="dxa"/>
          <w:right w:w="0" w:type="dxa"/>
        </w:tblCellMar>
      </w:tblPr>
      <w:tr>
        <w:trPr>
          <w:trHeight w:val="235"/>
        </w:trPr>
        <w:tc>
          <w:tcPr>
            <w:tcW w:w="1820" w:type="dxa"/>
            <w:vAlign w:val="bottom"/>
            <w:tcBorders>
              <w:top w:val="single" w:sz="8" w:color="auto"/>
              <w:left w:val="single" w:sz="8" w:color="auto"/>
              <w:bottom w:val="single" w:sz="8" w:color="DDDDDD"/>
              <w:right w:val="single" w:sz="8" w:color="auto"/>
            </w:tcBorders>
            <w:shd w:val="clear" w:color="auto" w:fill="DDDDDD"/>
          </w:tcPr>
          <w:p>
            <w:pPr>
              <w:ind w:left="40"/>
              <w:spacing w:after="0"/>
              <w:rPr>
                <w:sz w:val="20"/>
                <w:szCs w:val="20"/>
                <w:color w:val="auto"/>
              </w:rPr>
            </w:pPr>
            <w:r>
              <w:rPr>
                <w:rFonts w:ascii="Arial" w:cs="Arial" w:eastAsia="Arial" w:hAnsi="Arial"/>
                <w:sz w:val="14"/>
                <w:szCs w:val="14"/>
                <w:b w:val="1"/>
                <w:bCs w:val="1"/>
                <w:color w:val="auto"/>
                <w:highlight w:val="lightGray"/>
              </w:rPr>
              <w:t>Name</w:t>
            </w:r>
          </w:p>
        </w:tc>
        <w:tc>
          <w:tcPr>
            <w:tcW w:w="1260" w:type="dxa"/>
            <w:vAlign w:val="bottom"/>
            <w:tcBorders>
              <w:top w:val="single" w:sz="8" w:color="auto"/>
              <w:bottom w:val="single" w:sz="8" w:color="DDDDDD"/>
              <w:right w:val="single" w:sz="8" w:color="auto"/>
            </w:tcBorders>
            <w:shd w:val="clear" w:color="auto" w:fill="DDDDDD"/>
          </w:tcPr>
          <w:p>
            <w:pPr>
              <w:jc w:val="center"/>
              <w:spacing w:after="0"/>
              <w:rPr>
                <w:sz w:val="20"/>
                <w:szCs w:val="20"/>
                <w:color w:val="auto"/>
              </w:rPr>
            </w:pPr>
            <w:r>
              <w:rPr>
                <w:rFonts w:ascii="Arial" w:cs="Arial" w:eastAsia="Arial" w:hAnsi="Arial"/>
                <w:sz w:val="14"/>
                <w:szCs w:val="14"/>
                <w:b w:val="1"/>
                <w:bCs w:val="1"/>
                <w:color w:val="auto"/>
                <w:highlight w:val="lightGray"/>
              </w:rPr>
              <w:t>Payout Date</w:t>
            </w:r>
          </w:p>
        </w:tc>
        <w:tc>
          <w:tcPr>
            <w:tcW w:w="1260" w:type="dxa"/>
            <w:vAlign w:val="bottom"/>
            <w:tcBorders>
              <w:top w:val="single" w:sz="8" w:color="auto"/>
              <w:bottom w:val="single" w:sz="8" w:color="DDDDDD"/>
              <w:right w:val="single" w:sz="8" w:color="auto"/>
            </w:tcBorders>
            <w:shd w:val="clear" w:color="auto" w:fill="DDDDDD"/>
          </w:tcPr>
          <w:p>
            <w:pPr>
              <w:jc w:val="center"/>
              <w:spacing w:after="0"/>
              <w:rPr>
                <w:sz w:val="20"/>
                <w:szCs w:val="20"/>
                <w:color w:val="auto"/>
              </w:rPr>
            </w:pPr>
            <w:r>
              <w:rPr>
                <w:rFonts w:ascii="Arial" w:cs="Arial" w:eastAsia="Arial" w:hAnsi="Arial"/>
                <w:sz w:val="14"/>
                <w:szCs w:val="14"/>
                <w:b w:val="1"/>
                <w:bCs w:val="1"/>
                <w:color w:val="auto"/>
                <w:highlight w:val="lightGray"/>
              </w:rPr>
              <w:t>Minimum Payout</w:t>
            </w:r>
          </w:p>
        </w:tc>
        <w:tc>
          <w:tcPr>
            <w:tcW w:w="1060" w:type="dxa"/>
            <w:vAlign w:val="bottom"/>
            <w:tcBorders>
              <w:top w:val="single" w:sz="8" w:color="auto"/>
              <w:bottom w:val="single" w:sz="8" w:color="DDDDDD"/>
              <w:right w:val="single" w:sz="8" w:color="auto"/>
            </w:tcBorders>
            <w:shd w:val="clear" w:color="auto" w:fill="DDDDDD"/>
          </w:tcPr>
          <w:p>
            <w:pPr>
              <w:ind w:left="40"/>
              <w:spacing w:after="0"/>
              <w:rPr>
                <w:sz w:val="20"/>
                <w:szCs w:val="20"/>
                <w:color w:val="auto"/>
              </w:rPr>
            </w:pPr>
            <w:r>
              <w:rPr>
                <w:rFonts w:ascii="Arial" w:cs="Arial" w:eastAsia="Arial" w:hAnsi="Arial"/>
                <w:sz w:val="14"/>
                <w:szCs w:val="14"/>
                <w:b w:val="1"/>
                <w:bCs w:val="1"/>
                <w:color w:val="auto"/>
                <w:highlight w:val="lightGray"/>
              </w:rPr>
              <w:t>Target Payout</w:t>
            </w:r>
          </w:p>
        </w:tc>
        <w:tc>
          <w:tcPr>
            <w:tcW w:w="1340" w:type="dxa"/>
            <w:vAlign w:val="bottom"/>
            <w:tcBorders>
              <w:top w:val="single" w:sz="8" w:color="auto"/>
              <w:bottom w:val="single" w:sz="8" w:color="DDDDDD"/>
              <w:right w:val="single" w:sz="8" w:color="auto"/>
            </w:tcBorders>
            <w:shd w:val="clear" w:color="auto" w:fill="DDDDDD"/>
          </w:tcPr>
          <w:p>
            <w:pPr>
              <w:jc w:val="center"/>
              <w:spacing w:after="0"/>
              <w:rPr>
                <w:sz w:val="20"/>
                <w:szCs w:val="20"/>
                <w:color w:val="auto"/>
              </w:rPr>
            </w:pPr>
            <w:r>
              <w:rPr>
                <w:rFonts w:ascii="Arial" w:cs="Arial" w:eastAsia="Arial" w:hAnsi="Arial"/>
                <w:sz w:val="14"/>
                <w:szCs w:val="14"/>
                <w:b w:val="1"/>
                <w:bCs w:val="1"/>
                <w:color w:val="auto"/>
                <w:highlight w:val="lightGray"/>
              </w:rPr>
              <w:t>Maximum Payout</w:t>
            </w:r>
          </w:p>
        </w:tc>
      </w:tr>
      <w:tr>
        <w:trPr>
          <w:trHeight w:val="204"/>
        </w:trPr>
        <w:tc>
          <w:tcPr>
            <w:tcW w:w="182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Mr. Ricks</w:t>
            </w:r>
          </w:p>
        </w:tc>
        <w:tc>
          <w:tcPr>
            <w:tcW w:w="12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January 2019</w:t>
            </w:r>
          </w:p>
        </w:tc>
        <w:tc>
          <w:tcPr>
            <w:tcW w:w="12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10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$3,400,000</w:t>
            </w:r>
          </w:p>
        </w:tc>
        <w:tc>
          <w:tcPr>
            <w:tcW w:w="13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$5,100,000</w:t>
            </w:r>
          </w:p>
        </w:tc>
      </w:tr>
      <w:tr>
        <w:trPr>
          <w:trHeight w:val="210"/>
        </w:trPr>
        <w:tc>
          <w:tcPr>
            <w:tcW w:w="1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Mr. Conterno</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January 2019</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$1,000,000</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$1,500,000</w:t>
            </w:r>
          </w:p>
        </w:tc>
      </w:tr>
      <w:tr>
        <w:trPr>
          <w:trHeight w:val="210"/>
        </w:trPr>
        <w:tc>
          <w:tcPr>
            <w:tcW w:w="1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Mr. Rice (retired)</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January 2019</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$1,520,000</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$2,280,000</w:t>
            </w:r>
          </w:p>
        </w:tc>
      </w:tr>
      <w:tr>
        <w:trPr>
          <w:trHeight w:val="210"/>
        </w:trPr>
        <w:tc>
          <w:tcPr>
            <w:tcW w:w="1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Dr. Lundberg</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January 2019</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$1,440,000</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$2,160,000</w:t>
            </w:r>
          </w:p>
        </w:tc>
      </w:tr>
      <w:tr>
        <w:trPr>
          <w:trHeight w:val="210"/>
        </w:trPr>
        <w:tc>
          <w:tcPr>
            <w:tcW w:w="1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Mr. Harrington</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January 2019</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$920,000</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$1,380,000</w:t>
            </w:r>
          </w:p>
        </w:tc>
      </w:tr>
    </w:tbl>
    <w:p>
      <w:pPr>
        <w:spacing w:after="0" w:line="377" w:lineRule="exact"/>
        <w:rPr>
          <w:sz w:val="20"/>
          <w:szCs w:val="20"/>
          <w:color w:val="auto"/>
        </w:rPr>
      </w:pPr>
    </w:p>
    <w:p>
      <w:pPr>
        <w:ind w:right="540"/>
        <w:spacing w:after="0" w:line="262" w:lineRule="auto"/>
        <w:rPr>
          <w:sz w:val="20"/>
          <w:szCs w:val="20"/>
          <w:color w:val="auto"/>
        </w:rPr>
      </w:pPr>
      <w:r>
        <w:rPr>
          <w:rFonts w:ascii="Arial" w:cs="Arial" w:eastAsia="Arial" w:hAnsi="Arial"/>
          <w:sz w:val="18"/>
          <w:szCs w:val="18"/>
          <w:color w:val="auto"/>
        </w:rPr>
        <w:t>The table below shows the minimum, target, and maximum payouts (using the grant date fair value) for the 2017-2019 shareholder value awards included in the Summary Compensation Table.</w:t>
      </w:r>
    </w:p>
    <w:p>
      <w:pPr>
        <w:spacing w:after="0" w:line="312" w:lineRule="exact"/>
        <w:rPr>
          <w:sz w:val="20"/>
          <w:szCs w:val="20"/>
          <w:color w:val="auto"/>
        </w:rPr>
      </w:pPr>
    </w:p>
    <w:tbl>
      <w:tblPr>
        <w:tblLayout w:type="fixed"/>
        <w:tblInd w:w="2350" w:type="dxa"/>
        <w:tblCellMar>
          <w:top w:w="0" w:type="dxa"/>
          <w:left w:w="0" w:type="dxa"/>
          <w:bottom w:w="0" w:type="dxa"/>
          <w:right w:w="0" w:type="dxa"/>
        </w:tblCellMar>
      </w:tblPr>
      <w:tr>
        <w:trPr>
          <w:trHeight w:val="235"/>
        </w:trPr>
        <w:tc>
          <w:tcPr>
            <w:tcW w:w="1820" w:type="dxa"/>
            <w:vAlign w:val="bottom"/>
            <w:tcBorders>
              <w:top w:val="single" w:sz="8" w:color="auto"/>
              <w:left w:val="single" w:sz="8" w:color="auto"/>
              <w:bottom w:val="single" w:sz="8" w:color="DDDDDD"/>
              <w:right w:val="single" w:sz="8" w:color="auto"/>
            </w:tcBorders>
            <w:shd w:val="clear" w:color="auto" w:fill="DDDDDD"/>
          </w:tcPr>
          <w:p>
            <w:pPr>
              <w:ind w:left="40"/>
              <w:spacing w:after="0"/>
              <w:rPr>
                <w:sz w:val="20"/>
                <w:szCs w:val="20"/>
                <w:color w:val="auto"/>
              </w:rPr>
            </w:pPr>
            <w:r>
              <w:rPr>
                <w:rFonts w:ascii="Arial" w:cs="Arial" w:eastAsia="Arial" w:hAnsi="Arial"/>
                <w:sz w:val="14"/>
                <w:szCs w:val="14"/>
                <w:b w:val="1"/>
                <w:bCs w:val="1"/>
                <w:color w:val="auto"/>
                <w:highlight w:val="lightGray"/>
              </w:rPr>
              <w:t>Name</w:t>
            </w:r>
          </w:p>
        </w:tc>
        <w:tc>
          <w:tcPr>
            <w:tcW w:w="1280" w:type="dxa"/>
            <w:vAlign w:val="bottom"/>
            <w:tcBorders>
              <w:top w:val="single" w:sz="8" w:color="auto"/>
              <w:bottom w:val="single" w:sz="8" w:color="DDDDDD"/>
              <w:right w:val="single" w:sz="8" w:color="auto"/>
            </w:tcBorders>
            <w:shd w:val="clear" w:color="auto" w:fill="DDDDDD"/>
          </w:tcPr>
          <w:p>
            <w:pPr>
              <w:jc w:val="center"/>
              <w:spacing w:after="0"/>
              <w:rPr>
                <w:sz w:val="20"/>
                <w:szCs w:val="20"/>
                <w:color w:val="auto"/>
              </w:rPr>
            </w:pPr>
            <w:r>
              <w:rPr>
                <w:rFonts w:ascii="Arial" w:cs="Arial" w:eastAsia="Arial" w:hAnsi="Arial"/>
                <w:sz w:val="14"/>
                <w:szCs w:val="14"/>
                <w:b w:val="1"/>
                <w:bCs w:val="1"/>
                <w:color w:val="auto"/>
                <w:highlight w:val="lightGray"/>
              </w:rPr>
              <w:t>Payout Date</w:t>
            </w:r>
          </w:p>
        </w:tc>
        <w:tc>
          <w:tcPr>
            <w:tcW w:w="1280" w:type="dxa"/>
            <w:vAlign w:val="bottom"/>
            <w:tcBorders>
              <w:top w:val="single" w:sz="8" w:color="auto"/>
              <w:bottom w:val="single" w:sz="8" w:color="DDDDDD"/>
              <w:right w:val="single" w:sz="8" w:color="auto"/>
            </w:tcBorders>
            <w:shd w:val="clear" w:color="auto" w:fill="DDDDDD"/>
          </w:tcPr>
          <w:p>
            <w:pPr>
              <w:jc w:val="center"/>
              <w:spacing w:after="0"/>
              <w:rPr>
                <w:sz w:val="20"/>
                <w:szCs w:val="20"/>
                <w:color w:val="auto"/>
              </w:rPr>
            </w:pPr>
            <w:r>
              <w:rPr>
                <w:rFonts w:ascii="Arial" w:cs="Arial" w:eastAsia="Arial" w:hAnsi="Arial"/>
                <w:sz w:val="14"/>
                <w:szCs w:val="14"/>
                <w:b w:val="1"/>
                <w:bCs w:val="1"/>
                <w:color w:val="auto"/>
                <w:highlight w:val="lightGray"/>
              </w:rPr>
              <w:t>Minimum Payout</w:t>
            </w:r>
          </w:p>
        </w:tc>
        <w:tc>
          <w:tcPr>
            <w:tcW w:w="1040" w:type="dxa"/>
            <w:vAlign w:val="bottom"/>
            <w:tcBorders>
              <w:top w:val="single" w:sz="8" w:color="auto"/>
              <w:bottom w:val="single" w:sz="8" w:color="DDDDDD"/>
              <w:right w:val="single" w:sz="8" w:color="auto"/>
            </w:tcBorders>
            <w:shd w:val="clear" w:color="auto" w:fill="DDDDDD"/>
          </w:tcPr>
          <w:p>
            <w:pPr>
              <w:jc w:val="center"/>
              <w:spacing w:after="0"/>
              <w:rPr>
                <w:sz w:val="20"/>
                <w:szCs w:val="20"/>
                <w:color w:val="auto"/>
              </w:rPr>
            </w:pPr>
            <w:r>
              <w:rPr>
                <w:rFonts w:ascii="Arial" w:cs="Arial" w:eastAsia="Arial" w:hAnsi="Arial"/>
                <w:sz w:val="14"/>
                <w:szCs w:val="14"/>
                <w:b w:val="1"/>
                <w:bCs w:val="1"/>
                <w:color w:val="auto"/>
                <w:highlight w:val="lightGray"/>
              </w:rPr>
              <w:t>Target Payout</w:t>
            </w:r>
          </w:p>
        </w:tc>
        <w:tc>
          <w:tcPr>
            <w:tcW w:w="1340" w:type="dxa"/>
            <w:vAlign w:val="bottom"/>
            <w:tcBorders>
              <w:top w:val="single" w:sz="8" w:color="auto"/>
              <w:bottom w:val="single" w:sz="8" w:color="DDDDDD"/>
              <w:right w:val="single" w:sz="8" w:color="auto"/>
            </w:tcBorders>
            <w:shd w:val="clear" w:color="auto" w:fill="DDDDDD"/>
          </w:tcPr>
          <w:p>
            <w:pPr>
              <w:jc w:val="center"/>
              <w:spacing w:after="0"/>
              <w:rPr>
                <w:sz w:val="20"/>
                <w:szCs w:val="20"/>
                <w:color w:val="auto"/>
              </w:rPr>
            </w:pPr>
            <w:r>
              <w:rPr>
                <w:rFonts w:ascii="Arial" w:cs="Arial" w:eastAsia="Arial" w:hAnsi="Arial"/>
                <w:sz w:val="14"/>
                <w:szCs w:val="14"/>
                <w:b w:val="1"/>
                <w:bCs w:val="1"/>
                <w:color w:val="auto"/>
                <w:highlight w:val="lightGray"/>
              </w:rPr>
              <w:t>Maximum Payout</w:t>
            </w:r>
          </w:p>
        </w:tc>
      </w:tr>
      <w:tr>
        <w:trPr>
          <w:trHeight w:val="204"/>
        </w:trPr>
        <w:tc>
          <w:tcPr>
            <w:tcW w:w="182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Mr. Ricks</w:t>
            </w:r>
          </w:p>
        </w:tc>
        <w:tc>
          <w:tcPr>
            <w:tcW w:w="12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January 2019</w:t>
            </w:r>
          </w:p>
        </w:tc>
        <w:tc>
          <w:tcPr>
            <w:tcW w:w="12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10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$5,100,000</w:t>
            </w:r>
          </w:p>
        </w:tc>
        <w:tc>
          <w:tcPr>
            <w:tcW w:w="13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$7,650,000</w:t>
            </w:r>
          </w:p>
        </w:tc>
      </w:tr>
      <w:tr>
        <w:trPr>
          <w:trHeight w:val="210"/>
        </w:trPr>
        <w:tc>
          <w:tcPr>
            <w:tcW w:w="1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Mr. Conterno</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January 2019</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$1,500,000</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$2,250,000</w:t>
            </w:r>
          </w:p>
        </w:tc>
      </w:tr>
      <w:tr>
        <w:trPr>
          <w:trHeight w:val="210"/>
        </w:trPr>
        <w:tc>
          <w:tcPr>
            <w:tcW w:w="1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Mr. Rice (retired)</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January 2019</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$2,280,000</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$3,420,000</w:t>
            </w:r>
          </w:p>
        </w:tc>
      </w:tr>
      <w:tr>
        <w:trPr>
          <w:trHeight w:val="210"/>
        </w:trPr>
        <w:tc>
          <w:tcPr>
            <w:tcW w:w="1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Dr. Lundberg</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January 2019</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$2,160,000</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$3,240,000</w:t>
            </w:r>
          </w:p>
        </w:tc>
      </w:tr>
      <w:tr>
        <w:trPr>
          <w:trHeight w:val="210"/>
        </w:trPr>
        <w:tc>
          <w:tcPr>
            <w:tcW w:w="1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Mr. Harrington</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January 2019</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$1,380,000</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$2,070,000</w:t>
            </w:r>
          </w:p>
        </w:tc>
      </w:tr>
    </w:tbl>
    <w:p>
      <w:pPr>
        <w:spacing w:after="0" w:line="215" w:lineRule="exact"/>
        <w:rPr>
          <w:sz w:val="20"/>
          <w:szCs w:val="20"/>
          <w:color w:val="auto"/>
        </w:rPr>
      </w:pPr>
    </w:p>
    <w:p>
      <w:pPr>
        <w:ind w:left="80" w:right="80" w:hanging="4"/>
        <w:spacing w:after="0" w:line="225" w:lineRule="auto"/>
        <w:tabs>
          <w:tab w:leader="none" w:pos="290" w:val="left"/>
        </w:tabs>
        <w:numPr>
          <w:ilvl w:val="0"/>
          <w:numId w:val="64"/>
        </w:numPr>
        <w:rPr>
          <w:rFonts w:ascii="Arial" w:cs="Arial" w:eastAsia="Arial" w:hAnsi="Arial"/>
          <w:sz w:val="22"/>
          <w:szCs w:val="22"/>
          <w:color w:val="auto"/>
          <w:vertAlign w:val="superscript"/>
        </w:rPr>
      </w:pPr>
      <w:r>
        <w:rPr>
          <w:rFonts w:ascii="Arial" w:cs="Arial" w:eastAsia="Arial" w:hAnsi="Arial"/>
          <w:sz w:val="18"/>
          <w:szCs w:val="18"/>
          <w:color w:val="auto"/>
        </w:rPr>
        <w:t>Payments under the Bonus Plan for performance in each of the respective years. All bonuses paid to named executive officers were part of a non-equity incentive plan.</w:t>
      </w:r>
    </w:p>
    <w:p>
      <w:pPr>
        <w:spacing w:after="0" w:line="217" w:lineRule="exact"/>
        <w:rPr>
          <w:sz w:val="20"/>
          <w:szCs w:val="20"/>
          <w:color w:val="auto"/>
        </w:rPr>
      </w:pPr>
    </w:p>
    <w:p>
      <w:pPr>
        <w:ind w:left="80" w:right="60" w:hanging="4"/>
        <w:spacing w:after="0"/>
        <w:tabs>
          <w:tab w:leader="none" w:pos="290" w:val="left"/>
        </w:tabs>
        <w:numPr>
          <w:ilvl w:val="0"/>
          <w:numId w:val="65"/>
        </w:numPr>
        <w:rPr>
          <w:rFonts w:ascii="Arial" w:cs="Arial" w:eastAsia="Arial" w:hAnsi="Arial"/>
          <w:sz w:val="22"/>
          <w:szCs w:val="22"/>
          <w:color w:val="auto"/>
          <w:vertAlign w:val="superscript"/>
        </w:rPr>
      </w:pPr>
      <w:r>
        <w:rPr>
          <w:rFonts w:ascii="Arial" w:cs="Arial" w:eastAsia="Arial" w:hAnsi="Arial"/>
          <w:sz w:val="18"/>
          <w:szCs w:val="18"/>
          <w:color w:val="auto"/>
        </w:rPr>
        <w:t>The amounts in this column reflect the change in pension value for each individual, calculated by our actuary, and are affected by additional service accruals and pay earned, as well as actuarial assumption changes. The changes in pension values in 2017 were driven to a large extent by a lower discount rate which increased the net present value of pensions. The design of the pension benefit did not change. See the Pension Benefits in 2017 table below for information about the standard actuarial assumptions used. No named executive officer received preferential or above-market earnings on deferred compensation.</w:t>
      </w:r>
    </w:p>
    <w:p>
      <w:pPr>
        <w:spacing w:after="0" w:line="216" w:lineRule="exact"/>
        <w:rPr>
          <w:sz w:val="20"/>
          <w:szCs w:val="20"/>
          <w:color w:val="auto"/>
        </w:rPr>
      </w:pPr>
    </w:p>
    <w:p>
      <w:pPr>
        <w:ind w:left="80" w:right="480" w:hanging="4"/>
        <w:spacing w:after="0" w:line="233" w:lineRule="auto"/>
        <w:tabs>
          <w:tab w:leader="none" w:pos="290" w:val="left"/>
        </w:tabs>
        <w:numPr>
          <w:ilvl w:val="0"/>
          <w:numId w:val="66"/>
        </w:numPr>
        <w:rPr>
          <w:rFonts w:ascii="Arial" w:cs="Arial" w:eastAsia="Arial" w:hAnsi="Arial"/>
          <w:sz w:val="22"/>
          <w:szCs w:val="22"/>
          <w:color w:val="auto"/>
          <w:vertAlign w:val="superscript"/>
        </w:rPr>
      </w:pPr>
      <w:r>
        <w:rPr>
          <w:rFonts w:ascii="Arial" w:cs="Arial" w:eastAsia="Arial" w:hAnsi="Arial"/>
          <w:sz w:val="18"/>
          <w:szCs w:val="18"/>
          <w:color w:val="auto"/>
        </w:rPr>
        <w:t>The amounts in this column are solely company matching contributions for each individual's 401(k) plan and nonqualified savings plan contributions. The company does not reimburse executives for taxes outside of the limited circumstance of taxes related to employee relocation or a prior international assignment. There were no reportable perquisites or personal benefits.</w:t>
      </w:r>
    </w:p>
    <w:p>
      <w:pPr>
        <w:spacing w:after="0" w:line="217" w:lineRule="exact"/>
        <w:rPr>
          <w:sz w:val="20"/>
          <w:szCs w:val="20"/>
          <w:color w:val="auto"/>
        </w:rPr>
      </w:pPr>
    </w:p>
    <w:p>
      <w:pPr>
        <w:ind w:left="80" w:right="40" w:hanging="4"/>
        <w:spacing w:after="0" w:line="233" w:lineRule="auto"/>
        <w:tabs>
          <w:tab w:leader="none" w:pos="290" w:val="left"/>
        </w:tabs>
        <w:numPr>
          <w:ilvl w:val="0"/>
          <w:numId w:val="67"/>
        </w:numPr>
        <w:rPr>
          <w:rFonts w:ascii="Arial" w:cs="Arial" w:eastAsia="Arial" w:hAnsi="Arial"/>
          <w:sz w:val="22"/>
          <w:szCs w:val="22"/>
          <w:color w:val="auto"/>
          <w:vertAlign w:val="superscript"/>
        </w:rPr>
      </w:pPr>
      <w:r>
        <w:rPr>
          <w:rFonts w:ascii="Arial" w:cs="Arial" w:eastAsia="Arial" w:hAnsi="Arial"/>
          <w:sz w:val="18"/>
          <w:szCs w:val="18"/>
          <w:color w:val="auto"/>
        </w:rPr>
        <w:t>In 2015, the net present value of the pension benefits for Mr. Conterno and Mr. Rice reflect no change from the previous year due to an increase in the discount rate over the prior year. For the other named executive officers, increases in pensionable earnings offset the impact of the 2015 increased discount rate.</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Grants of Plan-Based Awards During 2017</w:t>
      </w:r>
    </w:p>
    <w:p>
      <w:pPr>
        <w:spacing w:after="0" w:line="85"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The compensation plans under which the grants in the following table were made are described in the CD&amp;A and consist of the bonus plan (a non-equity incentive plan) and the 2002 Lilly Stock Plan (which provides for performance awards, shareholder value awards, and restricted stock units).</w:t>
      </w:r>
    </w:p>
    <w:p>
      <w:pPr>
        <w:spacing w:after="0" w:line="148"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To receive a payout under the performance award or the shareholder value award, a participant must remain employed with the company through the end of the relevant award period (except in the case of death, disability, retirement, or redundancy). No dividends accrue on either performance awards or shareholder value awards during the performance period. Non-preferential dividends accrue during the 13-month service-vesting period (following the two-year performance period) and are paid upon vesting.</w:t>
      </w:r>
    </w:p>
    <w:p>
      <w:pPr>
        <w:spacing w:after="0" w:line="200" w:lineRule="exact"/>
        <w:rPr>
          <w:sz w:val="20"/>
          <w:szCs w:val="20"/>
          <w:color w:val="auto"/>
        </w:rPr>
      </w:pPr>
    </w:p>
    <w:p>
      <w:pPr>
        <w:spacing w:after="0" w:line="2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P51</w:t>
      </w:r>
    </w:p>
    <w:p>
      <w:pPr>
        <w:sectPr>
          <w:pgSz w:w="11900" w:h="16838" w:orient="portrait"/>
          <w:cols w:equalWidth="0" w:num="1">
            <w:col w:w="11420"/>
          </w:cols>
          <w:pgMar w:left="240" w:top="876" w:right="239" w:bottom="1440" w:gutter="0" w:footer="0" w:header="0"/>
        </w:sectPr>
      </w:pPr>
    </w:p>
    <w:bookmarkStart w:id="55" w:name="page56"/>
    <w:bookmarkEnd w:id="55"/>
    <w:tbl>
      <w:tblPr>
        <w:tblLayout w:type="fixed"/>
        <w:tblInd w:w="1034" w:type="dxa"/>
        <w:tblCellMar>
          <w:top w:w="0" w:type="dxa"/>
          <w:left w:w="0" w:type="dxa"/>
          <w:bottom w:w="0" w:type="dxa"/>
          <w:right w:w="0" w:type="dxa"/>
        </w:tblCellMar>
      </w:tblPr>
      <w:tr>
        <w:trPr>
          <w:trHeight w:val="147"/>
        </w:trPr>
        <w:tc>
          <w:tcPr>
            <w:tcW w:w="640" w:type="dxa"/>
            <w:vAlign w:val="bottom"/>
            <w:tcBorders>
              <w:top w:val="single" w:sz="8" w:color="auto"/>
              <w:left w:val="single" w:sz="8" w:color="auto"/>
              <w:right w:val="single" w:sz="8" w:color="auto"/>
            </w:tcBorders>
            <w:shd w:val="clear" w:color="auto" w:fill="E5E5E5"/>
          </w:tcPr>
          <w:p>
            <w:pPr>
              <w:spacing w:after="0"/>
              <w:rPr>
                <w:sz w:val="12"/>
                <w:szCs w:val="12"/>
                <w:color w:val="auto"/>
              </w:rPr>
            </w:pPr>
          </w:p>
        </w:tc>
        <w:tc>
          <w:tcPr>
            <w:tcW w:w="980" w:type="dxa"/>
            <w:vAlign w:val="bottom"/>
            <w:tcBorders>
              <w:top w:val="single" w:sz="8" w:color="auto"/>
            </w:tcBorders>
            <w:shd w:val="clear" w:color="auto" w:fill="E5E5E5"/>
          </w:tcPr>
          <w:p>
            <w:pPr>
              <w:spacing w:after="0"/>
              <w:rPr>
                <w:sz w:val="12"/>
                <w:szCs w:val="12"/>
                <w:color w:val="auto"/>
              </w:rPr>
            </w:pPr>
          </w:p>
        </w:tc>
        <w:tc>
          <w:tcPr>
            <w:tcW w:w="180" w:type="dxa"/>
            <w:vAlign w:val="bottom"/>
            <w:tcBorders>
              <w:top w:val="single" w:sz="8" w:color="auto"/>
              <w:right w:val="single" w:sz="8" w:color="auto"/>
            </w:tcBorders>
            <w:shd w:val="clear" w:color="auto" w:fill="E5E5E5"/>
          </w:tcPr>
          <w:p>
            <w:pPr>
              <w:spacing w:after="0"/>
              <w:rPr>
                <w:sz w:val="12"/>
                <w:szCs w:val="12"/>
                <w:color w:val="auto"/>
              </w:rPr>
            </w:pPr>
          </w:p>
        </w:tc>
        <w:tc>
          <w:tcPr>
            <w:tcW w:w="720" w:type="dxa"/>
            <w:vAlign w:val="bottom"/>
            <w:tcBorders>
              <w:top w:val="single" w:sz="8" w:color="auto"/>
              <w:right w:val="single" w:sz="8" w:color="auto"/>
            </w:tcBorders>
            <w:shd w:val="clear" w:color="auto" w:fill="E5E5E5"/>
          </w:tcPr>
          <w:p>
            <w:pPr>
              <w:spacing w:after="0"/>
              <w:rPr>
                <w:sz w:val="12"/>
                <w:szCs w:val="12"/>
                <w:color w:val="auto"/>
              </w:rPr>
            </w:pPr>
          </w:p>
        </w:tc>
        <w:tc>
          <w:tcPr>
            <w:tcW w:w="1080" w:type="dxa"/>
            <w:vAlign w:val="bottom"/>
            <w:tcBorders>
              <w:top w:val="single" w:sz="8" w:color="auto"/>
              <w:right w:val="single" w:sz="8" w:color="auto"/>
            </w:tcBorders>
            <w:shd w:val="clear" w:color="auto" w:fill="DDDDDD"/>
          </w:tcPr>
          <w:p>
            <w:pPr>
              <w:spacing w:after="0"/>
              <w:rPr>
                <w:sz w:val="12"/>
                <w:szCs w:val="12"/>
                <w:color w:val="auto"/>
              </w:rPr>
            </w:pPr>
          </w:p>
        </w:tc>
        <w:tc>
          <w:tcPr>
            <w:tcW w:w="640" w:type="dxa"/>
            <w:vAlign w:val="bottom"/>
            <w:tcBorders>
              <w:top w:val="single" w:sz="8" w:color="auto"/>
              <w:right w:val="single" w:sz="8" w:color="DDDDDD"/>
            </w:tcBorders>
            <w:shd w:val="clear" w:color="auto" w:fill="DDDDDD"/>
          </w:tcPr>
          <w:p>
            <w:pPr>
              <w:spacing w:after="0"/>
              <w:rPr>
                <w:sz w:val="12"/>
                <w:szCs w:val="12"/>
                <w:color w:val="auto"/>
              </w:rPr>
            </w:pPr>
          </w:p>
        </w:tc>
        <w:tc>
          <w:tcPr>
            <w:tcW w:w="760" w:type="dxa"/>
            <w:vAlign w:val="bottom"/>
            <w:tcBorders>
              <w:top w:val="single" w:sz="8" w:color="auto"/>
              <w:right w:val="single" w:sz="8" w:color="DDDDDD"/>
            </w:tcBorders>
            <w:shd w:val="clear" w:color="auto" w:fill="DDDDDD"/>
          </w:tcPr>
          <w:p>
            <w:pPr>
              <w:spacing w:after="0"/>
              <w:rPr>
                <w:sz w:val="12"/>
                <w:szCs w:val="12"/>
                <w:color w:val="auto"/>
              </w:rPr>
            </w:pPr>
          </w:p>
        </w:tc>
        <w:tc>
          <w:tcPr>
            <w:tcW w:w="780" w:type="dxa"/>
            <w:vAlign w:val="bottom"/>
            <w:tcBorders>
              <w:top w:val="single" w:sz="8" w:color="auto"/>
              <w:right w:val="single" w:sz="8" w:color="auto"/>
            </w:tcBorders>
            <w:shd w:val="clear" w:color="auto" w:fill="DDDDDD"/>
          </w:tcPr>
          <w:p>
            <w:pPr>
              <w:spacing w:after="0"/>
              <w:rPr>
                <w:sz w:val="12"/>
                <w:szCs w:val="12"/>
                <w:color w:val="auto"/>
              </w:rPr>
            </w:pPr>
          </w:p>
        </w:tc>
        <w:tc>
          <w:tcPr>
            <w:tcW w:w="660" w:type="dxa"/>
            <w:vAlign w:val="bottom"/>
            <w:tcBorders>
              <w:top w:val="single" w:sz="8" w:color="auto"/>
              <w:right w:val="single" w:sz="8" w:color="DDDDDD"/>
            </w:tcBorders>
            <w:shd w:val="clear" w:color="auto" w:fill="DDDDDD"/>
          </w:tcPr>
          <w:p>
            <w:pPr>
              <w:spacing w:after="0"/>
              <w:rPr>
                <w:sz w:val="12"/>
                <w:szCs w:val="12"/>
                <w:color w:val="auto"/>
              </w:rPr>
            </w:pPr>
          </w:p>
        </w:tc>
        <w:tc>
          <w:tcPr>
            <w:tcW w:w="620" w:type="dxa"/>
            <w:vAlign w:val="bottom"/>
            <w:tcBorders>
              <w:top w:val="single" w:sz="8" w:color="auto"/>
              <w:right w:val="single" w:sz="8" w:color="DDDDDD"/>
            </w:tcBorders>
            <w:shd w:val="clear" w:color="auto" w:fill="DDDDDD"/>
          </w:tcPr>
          <w:p>
            <w:pPr>
              <w:spacing w:after="0"/>
              <w:rPr>
                <w:sz w:val="12"/>
                <w:szCs w:val="12"/>
                <w:color w:val="auto"/>
              </w:rPr>
            </w:pPr>
          </w:p>
        </w:tc>
        <w:tc>
          <w:tcPr>
            <w:tcW w:w="620" w:type="dxa"/>
            <w:vAlign w:val="bottom"/>
            <w:tcBorders>
              <w:top w:val="single" w:sz="8" w:color="auto"/>
              <w:right w:val="single" w:sz="8" w:color="auto"/>
            </w:tcBorders>
            <w:shd w:val="clear" w:color="auto" w:fill="DDDDDD"/>
          </w:tcPr>
          <w:p>
            <w:pPr>
              <w:spacing w:after="0"/>
              <w:rPr>
                <w:sz w:val="12"/>
                <w:szCs w:val="12"/>
                <w:color w:val="auto"/>
              </w:rPr>
            </w:pPr>
          </w:p>
        </w:tc>
        <w:tc>
          <w:tcPr>
            <w:tcW w:w="720" w:type="dxa"/>
            <w:vAlign w:val="bottom"/>
            <w:tcBorders>
              <w:top w:val="single" w:sz="8" w:color="auto"/>
              <w:right w:val="single" w:sz="8" w:color="auto"/>
            </w:tcBorders>
            <w:shd w:val="clear" w:color="auto" w:fill="E5E5E5"/>
          </w:tcPr>
          <w:p>
            <w:pPr>
              <w:jc w:val="center"/>
              <w:spacing w:after="0"/>
              <w:rPr>
                <w:sz w:val="20"/>
                <w:szCs w:val="20"/>
                <w:color w:val="auto"/>
              </w:rPr>
            </w:pPr>
            <w:r>
              <w:rPr>
                <w:rFonts w:ascii="Arial" w:cs="Arial" w:eastAsia="Arial" w:hAnsi="Arial"/>
                <w:sz w:val="11"/>
                <w:szCs w:val="11"/>
                <w:b w:val="1"/>
                <w:bCs w:val="1"/>
                <w:color w:val="auto"/>
                <w:w w:val="98"/>
              </w:rPr>
              <w:t>All Other</w:t>
            </w:r>
          </w:p>
        </w:tc>
        <w:tc>
          <w:tcPr>
            <w:tcW w:w="760" w:type="dxa"/>
            <w:vAlign w:val="bottom"/>
            <w:tcBorders>
              <w:top w:val="single" w:sz="8" w:color="auto"/>
              <w:right w:val="single" w:sz="8" w:color="auto"/>
            </w:tcBorders>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640" w:type="dxa"/>
            <w:vAlign w:val="bottom"/>
            <w:tcBorders>
              <w:left w:val="single" w:sz="8" w:color="auto"/>
              <w:right w:val="single" w:sz="8" w:color="auto"/>
            </w:tcBorders>
            <w:shd w:val="clear" w:color="auto" w:fill="E5E5E5"/>
          </w:tcPr>
          <w:p>
            <w:pPr>
              <w:spacing w:after="0"/>
              <w:rPr>
                <w:sz w:val="10"/>
                <w:szCs w:val="10"/>
                <w:color w:val="auto"/>
              </w:rPr>
            </w:pPr>
          </w:p>
        </w:tc>
        <w:tc>
          <w:tcPr>
            <w:tcW w:w="980" w:type="dxa"/>
            <w:vAlign w:val="bottom"/>
            <w:shd w:val="clear" w:color="auto" w:fill="E5E5E5"/>
          </w:tcPr>
          <w:p>
            <w:pPr>
              <w:spacing w:after="0"/>
              <w:rPr>
                <w:sz w:val="10"/>
                <w:szCs w:val="10"/>
                <w:color w:val="auto"/>
              </w:rPr>
            </w:pPr>
          </w:p>
        </w:tc>
        <w:tc>
          <w:tcPr>
            <w:tcW w:w="180" w:type="dxa"/>
            <w:vAlign w:val="bottom"/>
            <w:tcBorders>
              <w:right w:val="single" w:sz="8" w:color="auto"/>
            </w:tcBorders>
            <w:shd w:val="clear" w:color="auto" w:fill="E5E5E5"/>
          </w:tcPr>
          <w:p>
            <w:pPr>
              <w:spacing w:after="0"/>
              <w:rPr>
                <w:sz w:val="10"/>
                <w:szCs w:val="10"/>
                <w:color w:val="auto"/>
              </w:rPr>
            </w:pPr>
          </w:p>
        </w:tc>
        <w:tc>
          <w:tcPr>
            <w:tcW w:w="720" w:type="dxa"/>
            <w:vAlign w:val="bottom"/>
            <w:tcBorders>
              <w:right w:val="single" w:sz="8" w:color="auto"/>
            </w:tcBorders>
            <w:shd w:val="clear" w:color="auto" w:fill="E5E5E5"/>
          </w:tcPr>
          <w:p>
            <w:pPr>
              <w:spacing w:after="0"/>
              <w:rPr>
                <w:sz w:val="10"/>
                <w:szCs w:val="10"/>
                <w:color w:val="auto"/>
              </w:rPr>
            </w:pPr>
          </w:p>
        </w:tc>
        <w:tc>
          <w:tcPr>
            <w:tcW w:w="1080" w:type="dxa"/>
            <w:vAlign w:val="bottom"/>
            <w:tcBorders>
              <w:right w:val="single" w:sz="8" w:color="auto"/>
            </w:tcBorders>
            <w:shd w:val="clear" w:color="auto" w:fill="DDDDDD"/>
          </w:tcPr>
          <w:p>
            <w:pPr>
              <w:spacing w:after="0"/>
              <w:rPr>
                <w:sz w:val="10"/>
                <w:szCs w:val="10"/>
                <w:color w:val="auto"/>
              </w:rPr>
            </w:pPr>
          </w:p>
        </w:tc>
        <w:tc>
          <w:tcPr>
            <w:tcW w:w="640" w:type="dxa"/>
            <w:vAlign w:val="bottom"/>
            <w:tcBorders>
              <w:right w:val="single" w:sz="8" w:color="DDDDDD"/>
            </w:tcBorders>
            <w:shd w:val="clear" w:color="auto" w:fill="DDDDDD"/>
          </w:tcPr>
          <w:p>
            <w:pPr>
              <w:spacing w:after="0"/>
              <w:rPr>
                <w:sz w:val="10"/>
                <w:szCs w:val="10"/>
                <w:color w:val="auto"/>
              </w:rPr>
            </w:pPr>
          </w:p>
        </w:tc>
        <w:tc>
          <w:tcPr>
            <w:tcW w:w="760" w:type="dxa"/>
            <w:vAlign w:val="bottom"/>
            <w:tcBorders>
              <w:right w:val="single" w:sz="8" w:color="DDDDDD"/>
            </w:tcBorders>
            <w:shd w:val="clear" w:color="auto" w:fill="DDDDDD"/>
          </w:tcPr>
          <w:p>
            <w:pPr>
              <w:spacing w:after="0"/>
              <w:rPr>
                <w:sz w:val="10"/>
                <w:szCs w:val="10"/>
                <w:color w:val="auto"/>
              </w:rPr>
            </w:pPr>
          </w:p>
        </w:tc>
        <w:tc>
          <w:tcPr>
            <w:tcW w:w="780" w:type="dxa"/>
            <w:vAlign w:val="bottom"/>
            <w:tcBorders>
              <w:right w:val="single" w:sz="8" w:color="auto"/>
            </w:tcBorders>
            <w:shd w:val="clear" w:color="auto" w:fill="DDDDDD"/>
          </w:tcPr>
          <w:p>
            <w:pPr>
              <w:spacing w:after="0"/>
              <w:rPr>
                <w:sz w:val="10"/>
                <w:szCs w:val="10"/>
                <w:color w:val="auto"/>
              </w:rPr>
            </w:pPr>
          </w:p>
        </w:tc>
        <w:tc>
          <w:tcPr>
            <w:tcW w:w="660" w:type="dxa"/>
            <w:vAlign w:val="bottom"/>
            <w:tcBorders>
              <w:right w:val="single" w:sz="8" w:color="DDDDDD"/>
            </w:tcBorders>
            <w:shd w:val="clear" w:color="auto" w:fill="DDDDDD"/>
          </w:tcPr>
          <w:p>
            <w:pPr>
              <w:spacing w:after="0"/>
              <w:rPr>
                <w:sz w:val="10"/>
                <w:szCs w:val="10"/>
                <w:color w:val="auto"/>
              </w:rPr>
            </w:pPr>
          </w:p>
        </w:tc>
        <w:tc>
          <w:tcPr>
            <w:tcW w:w="620" w:type="dxa"/>
            <w:vAlign w:val="bottom"/>
            <w:tcBorders>
              <w:right w:val="single" w:sz="8" w:color="DDDDDD"/>
            </w:tcBorders>
            <w:shd w:val="clear" w:color="auto" w:fill="DDDDDD"/>
          </w:tcPr>
          <w:p>
            <w:pPr>
              <w:spacing w:after="0"/>
              <w:rPr>
                <w:sz w:val="10"/>
                <w:szCs w:val="10"/>
                <w:color w:val="auto"/>
              </w:rPr>
            </w:pPr>
          </w:p>
        </w:tc>
        <w:tc>
          <w:tcPr>
            <w:tcW w:w="620" w:type="dxa"/>
            <w:vAlign w:val="bottom"/>
            <w:tcBorders>
              <w:right w:val="single" w:sz="8" w:color="auto"/>
            </w:tcBorders>
            <w:shd w:val="clear" w:color="auto" w:fill="DDDDDD"/>
          </w:tcPr>
          <w:p>
            <w:pPr>
              <w:spacing w:after="0"/>
              <w:rPr>
                <w:sz w:val="10"/>
                <w:szCs w:val="10"/>
                <w:color w:val="auto"/>
              </w:rPr>
            </w:pPr>
          </w:p>
        </w:tc>
        <w:tc>
          <w:tcPr>
            <w:tcW w:w="720" w:type="dxa"/>
            <w:vAlign w:val="bottom"/>
            <w:tcBorders>
              <w:right w:val="single" w:sz="8" w:color="auto"/>
            </w:tcBorders>
            <w:shd w:val="clear" w:color="auto" w:fill="E5E5E5"/>
          </w:tcPr>
          <w:p>
            <w:pPr>
              <w:jc w:val="center"/>
              <w:spacing w:after="0" w:line="122" w:lineRule="exact"/>
              <w:rPr>
                <w:sz w:val="20"/>
                <w:szCs w:val="20"/>
                <w:color w:val="auto"/>
              </w:rPr>
            </w:pPr>
            <w:r>
              <w:rPr>
                <w:rFonts w:ascii="Arial" w:cs="Arial" w:eastAsia="Arial" w:hAnsi="Arial"/>
                <w:sz w:val="11"/>
                <w:szCs w:val="11"/>
                <w:b w:val="1"/>
                <w:bCs w:val="1"/>
                <w:color w:val="auto"/>
                <w:w w:val="99"/>
              </w:rPr>
              <w:t>Stock or</w:t>
            </w:r>
          </w:p>
        </w:tc>
        <w:tc>
          <w:tcPr>
            <w:tcW w:w="760" w:type="dxa"/>
            <w:vAlign w:val="bottom"/>
            <w:tcBorders>
              <w:right w:val="single" w:sz="8" w:color="auto"/>
            </w:tcBorders>
            <w:shd w:val="clear" w:color="auto" w:fill="E5E5E5"/>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40" w:type="dxa"/>
            <w:vAlign w:val="bottom"/>
            <w:tcBorders>
              <w:left w:val="single" w:sz="8" w:color="auto"/>
              <w:right w:val="single" w:sz="8" w:color="auto"/>
            </w:tcBorders>
            <w:shd w:val="clear" w:color="auto" w:fill="E5E5E5"/>
          </w:tcPr>
          <w:p>
            <w:pPr>
              <w:spacing w:after="0"/>
              <w:rPr>
                <w:sz w:val="10"/>
                <w:szCs w:val="10"/>
                <w:color w:val="auto"/>
              </w:rPr>
            </w:pPr>
          </w:p>
        </w:tc>
        <w:tc>
          <w:tcPr>
            <w:tcW w:w="980" w:type="dxa"/>
            <w:vAlign w:val="bottom"/>
            <w:shd w:val="clear" w:color="auto" w:fill="E5E5E5"/>
          </w:tcPr>
          <w:p>
            <w:pPr>
              <w:spacing w:after="0"/>
              <w:rPr>
                <w:sz w:val="10"/>
                <w:szCs w:val="10"/>
                <w:color w:val="auto"/>
              </w:rPr>
            </w:pPr>
          </w:p>
        </w:tc>
        <w:tc>
          <w:tcPr>
            <w:tcW w:w="180" w:type="dxa"/>
            <w:vAlign w:val="bottom"/>
            <w:tcBorders>
              <w:right w:val="single" w:sz="8" w:color="auto"/>
            </w:tcBorders>
            <w:shd w:val="clear" w:color="auto" w:fill="E5E5E5"/>
          </w:tcPr>
          <w:p>
            <w:pPr>
              <w:spacing w:after="0"/>
              <w:rPr>
                <w:sz w:val="10"/>
                <w:szCs w:val="10"/>
                <w:color w:val="auto"/>
              </w:rPr>
            </w:pPr>
          </w:p>
        </w:tc>
        <w:tc>
          <w:tcPr>
            <w:tcW w:w="720" w:type="dxa"/>
            <w:vAlign w:val="bottom"/>
            <w:tcBorders>
              <w:right w:val="single" w:sz="8" w:color="auto"/>
            </w:tcBorders>
            <w:shd w:val="clear" w:color="auto" w:fill="E5E5E5"/>
          </w:tcPr>
          <w:p>
            <w:pPr>
              <w:spacing w:after="0"/>
              <w:rPr>
                <w:sz w:val="10"/>
                <w:szCs w:val="10"/>
                <w:color w:val="auto"/>
              </w:rPr>
            </w:pPr>
          </w:p>
        </w:tc>
        <w:tc>
          <w:tcPr>
            <w:tcW w:w="1080" w:type="dxa"/>
            <w:vAlign w:val="bottom"/>
            <w:tcBorders>
              <w:right w:val="single" w:sz="8" w:color="auto"/>
            </w:tcBorders>
            <w:shd w:val="clear" w:color="auto" w:fill="DDDDDD"/>
          </w:tcPr>
          <w:p>
            <w:pPr>
              <w:spacing w:after="0"/>
              <w:rPr>
                <w:sz w:val="10"/>
                <w:szCs w:val="10"/>
                <w:color w:val="auto"/>
              </w:rPr>
            </w:pPr>
          </w:p>
        </w:tc>
        <w:tc>
          <w:tcPr>
            <w:tcW w:w="2180" w:type="dxa"/>
            <w:vAlign w:val="bottom"/>
            <w:tcBorders>
              <w:right w:val="single" w:sz="8" w:color="auto"/>
            </w:tcBorders>
            <w:gridSpan w:val="3"/>
            <w:shd w:val="clear" w:color="auto" w:fill="DDDDDD"/>
          </w:tcPr>
          <w:p>
            <w:pPr>
              <w:jc w:val="center"/>
              <w:spacing w:after="0" w:line="122" w:lineRule="exact"/>
              <w:rPr>
                <w:sz w:val="20"/>
                <w:szCs w:val="20"/>
                <w:color w:val="auto"/>
              </w:rPr>
            </w:pPr>
            <w:r>
              <w:rPr>
                <w:rFonts w:ascii="Arial" w:cs="Arial" w:eastAsia="Arial" w:hAnsi="Arial"/>
                <w:sz w:val="11"/>
                <w:szCs w:val="11"/>
                <w:b w:val="1"/>
                <w:bCs w:val="1"/>
                <w:color w:val="auto"/>
                <w:w w:val="98"/>
              </w:rPr>
              <w:t>Estimated Future Payouts</w:t>
            </w:r>
          </w:p>
        </w:tc>
        <w:tc>
          <w:tcPr>
            <w:tcW w:w="1900" w:type="dxa"/>
            <w:vAlign w:val="bottom"/>
            <w:tcBorders>
              <w:right w:val="single" w:sz="8" w:color="auto"/>
            </w:tcBorders>
            <w:gridSpan w:val="3"/>
            <w:shd w:val="clear" w:color="auto" w:fill="DDDDDD"/>
          </w:tcPr>
          <w:p>
            <w:pPr>
              <w:jc w:val="center"/>
              <w:spacing w:after="0" w:line="122" w:lineRule="exact"/>
              <w:rPr>
                <w:sz w:val="20"/>
                <w:szCs w:val="20"/>
                <w:color w:val="auto"/>
              </w:rPr>
            </w:pPr>
            <w:r>
              <w:rPr>
                <w:rFonts w:ascii="Arial" w:cs="Arial" w:eastAsia="Arial" w:hAnsi="Arial"/>
                <w:sz w:val="11"/>
                <w:szCs w:val="11"/>
                <w:b w:val="1"/>
                <w:bCs w:val="1"/>
                <w:color w:val="auto"/>
                <w:w w:val="97"/>
              </w:rPr>
              <w:t>Estimated Future</w:t>
            </w:r>
          </w:p>
        </w:tc>
        <w:tc>
          <w:tcPr>
            <w:tcW w:w="720" w:type="dxa"/>
            <w:vAlign w:val="bottom"/>
            <w:tcBorders>
              <w:right w:val="single" w:sz="8" w:color="auto"/>
            </w:tcBorders>
            <w:shd w:val="clear" w:color="auto" w:fill="E5E5E5"/>
          </w:tcPr>
          <w:p>
            <w:pPr>
              <w:jc w:val="center"/>
              <w:spacing w:after="0" w:line="122" w:lineRule="exact"/>
              <w:rPr>
                <w:sz w:val="20"/>
                <w:szCs w:val="20"/>
                <w:color w:val="auto"/>
              </w:rPr>
            </w:pPr>
            <w:r>
              <w:rPr>
                <w:rFonts w:ascii="Arial" w:cs="Arial" w:eastAsia="Arial" w:hAnsi="Arial"/>
                <w:sz w:val="11"/>
                <w:szCs w:val="11"/>
                <w:b w:val="1"/>
                <w:bCs w:val="1"/>
                <w:color w:val="auto"/>
                <w:w w:val="95"/>
              </w:rPr>
              <w:t>Option</w:t>
            </w:r>
          </w:p>
        </w:tc>
        <w:tc>
          <w:tcPr>
            <w:tcW w:w="760" w:type="dxa"/>
            <w:vAlign w:val="bottom"/>
            <w:tcBorders>
              <w:right w:val="single" w:sz="8" w:color="auto"/>
            </w:tcBorders>
            <w:shd w:val="clear" w:color="auto" w:fill="E5E5E5"/>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40" w:type="dxa"/>
            <w:vAlign w:val="bottom"/>
            <w:tcBorders>
              <w:left w:val="single" w:sz="8" w:color="auto"/>
              <w:right w:val="single" w:sz="8" w:color="auto"/>
            </w:tcBorders>
            <w:shd w:val="clear" w:color="auto" w:fill="E5E5E5"/>
          </w:tcPr>
          <w:p>
            <w:pPr>
              <w:spacing w:after="0"/>
              <w:rPr>
                <w:sz w:val="10"/>
                <w:szCs w:val="10"/>
                <w:color w:val="auto"/>
              </w:rPr>
            </w:pPr>
          </w:p>
        </w:tc>
        <w:tc>
          <w:tcPr>
            <w:tcW w:w="980" w:type="dxa"/>
            <w:vAlign w:val="bottom"/>
            <w:shd w:val="clear" w:color="auto" w:fill="E5E5E5"/>
          </w:tcPr>
          <w:p>
            <w:pPr>
              <w:spacing w:after="0"/>
              <w:rPr>
                <w:sz w:val="10"/>
                <w:szCs w:val="10"/>
                <w:color w:val="auto"/>
              </w:rPr>
            </w:pPr>
          </w:p>
        </w:tc>
        <w:tc>
          <w:tcPr>
            <w:tcW w:w="180" w:type="dxa"/>
            <w:vAlign w:val="bottom"/>
            <w:tcBorders>
              <w:right w:val="single" w:sz="8" w:color="auto"/>
            </w:tcBorders>
            <w:shd w:val="clear" w:color="auto" w:fill="E5E5E5"/>
          </w:tcPr>
          <w:p>
            <w:pPr>
              <w:spacing w:after="0"/>
              <w:rPr>
                <w:sz w:val="10"/>
                <w:szCs w:val="10"/>
                <w:color w:val="auto"/>
              </w:rPr>
            </w:pPr>
          </w:p>
        </w:tc>
        <w:tc>
          <w:tcPr>
            <w:tcW w:w="720" w:type="dxa"/>
            <w:vAlign w:val="bottom"/>
            <w:tcBorders>
              <w:right w:val="single" w:sz="8" w:color="auto"/>
            </w:tcBorders>
            <w:shd w:val="clear" w:color="auto" w:fill="E5E5E5"/>
          </w:tcPr>
          <w:p>
            <w:pPr>
              <w:spacing w:after="0"/>
              <w:rPr>
                <w:sz w:val="10"/>
                <w:szCs w:val="10"/>
                <w:color w:val="auto"/>
              </w:rPr>
            </w:pPr>
          </w:p>
        </w:tc>
        <w:tc>
          <w:tcPr>
            <w:tcW w:w="1080" w:type="dxa"/>
            <w:vAlign w:val="bottom"/>
            <w:tcBorders>
              <w:right w:val="single" w:sz="8" w:color="auto"/>
            </w:tcBorders>
            <w:shd w:val="clear" w:color="auto" w:fill="DDDDDD"/>
          </w:tcPr>
          <w:p>
            <w:pPr>
              <w:spacing w:after="0"/>
              <w:rPr>
                <w:sz w:val="10"/>
                <w:szCs w:val="10"/>
                <w:color w:val="auto"/>
              </w:rPr>
            </w:pPr>
          </w:p>
        </w:tc>
        <w:tc>
          <w:tcPr>
            <w:tcW w:w="640" w:type="dxa"/>
            <w:vAlign w:val="bottom"/>
            <w:tcBorders>
              <w:right w:val="single" w:sz="8" w:color="DDDDDD"/>
            </w:tcBorders>
            <w:shd w:val="clear" w:color="auto" w:fill="DDDDDD"/>
          </w:tcPr>
          <w:p>
            <w:pPr>
              <w:spacing w:after="0"/>
              <w:rPr>
                <w:sz w:val="10"/>
                <w:szCs w:val="10"/>
                <w:color w:val="auto"/>
              </w:rPr>
            </w:pPr>
          </w:p>
        </w:tc>
        <w:tc>
          <w:tcPr>
            <w:tcW w:w="1540" w:type="dxa"/>
            <w:vAlign w:val="bottom"/>
            <w:tcBorders>
              <w:right w:val="single" w:sz="8" w:color="auto"/>
            </w:tcBorders>
            <w:gridSpan w:val="2"/>
            <w:shd w:val="clear" w:color="auto" w:fill="DDDDDD"/>
          </w:tcPr>
          <w:p>
            <w:pPr>
              <w:jc w:val="center"/>
              <w:ind w:right="580"/>
              <w:spacing w:after="0" w:line="122" w:lineRule="exact"/>
              <w:rPr>
                <w:sz w:val="20"/>
                <w:szCs w:val="20"/>
                <w:color w:val="auto"/>
              </w:rPr>
            </w:pPr>
            <w:r>
              <w:rPr>
                <w:rFonts w:ascii="Arial" w:cs="Arial" w:eastAsia="Arial" w:hAnsi="Arial"/>
                <w:sz w:val="11"/>
                <w:szCs w:val="11"/>
                <w:b w:val="1"/>
                <w:bCs w:val="1"/>
                <w:color w:val="auto"/>
                <w:w w:val="96"/>
              </w:rPr>
              <w:t>Under Non-Equity</w:t>
            </w:r>
          </w:p>
        </w:tc>
        <w:tc>
          <w:tcPr>
            <w:tcW w:w="1900" w:type="dxa"/>
            <w:vAlign w:val="bottom"/>
            <w:tcBorders>
              <w:right w:val="single" w:sz="8" w:color="auto"/>
            </w:tcBorders>
            <w:gridSpan w:val="3"/>
            <w:shd w:val="clear" w:color="auto" w:fill="DDDDDD"/>
          </w:tcPr>
          <w:p>
            <w:pPr>
              <w:jc w:val="center"/>
              <w:spacing w:after="0" w:line="122" w:lineRule="exact"/>
              <w:rPr>
                <w:sz w:val="20"/>
                <w:szCs w:val="20"/>
                <w:color w:val="auto"/>
              </w:rPr>
            </w:pPr>
            <w:r>
              <w:rPr>
                <w:rFonts w:ascii="Arial" w:cs="Arial" w:eastAsia="Arial" w:hAnsi="Arial"/>
                <w:sz w:val="11"/>
                <w:szCs w:val="11"/>
                <w:b w:val="1"/>
                <w:bCs w:val="1"/>
                <w:color w:val="auto"/>
                <w:w w:val="97"/>
              </w:rPr>
              <w:t>Payouts Under Equity</w:t>
            </w:r>
          </w:p>
        </w:tc>
        <w:tc>
          <w:tcPr>
            <w:tcW w:w="720" w:type="dxa"/>
            <w:vAlign w:val="bottom"/>
            <w:tcBorders>
              <w:right w:val="single" w:sz="8" w:color="auto"/>
            </w:tcBorders>
            <w:shd w:val="clear" w:color="auto" w:fill="E5E5E5"/>
          </w:tcPr>
          <w:p>
            <w:pPr>
              <w:jc w:val="center"/>
              <w:spacing w:after="0" w:line="122" w:lineRule="exact"/>
              <w:rPr>
                <w:sz w:val="20"/>
                <w:szCs w:val="20"/>
                <w:color w:val="auto"/>
              </w:rPr>
            </w:pPr>
            <w:r>
              <w:rPr>
                <w:rFonts w:ascii="Arial" w:cs="Arial" w:eastAsia="Arial" w:hAnsi="Arial"/>
                <w:sz w:val="11"/>
                <w:szCs w:val="11"/>
                <w:b w:val="1"/>
                <w:bCs w:val="1"/>
                <w:color w:val="auto"/>
                <w:w w:val="96"/>
              </w:rPr>
              <w:t>Awards:</w:t>
            </w:r>
          </w:p>
        </w:tc>
        <w:tc>
          <w:tcPr>
            <w:tcW w:w="760" w:type="dxa"/>
            <w:vAlign w:val="bottom"/>
            <w:tcBorders>
              <w:right w:val="single" w:sz="8" w:color="auto"/>
            </w:tcBorders>
            <w:shd w:val="clear" w:color="auto" w:fill="E5E5E5"/>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640" w:type="dxa"/>
            <w:vAlign w:val="bottom"/>
            <w:tcBorders>
              <w:left w:val="single" w:sz="8" w:color="auto"/>
              <w:bottom w:val="single" w:sz="8" w:color="E5E5E5"/>
              <w:right w:val="single" w:sz="8" w:color="auto"/>
            </w:tcBorders>
            <w:shd w:val="clear" w:color="auto" w:fill="E5E5E5"/>
          </w:tcPr>
          <w:p>
            <w:pPr>
              <w:spacing w:after="0"/>
              <w:rPr>
                <w:sz w:val="14"/>
                <w:szCs w:val="14"/>
                <w:color w:val="auto"/>
              </w:rPr>
            </w:pPr>
          </w:p>
        </w:tc>
        <w:tc>
          <w:tcPr>
            <w:tcW w:w="980" w:type="dxa"/>
            <w:vAlign w:val="bottom"/>
            <w:tcBorders>
              <w:bottom w:val="single" w:sz="8" w:color="E5E5E5"/>
            </w:tcBorders>
            <w:shd w:val="clear" w:color="auto" w:fill="E5E5E5"/>
          </w:tcPr>
          <w:p>
            <w:pPr>
              <w:spacing w:after="0"/>
              <w:rPr>
                <w:sz w:val="14"/>
                <w:szCs w:val="14"/>
                <w:color w:val="auto"/>
              </w:rPr>
            </w:pPr>
          </w:p>
        </w:tc>
        <w:tc>
          <w:tcPr>
            <w:tcW w:w="180" w:type="dxa"/>
            <w:vAlign w:val="bottom"/>
            <w:tcBorders>
              <w:bottom w:val="single" w:sz="8" w:color="E5E5E5"/>
              <w:right w:val="single" w:sz="8" w:color="auto"/>
            </w:tcBorders>
            <w:shd w:val="clear" w:color="auto" w:fill="E5E5E5"/>
          </w:tcPr>
          <w:p>
            <w:pPr>
              <w:spacing w:after="0"/>
              <w:rPr>
                <w:sz w:val="14"/>
                <w:szCs w:val="14"/>
                <w:color w:val="auto"/>
              </w:rPr>
            </w:pPr>
          </w:p>
        </w:tc>
        <w:tc>
          <w:tcPr>
            <w:tcW w:w="720" w:type="dxa"/>
            <w:vAlign w:val="bottom"/>
            <w:tcBorders>
              <w:bottom w:val="single" w:sz="8" w:color="E5E5E5"/>
              <w:right w:val="single" w:sz="8" w:color="auto"/>
            </w:tcBorders>
            <w:shd w:val="clear" w:color="auto" w:fill="E5E5E5"/>
          </w:tcPr>
          <w:p>
            <w:pPr>
              <w:spacing w:after="0"/>
              <w:rPr>
                <w:sz w:val="14"/>
                <w:szCs w:val="14"/>
                <w:color w:val="auto"/>
              </w:rPr>
            </w:pPr>
          </w:p>
        </w:tc>
        <w:tc>
          <w:tcPr>
            <w:tcW w:w="1080" w:type="dxa"/>
            <w:vAlign w:val="bottom"/>
            <w:tcBorders>
              <w:bottom w:val="single" w:sz="8" w:color="DDDDDD"/>
              <w:right w:val="single" w:sz="8" w:color="auto"/>
            </w:tcBorders>
            <w:shd w:val="clear" w:color="auto" w:fill="DDDDDD"/>
          </w:tcPr>
          <w:p>
            <w:pPr>
              <w:spacing w:after="0"/>
              <w:rPr>
                <w:sz w:val="14"/>
                <w:szCs w:val="14"/>
                <w:color w:val="auto"/>
              </w:rPr>
            </w:pPr>
          </w:p>
        </w:tc>
        <w:tc>
          <w:tcPr>
            <w:tcW w:w="2180" w:type="dxa"/>
            <w:vAlign w:val="bottom"/>
            <w:tcBorders>
              <w:bottom w:val="single" w:sz="8" w:color="DDDDDD"/>
              <w:right w:val="single" w:sz="8" w:color="auto"/>
            </w:tcBorders>
            <w:gridSpan w:val="3"/>
            <w:shd w:val="clear" w:color="auto" w:fill="DDDDDD"/>
          </w:tcPr>
          <w:p>
            <w:pPr>
              <w:jc w:val="center"/>
              <w:spacing w:after="0" w:line="122" w:lineRule="exact"/>
              <w:rPr>
                <w:sz w:val="20"/>
                <w:szCs w:val="20"/>
                <w:color w:val="auto"/>
              </w:rPr>
            </w:pPr>
            <w:r>
              <w:rPr>
                <w:rFonts w:ascii="Arial" w:cs="Arial" w:eastAsia="Arial" w:hAnsi="Arial"/>
                <w:sz w:val="11"/>
                <w:szCs w:val="11"/>
                <w:b w:val="1"/>
                <w:bCs w:val="1"/>
                <w:color w:val="auto"/>
                <w:w w:val="97"/>
              </w:rPr>
              <w:t>Incentive Plan Awards</w:t>
            </w:r>
            <w:r>
              <w:rPr>
                <w:rFonts w:ascii="Arial" w:cs="Arial" w:eastAsia="Arial" w:hAnsi="Arial"/>
                <w:sz w:val="7"/>
                <w:szCs w:val="7"/>
                <w:b w:val="1"/>
                <w:bCs w:val="1"/>
                <w:color w:val="auto"/>
                <w:w w:val="97"/>
              </w:rPr>
              <w:t>1</w:t>
            </w:r>
          </w:p>
        </w:tc>
        <w:tc>
          <w:tcPr>
            <w:tcW w:w="1900" w:type="dxa"/>
            <w:vAlign w:val="bottom"/>
            <w:tcBorders>
              <w:bottom w:val="single" w:sz="8" w:color="DDDDDD"/>
              <w:right w:val="single" w:sz="8" w:color="auto"/>
            </w:tcBorders>
            <w:gridSpan w:val="3"/>
            <w:shd w:val="clear" w:color="auto" w:fill="DDDDDD"/>
          </w:tcPr>
          <w:p>
            <w:pPr>
              <w:jc w:val="center"/>
              <w:spacing w:after="0" w:line="122" w:lineRule="exact"/>
              <w:rPr>
                <w:sz w:val="20"/>
                <w:szCs w:val="20"/>
                <w:color w:val="auto"/>
              </w:rPr>
            </w:pPr>
            <w:r>
              <w:rPr>
                <w:rFonts w:ascii="Arial" w:cs="Arial" w:eastAsia="Arial" w:hAnsi="Arial"/>
                <w:sz w:val="11"/>
                <w:szCs w:val="11"/>
                <w:b w:val="1"/>
                <w:bCs w:val="1"/>
                <w:color w:val="auto"/>
                <w:w w:val="97"/>
              </w:rPr>
              <w:t>Incentive Plan Awards</w:t>
            </w:r>
          </w:p>
        </w:tc>
        <w:tc>
          <w:tcPr>
            <w:tcW w:w="720" w:type="dxa"/>
            <w:vAlign w:val="bottom"/>
            <w:tcBorders>
              <w:bottom w:val="single" w:sz="8" w:color="E5E5E5"/>
              <w:right w:val="single" w:sz="8" w:color="auto"/>
            </w:tcBorders>
            <w:shd w:val="clear" w:color="auto" w:fill="E5E5E5"/>
          </w:tcPr>
          <w:p>
            <w:pPr>
              <w:jc w:val="center"/>
              <w:spacing w:after="0" w:line="122" w:lineRule="exact"/>
              <w:rPr>
                <w:sz w:val="20"/>
                <w:szCs w:val="20"/>
                <w:color w:val="auto"/>
              </w:rPr>
            </w:pPr>
            <w:r>
              <w:rPr>
                <w:rFonts w:ascii="Arial" w:cs="Arial" w:eastAsia="Arial" w:hAnsi="Arial"/>
                <w:sz w:val="11"/>
                <w:szCs w:val="11"/>
                <w:b w:val="1"/>
                <w:bCs w:val="1"/>
                <w:color w:val="auto"/>
                <w:w w:val="98"/>
              </w:rPr>
              <w:t>Number of</w:t>
            </w:r>
          </w:p>
        </w:tc>
        <w:tc>
          <w:tcPr>
            <w:tcW w:w="760" w:type="dxa"/>
            <w:vAlign w:val="bottom"/>
            <w:tcBorders>
              <w:bottom w:val="single" w:sz="8" w:color="E5E5E5"/>
              <w:right w:val="single" w:sz="8" w:color="auto"/>
            </w:tcBorders>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640" w:type="dxa"/>
            <w:vAlign w:val="bottom"/>
            <w:tcBorders>
              <w:top w:val="single" w:sz="8" w:color="E5E5E5"/>
              <w:left w:val="single" w:sz="8" w:color="auto"/>
              <w:right w:val="single" w:sz="8" w:color="auto"/>
            </w:tcBorders>
            <w:shd w:val="clear" w:color="auto" w:fill="E5E5E5"/>
          </w:tcPr>
          <w:p>
            <w:pPr>
              <w:spacing w:after="0"/>
              <w:rPr>
                <w:sz w:val="5"/>
                <w:szCs w:val="5"/>
                <w:color w:val="auto"/>
              </w:rPr>
            </w:pPr>
          </w:p>
        </w:tc>
        <w:tc>
          <w:tcPr>
            <w:tcW w:w="980" w:type="dxa"/>
            <w:vAlign w:val="bottom"/>
            <w:tcBorders>
              <w:top w:val="single" w:sz="8" w:color="E5E5E5"/>
            </w:tcBorders>
            <w:shd w:val="clear" w:color="auto" w:fill="E5E5E5"/>
          </w:tcPr>
          <w:p>
            <w:pPr>
              <w:spacing w:after="0"/>
              <w:rPr>
                <w:sz w:val="5"/>
                <w:szCs w:val="5"/>
                <w:color w:val="auto"/>
              </w:rPr>
            </w:pPr>
          </w:p>
        </w:tc>
        <w:tc>
          <w:tcPr>
            <w:tcW w:w="180" w:type="dxa"/>
            <w:vAlign w:val="bottom"/>
            <w:tcBorders>
              <w:top w:val="single" w:sz="8" w:color="E5E5E5"/>
              <w:right w:val="single" w:sz="8" w:color="auto"/>
            </w:tcBorders>
            <w:shd w:val="clear" w:color="auto" w:fill="E5E5E5"/>
          </w:tcPr>
          <w:p>
            <w:pPr>
              <w:spacing w:after="0"/>
              <w:rPr>
                <w:sz w:val="5"/>
                <w:szCs w:val="5"/>
                <w:color w:val="auto"/>
              </w:rPr>
            </w:pPr>
          </w:p>
        </w:tc>
        <w:tc>
          <w:tcPr>
            <w:tcW w:w="720" w:type="dxa"/>
            <w:vAlign w:val="bottom"/>
            <w:tcBorders>
              <w:top w:val="single" w:sz="8" w:color="E5E5E5"/>
              <w:right w:val="single" w:sz="8" w:color="auto"/>
            </w:tcBorders>
            <w:shd w:val="clear" w:color="auto" w:fill="E5E5E5"/>
          </w:tcPr>
          <w:p>
            <w:pPr>
              <w:spacing w:after="0"/>
              <w:rPr>
                <w:sz w:val="5"/>
                <w:szCs w:val="5"/>
                <w:color w:val="auto"/>
              </w:rPr>
            </w:pPr>
          </w:p>
        </w:tc>
        <w:tc>
          <w:tcPr>
            <w:tcW w:w="1080" w:type="dxa"/>
            <w:vAlign w:val="bottom"/>
            <w:tcBorders>
              <w:top w:val="single" w:sz="8" w:color="DDDDDD"/>
              <w:right w:val="single" w:sz="8" w:color="auto"/>
            </w:tcBorders>
            <w:shd w:val="clear" w:color="auto" w:fill="DDDDDD"/>
          </w:tcPr>
          <w:p>
            <w:pPr>
              <w:spacing w:after="0"/>
              <w:rPr>
                <w:sz w:val="5"/>
                <w:szCs w:val="5"/>
                <w:color w:val="auto"/>
              </w:rPr>
            </w:pPr>
          </w:p>
        </w:tc>
        <w:tc>
          <w:tcPr>
            <w:tcW w:w="640" w:type="dxa"/>
            <w:vAlign w:val="bottom"/>
            <w:tcBorders>
              <w:top w:val="single" w:sz="8" w:color="auto"/>
              <w:right w:val="single" w:sz="8" w:color="auto"/>
            </w:tcBorders>
            <w:shd w:val="clear" w:color="auto" w:fill="DDDDDD"/>
          </w:tcPr>
          <w:p>
            <w:pPr>
              <w:spacing w:after="0"/>
              <w:rPr>
                <w:sz w:val="5"/>
                <w:szCs w:val="5"/>
                <w:color w:val="auto"/>
              </w:rPr>
            </w:pPr>
          </w:p>
        </w:tc>
        <w:tc>
          <w:tcPr>
            <w:tcW w:w="760" w:type="dxa"/>
            <w:vAlign w:val="bottom"/>
            <w:tcBorders>
              <w:top w:val="single" w:sz="8" w:color="auto"/>
              <w:right w:val="single" w:sz="8" w:color="auto"/>
            </w:tcBorders>
            <w:shd w:val="clear" w:color="auto" w:fill="DDDDDD"/>
          </w:tcPr>
          <w:p>
            <w:pPr>
              <w:spacing w:after="0"/>
              <w:rPr>
                <w:sz w:val="5"/>
                <w:szCs w:val="5"/>
                <w:color w:val="auto"/>
              </w:rPr>
            </w:pPr>
          </w:p>
        </w:tc>
        <w:tc>
          <w:tcPr>
            <w:tcW w:w="780" w:type="dxa"/>
            <w:vAlign w:val="bottom"/>
            <w:tcBorders>
              <w:top w:val="single" w:sz="8" w:color="auto"/>
              <w:right w:val="single" w:sz="8" w:color="auto"/>
            </w:tcBorders>
            <w:shd w:val="clear" w:color="auto" w:fill="DDDDDD"/>
          </w:tcPr>
          <w:p>
            <w:pPr>
              <w:spacing w:after="0"/>
              <w:rPr>
                <w:sz w:val="5"/>
                <w:szCs w:val="5"/>
                <w:color w:val="auto"/>
              </w:rPr>
            </w:pPr>
          </w:p>
        </w:tc>
        <w:tc>
          <w:tcPr>
            <w:tcW w:w="660" w:type="dxa"/>
            <w:vAlign w:val="bottom"/>
            <w:tcBorders>
              <w:top w:val="single" w:sz="8" w:color="auto"/>
              <w:right w:val="single" w:sz="8" w:color="auto"/>
            </w:tcBorders>
            <w:shd w:val="clear" w:color="auto" w:fill="DDDDDD"/>
          </w:tcPr>
          <w:p>
            <w:pPr>
              <w:spacing w:after="0"/>
              <w:rPr>
                <w:sz w:val="5"/>
                <w:szCs w:val="5"/>
                <w:color w:val="auto"/>
              </w:rPr>
            </w:pPr>
          </w:p>
        </w:tc>
        <w:tc>
          <w:tcPr>
            <w:tcW w:w="620" w:type="dxa"/>
            <w:vAlign w:val="bottom"/>
            <w:tcBorders>
              <w:top w:val="single" w:sz="8" w:color="auto"/>
              <w:right w:val="single" w:sz="8" w:color="auto"/>
            </w:tcBorders>
            <w:shd w:val="clear" w:color="auto" w:fill="DDDDDD"/>
          </w:tcPr>
          <w:p>
            <w:pPr>
              <w:spacing w:after="0"/>
              <w:rPr>
                <w:sz w:val="5"/>
                <w:szCs w:val="5"/>
                <w:color w:val="auto"/>
              </w:rPr>
            </w:pPr>
          </w:p>
        </w:tc>
        <w:tc>
          <w:tcPr>
            <w:tcW w:w="620" w:type="dxa"/>
            <w:vAlign w:val="bottom"/>
            <w:tcBorders>
              <w:top w:val="single" w:sz="8" w:color="auto"/>
              <w:right w:val="single" w:sz="8" w:color="auto"/>
            </w:tcBorders>
            <w:shd w:val="clear" w:color="auto" w:fill="DDDDDD"/>
          </w:tcPr>
          <w:p>
            <w:pPr>
              <w:spacing w:after="0"/>
              <w:rPr>
                <w:sz w:val="5"/>
                <w:szCs w:val="5"/>
                <w:color w:val="auto"/>
              </w:rPr>
            </w:pPr>
          </w:p>
        </w:tc>
        <w:tc>
          <w:tcPr>
            <w:tcW w:w="720" w:type="dxa"/>
            <w:vAlign w:val="bottom"/>
            <w:tcBorders>
              <w:top w:val="single" w:sz="8" w:color="E5E5E5"/>
              <w:right w:val="single" w:sz="8" w:color="auto"/>
            </w:tcBorders>
            <w:shd w:val="clear" w:color="auto" w:fill="E5E5E5"/>
          </w:tcPr>
          <w:p>
            <w:pPr>
              <w:jc w:val="center"/>
              <w:spacing w:after="0" w:line="60" w:lineRule="exact"/>
              <w:rPr>
                <w:sz w:val="20"/>
                <w:szCs w:val="20"/>
                <w:color w:val="auto"/>
              </w:rPr>
            </w:pPr>
            <w:r>
              <w:rPr>
                <w:rFonts w:ascii="Arial" w:cs="Arial" w:eastAsia="Arial" w:hAnsi="Arial"/>
                <w:sz w:val="6"/>
                <w:szCs w:val="6"/>
                <w:b w:val="1"/>
                <w:bCs w:val="1"/>
                <w:color w:val="auto"/>
              </w:rPr>
              <w:t>Shares of</w:t>
            </w:r>
          </w:p>
        </w:tc>
        <w:tc>
          <w:tcPr>
            <w:tcW w:w="760" w:type="dxa"/>
            <w:vAlign w:val="bottom"/>
            <w:tcBorders>
              <w:top w:val="single" w:sz="8" w:color="E5E5E5"/>
              <w:right w:val="single" w:sz="8" w:color="auto"/>
            </w:tcBorders>
            <w:shd w:val="clear" w:color="auto" w:fill="E5E5E5"/>
          </w:tcPr>
          <w:p>
            <w:pPr>
              <w:jc w:val="center"/>
              <w:spacing w:after="0" w:line="60" w:lineRule="exact"/>
              <w:rPr>
                <w:sz w:val="20"/>
                <w:szCs w:val="20"/>
                <w:color w:val="auto"/>
              </w:rPr>
            </w:pPr>
            <w:r>
              <w:rPr>
                <w:rFonts w:ascii="Arial" w:cs="Arial" w:eastAsia="Arial" w:hAnsi="Arial"/>
                <w:sz w:val="6"/>
                <w:szCs w:val="6"/>
                <w:b w:val="1"/>
                <w:bCs w:val="1"/>
                <w:color w:val="auto"/>
              </w:rPr>
              <w:t>Grant Date</w:t>
            </w:r>
          </w:p>
        </w:tc>
        <w:tc>
          <w:tcPr>
            <w:tcW w:w="0" w:type="dxa"/>
            <w:vAlign w:val="bottom"/>
          </w:tcPr>
          <w:p>
            <w:pPr>
              <w:spacing w:after="0"/>
              <w:rPr>
                <w:sz w:val="1"/>
                <w:szCs w:val="1"/>
                <w:color w:val="auto"/>
              </w:rPr>
            </w:pPr>
          </w:p>
        </w:tc>
      </w:tr>
      <w:tr>
        <w:trPr>
          <w:trHeight w:val="122"/>
        </w:trPr>
        <w:tc>
          <w:tcPr>
            <w:tcW w:w="640" w:type="dxa"/>
            <w:vAlign w:val="bottom"/>
            <w:tcBorders>
              <w:left w:val="single" w:sz="8" w:color="auto"/>
              <w:right w:val="single" w:sz="8" w:color="auto"/>
            </w:tcBorders>
            <w:shd w:val="clear" w:color="auto" w:fill="E5E5E5"/>
          </w:tcPr>
          <w:p>
            <w:pPr>
              <w:spacing w:after="0"/>
              <w:rPr>
                <w:sz w:val="10"/>
                <w:szCs w:val="10"/>
                <w:color w:val="auto"/>
              </w:rPr>
            </w:pPr>
          </w:p>
        </w:tc>
        <w:tc>
          <w:tcPr>
            <w:tcW w:w="980" w:type="dxa"/>
            <w:vAlign w:val="bottom"/>
            <w:shd w:val="clear" w:color="auto" w:fill="E5E5E5"/>
          </w:tcPr>
          <w:p>
            <w:pPr>
              <w:spacing w:after="0"/>
              <w:rPr>
                <w:sz w:val="10"/>
                <w:szCs w:val="10"/>
                <w:color w:val="auto"/>
              </w:rPr>
            </w:pPr>
          </w:p>
        </w:tc>
        <w:tc>
          <w:tcPr>
            <w:tcW w:w="180" w:type="dxa"/>
            <w:vAlign w:val="bottom"/>
            <w:tcBorders>
              <w:right w:val="single" w:sz="8" w:color="auto"/>
            </w:tcBorders>
            <w:shd w:val="clear" w:color="auto" w:fill="E5E5E5"/>
          </w:tcPr>
          <w:p>
            <w:pPr>
              <w:spacing w:after="0"/>
              <w:rPr>
                <w:sz w:val="10"/>
                <w:szCs w:val="10"/>
                <w:color w:val="auto"/>
              </w:rPr>
            </w:pPr>
          </w:p>
        </w:tc>
        <w:tc>
          <w:tcPr>
            <w:tcW w:w="720" w:type="dxa"/>
            <w:vAlign w:val="bottom"/>
            <w:tcBorders>
              <w:right w:val="single" w:sz="8" w:color="auto"/>
            </w:tcBorders>
            <w:shd w:val="clear" w:color="auto" w:fill="E5E5E5"/>
          </w:tcPr>
          <w:p>
            <w:pPr>
              <w:spacing w:after="0"/>
              <w:rPr>
                <w:sz w:val="10"/>
                <w:szCs w:val="10"/>
                <w:color w:val="auto"/>
              </w:rPr>
            </w:pPr>
          </w:p>
        </w:tc>
        <w:tc>
          <w:tcPr>
            <w:tcW w:w="1080" w:type="dxa"/>
            <w:vAlign w:val="bottom"/>
            <w:tcBorders>
              <w:right w:val="single" w:sz="8" w:color="auto"/>
            </w:tcBorders>
            <w:shd w:val="clear" w:color="auto" w:fill="DDDDDD"/>
          </w:tcPr>
          <w:p>
            <w:pPr>
              <w:jc w:val="center"/>
              <w:spacing w:after="0" w:line="122" w:lineRule="exact"/>
              <w:rPr>
                <w:sz w:val="20"/>
                <w:szCs w:val="20"/>
                <w:color w:val="auto"/>
              </w:rPr>
            </w:pPr>
            <w:r>
              <w:rPr>
                <w:rFonts w:ascii="Arial" w:cs="Arial" w:eastAsia="Arial" w:hAnsi="Arial"/>
                <w:sz w:val="11"/>
                <w:szCs w:val="11"/>
                <w:b w:val="1"/>
                <w:bCs w:val="1"/>
                <w:color w:val="auto"/>
                <w:w w:val="96"/>
              </w:rPr>
              <w:t>Compensation</w:t>
            </w:r>
          </w:p>
        </w:tc>
        <w:tc>
          <w:tcPr>
            <w:tcW w:w="640" w:type="dxa"/>
            <w:vAlign w:val="bottom"/>
            <w:tcBorders>
              <w:right w:val="single" w:sz="8" w:color="auto"/>
            </w:tcBorders>
            <w:shd w:val="clear" w:color="auto" w:fill="DDDDDD"/>
          </w:tcPr>
          <w:p>
            <w:pPr>
              <w:spacing w:after="0"/>
              <w:rPr>
                <w:sz w:val="10"/>
                <w:szCs w:val="10"/>
                <w:color w:val="auto"/>
              </w:rPr>
            </w:pPr>
          </w:p>
        </w:tc>
        <w:tc>
          <w:tcPr>
            <w:tcW w:w="760" w:type="dxa"/>
            <w:vAlign w:val="bottom"/>
            <w:tcBorders>
              <w:right w:val="single" w:sz="8" w:color="auto"/>
            </w:tcBorders>
            <w:shd w:val="clear" w:color="auto" w:fill="DDDDDD"/>
          </w:tcPr>
          <w:p>
            <w:pPr>
              <w:spacing w:after="0"/>
              <w:rPr>
                <w:sz w:val="10"/>
                <w:szCs w:val="10"/>
                <w:color w:val="auto"/>
              </w:rPr>
            </w:pPr>
          </w:p>
        </w:tc>
        <w:tc>
          <w:tcPr>
            <w:tcW w:w="780" w:type="dxa"/>
            <w:vAlign w:val="bottom"/>
            <w:tcBorders>
              <w:right w:val="single" w:sz="8" w:color="auto"/>
            </w:tcBorders>
            <w:shd w:val="clear" w:color="auto" w:fill="DDDDDD"/>
          </w:tcPr>
          <w:p>
            <w:pPr>
              <w:spacing w:after="0"/>
              <w:rPr>
                <w:sz w:val="10"/>
                <w:szCs w:val="10"/>
                <w:color w:val="auto"/>
              </w:rPr>
            </w:pPr>
          </w:p>
        </w:tc>
        <w:tc>
          <w:tcPr>
            <w:tcW w:w="660" w:type="dxa"/>
            <w:vAlign w:val="bottom"/>
            <w:tcBorders>
              <w:right w:val="single" w:sz="8" w:color="auto"/>
            </w:tcBorders>
            <w:shd w:val="clear" w:color="auto" w:fill="DDDDDD"/>
          </w:tcPr>
          <w:p>
            <w:pPr>
              <w:spacing w:after="0"/>
              <w:rPr>
                <w:sz w:val="10"/>
                <w:szCs w:val="10"/>
                <w:color w:val="auto"/>
              </w:rPr>
            </w:pPr>
          </w:p>
        </w:tc>
        <w:tc>
          <w:tcPr>
            <w:tcW w:w="620" w:type="dxa"/>
            <w:vAlign w:val="bottom"/>
            <w:tcBorders>
              <w:right w:val="single" w:sz="8" w:color="auto"/>
            </w:tcBorders>
            <w:shd w:val="clear" w:color="auto" w:fill="DDDDDD"/>
          </w:tcPr>
          <w:p>
            <w:pPr>
              <w:spacing w:after="0"/>
              <w:rPr>
                <w:sz w:val="10"/>
                <w:szCs w:val="10"/>
                <w:color w:val="auto"/>
              </w:rPr>
            </w:pPr>
          </w:p>
        </w:tc>
        <w:tc>
          <w:tcPr>
            <w:tcW w:w="620" w:type="dxa"/>
            <w:vAlign w:val="bottom"/>
            <w:tcBorders>
              <w:right w:val="single" w:sz="8" w:color="auto"/>
            </w:tcBorders>
            <w:shd w:val="clear" w:color="auto" w:fill="DDDDDD"/>
          </w:tcPr>
          <w:p>
            <w:pPr>
              <w:spacing w:after="0"/>
              <w:rPr>
                <w:sz w:val="10"/>
                <w:szCs w:val="10"/>
                <w:color w:val="auto"/>
              </w:rPr>
            </w:pPr>
          </w:p>
        </w:tc>
        <w:tc>
          <w:tcPr>
            <w:tcW w:w="720" w:type="dxa"/>
            <w:vAlign w:val="bottom"/>
            <w:tcBorders>
              <w:right w:val="single" w:sz="8" w:color="auto"/>
            </w:tcBorders>
            <w:shd w:val="clear" w:color="auto" w:fill="E5E5E5"/>
          </w:tcPr>
          <w:p>
            <w:pPr>
              <w:jc w:val="center"/>
              <w:spacing w:after="0" w:line="122" w:lineRule="exact"/>
              <w:rPr>
                <w:sz w:val="20"/>
                <w:szCs w:val="20"/>
                <w:color w:val="auto"/>
              </w:rPr>
            </w:pPr>
            <w:r>
              <w:rPr>
                <w:rFonts w:ascii="Arial" w:cs="Arial" w:eastAsia="Arial" w:hAnsi="Arial"/>
                <w:sz w:val="11"/>
                <w:szCs w:val="11"/>
                <w:b w:val="1"/>
                <w:bCs w:val="1"/>
                <w:color w:val="auto"/>
                <w:w w:val="96"/>
              </w:rPr>
              <w:t>Stock,</w:t>
            </w:r>
          </w:p>
        </w:tc>
        <w:tc>
          <w:tcPr>
            <w:tcW w:w="760" w:type="dxa"/>
            <w:vAlign w:val="bottom"/>
            <w:tcBorders>
              <w:right w:val="single" w:sz="8" w:color="auto"/>
            </w:tcBorders>
            <w:shd w:val="clear" w:color="auto" w:fill="E5E5E5"/>
          </w:tcPr>
          <w:p>
            <w:pPr>
              <w:jc w:val="center"/>
              <w:spacing w:after="0" w:line="122" w:lineRule="exact"/>
              <w:rPr>
                <w:sz w:val="20"/>
                <w:szCs w:val="20"/>
                <w:color w:val="auto"/>
              </w:rPr>
            </w:pPr>
            <w:r>
              <w:rPr>
                <w:rFonts w:ascii="Arial" w:cs="Arial" w:eastAsia="Arial" w:hAnsi="Arial"/>
                <w:sz w:val="11"/>
                <w:szCs w:val="11"/>
                <w:b w:val="1"/>
                <w:bCs w:val="1"/>
                <w:color w:val="auto"/>
                <w:w w:val="94"/>
              </w:rPr>
              <w:t>Fair Value</w:t>
            </w:r>
          </w:p>
        </w:tc>
        <w:tc>
          <w:tcPr>
            <w:tcW w:w="0" w:type="dxa"/>
            <w:vAlign w:val="bottom"/>
          </w:tcPr>
          <w:p>
            <w:pPr>
              <w:spacing w:after="0"/>
              <w:rPr>
                <w:sz w:val="1"/>
                <w:szCs w:val="1"/>
                <w:color w:val="auto"/>
              </w:rPr>
            </w:pPr>
          </w:p>
        </w:tc>
      </w:tr>
      <w:tr>
        <w:trPr>
          <w:trHeight w:val="122"/>
        </w:trPr>
        <w:tc>
          <w:tcPr>
            <w:tcW w:w="640" w:type="dxa"/>
            <w:vAlign w:val="bottom"/>
            <w:tcBorders>
              <w:left w:val="single" w:sz="8" w:color="auto"/>
              <w:right w:val="single" w:sz="8" w:color="auto"/>
            </w:tcBorders>
            <w:shd w:val="clear" w:color="auto" w:fill="E5E5E5"/>
          </w:tcPr>
          <w:p>
            <w:pPr>
              <w:spacing w:after="0"/>
              <w:rPr>
                <w:sz w:val="10"/>
                <w:szCs w:val="10"/>
                <w:color w:val="auto"/>
              </w:rPr>
            </w:pPr>
          </w:p>
        </w:tc>
        <w:tc>
          <w:tcPr>
            <w:tcW w:w="980" w:type="dxa"/>
            <w:vAlign w:val="bottom"/>
            <w:shd w:val="clear" w:color="auto" w:fill="E5E5E5"/>
          </w:tcPr>
          <w:p>
            <w:pPr>
              <w:spacing w:after="0"/>
              <w:rPr>
                <w:sz w:val="10"/>
                <w:szCs w:val="10"/>
                <w:color w:val="auto"/>
              </w:rPr>
            </w:pPr>
          </w:p>
        </w:tc>
        <w:tc>
          <w:tcPr>
            <w:tcW w:w="180" w:type="dxa"/>
            <w:vAlign w:val="bottom"/>
            <w:tcBorders>
              <w:right w:val="single" w:sz="8" w:color="auto"/>
            </w:tcBorders>
            <w:shd w:val="clear" w:color="auto" w:fill="E5E5E5"/>
          </w:tcPr>
          <w:p>
            <w:pPr>
              <w:spacing w:after="0"/>
              <w:rPr>
                <w:sz w:val="10"/>
                <w:szCs w:val="10"/>
                <w:color w:val="auto"/>
              </w:rPr>
            </w:pPr>
          </w:p>
        </w:tc>
        <w:tc>
          <w:tcPr>
            <w:tcW w:w="720" w:type="dxa"/>
            <w:vAlign w:val="bottom"/>
            <w:tcBorders>
              <w:right w:val="single" w:sz="8" w:color="auto"/>
            </w:tcBorders>
            <w:shd w:val="clear" w:color="auto" w:fill="E5E5E5"/>
          </w:tcPr>
          <w:p>
            <w:pPr>
              <w:jc w:val="center"/>
              <w:spacing w:after="0" w:line="122" w:lineRule="exact"/>
              <w:rPr>
                <w:sz w:val="20"/>
                <w:szCs w:val="20"/>
                <w:color w:val="auto"/>
              </w:rPr>
            </w:pPr>
            <w:r>
              <w:rPr>
                <w:rFonts w:ascii="Arial" w:cs="Arial" w:eastAsia="Arial" w:hAnsi="Arial"/>
                <w:sz w:val="11"/>
                <w:szCs w:val="11"/>
                <w:b w:val="1"/>
                <w:bCs w:val="1"/>
                <w:color w:val="auto"/>
                <w:w w:val="95"/>
              </w:rPr>
              <w:t>Grant</w:t>
            </w:r>
          </w:p>
        </w:tc>
        <w:tc>
          <w:tcPr>
            <w:tcW w:w="1080" w:type="dxa"/>
            <w:vAlign w:val="bottom"/>
            <w:tcBorders>
              <w:right w:val="single" w:sz="8" w:color="auto"/>
            </w:tcBorders>
            <w:shd w:val="clear" w:color="auto" w:fill="DDDDDD"/>
          </w:tcPr>
          <w:p>
            <w:pPr>
              <w:jc w:val="center"/>
              <w:spacing w:after="0" w:line="122" w:lineRule="exact"/>
              <w:rPr>
                <w:sz w:val="20"/>
                <w:szCs w:val="20"/>
                <w:color w:val="auto"/>
              </w:rPr>
            </w:pPr>
            <w:r>
              <w:rPr>
                <w:rFonts w:ascii="Arial" w:cs="Arial" w:eastAsia="Arial" w:hAnsi="Arial"/>
                <w:sz w:val="11"/>
                <w:szCs w:val="11"/>
                <w:b w:val="1"/>
                <w:bCs w:val="1"/>
                <w:color w:val="auto"/>
                <w:w w:val="99"/>
              </w:rPr>
              <w:t>Committee Action</w:t>
            </w:r>
          </w:p>
        </w:tc>
        <w:tc>
          <w:tcPr>
            <w:tcW w:w="640" w:type="dxa"/>
            <w:vAlign w:val="bottom"/>
            <w:tcBorders>
              <w:right w:val="single" w:sz="8" w:color="auto"/>
            </w:tcBorders>
            <w:shd w:val="clear" w:color="auto" w:fill="DDDDDD"/>
          </w:tcPr>
          <w:p>
            <w:pPr>
              <w:ind w:left="60"/>
              <w:spacing w:after="0" w:line="122" w:lineRule="exact"/>
              <w:rPr>
                <w:sz w:val="20"/>
                <w:szCs w:val="20"/>
                <w:color w:val="auto"/>
              </w:rPr>
            </w:pPr>
            <w:r>
              <w:rPr>
                <w:rFonts w:ascii="Arial" w:cs="Arial" w:eastAsia="Arial" w:hAnsi="Arial"/>
                <w:sz w:val="11"/>
                <w:szCs w:val="11"/>
                <w:b w:val="1"/>
                <w:bCs w:val="1"/>
                <w:color w:val="auto"/>
              </w:rPr>
              <w:t>Threshold</w:t>
            </w:r>
          </w:p>
        </w:tc>
        <w:tc>
          <w:tcPr>
            <w:tcW w:w="760" w:type="dxa"/>
            <w:vAlign w:val="bottom"/>
            <w:tcBorders>
              <w:right w:val="single" w:sz="8" w:color="auto"/>
            </w:tcBorders>
            <w:shd w:val="clear" w:color="auto" w:fill="DDDDDD"/>
          </w:tcPr>
          <w:p>
            <w:pPr>
              <w:ind w:left="220"/>
              <w:spacing w:after="0" w:line="122" w:lineRule="exact"/>
              <w:rPr>
                <w:sz w:val="20"/>
                <w:szCs w:val="20"/>
                <w:color w:val="auto"/>
              </w:rPr>
            </w:pPr>
            <w:r>
              <w:rPr>
                <w:rFonts w:ascii="Arial" w:cs="Arial" w:eastAsia="Arial" w:hAnsi="Arial"/>
                <w:sz w:val="11"/>
                <w:szCs w:val="11"/>
                <w:b w:val="1"/>
                <w:bCs w:val="1"/>
                <w:color w:val="auto"/>
              </w:rPr>
              <w:t>Target</w:t>
            </w:r>
          </w:p>
        </w:tc>
        <w:tc>
          <w:tcPr>
            <w:tcW w:w="780" w:type="dxa"/>
            <w:vAlign w:val="bottom"/>
            <w:tcBorders>
              <w:right w:val="single" w:sz="8" w:color="auto"/>
            </w:tcBorders>
            <w:shd w:val="clear" w:color="auto" w:fill="DDDDDD"/>
          </w:tcPr>
          <w:p>
            <w:pPr>
              <w:ind w:left="120"/>
              <w:spacing w:after="0" w:line="122" w:lineRule="exact"/>
              <w:rPr>
                <w:sz w:val="20"/>
                <w:szCs w:val="20"/>
                <w:color w:val="auto"/>
              </w:rPr>
            </w:pPr>
            <w:r>
              <w:rPr>
                <w:rFonts w:ascii="Arial" w:cs="Arial" w:eastAsia="Arial" w:hAnsi="Arial"/>
                <w:sz w:val="11"/>
                <w:szCs w:val="11"/>
                <w:b w:val="1"/>
                <w:bCs w:val="1"/>
                <w:color w:val="auto"/>
              </w:rPr>
              <w:t>Maximum</w:t>
            </w:r>
          </w:p>
        </w:tc>
        <w:tc>
          <w:tcPr>
            <w:tcW w:w="660" w:type="dxa"/>
            <w:vAlign w:val="bottom"/>
            <w:tcBorders>
              <w:right w:val="single" w:sz="8" w:color="auto"/>
            </w:tcBorders>
            <w:shd w:val="clear" w:color="auto" w:fill="DDDDDD"/>
          </w:tcPr>
          <w:p>
            <w:pPr>
              <w:ind w:left="60"/>
              <w:spacing w:after="0" w:line="122" w:lineRule="exact"/>
              <w:rPr>
                <w:sz w:val="20"/>
                <w:szCs w:val="20"/>
                <w:color w:val="auto"/>
              </w:rPr>
            </w:pPr>
            <w:r>
              <w:rPr>
                <w:rFonts w:ascii="Arial" w:cs="Arial" w:eastAsia="Arial" w:hAnsi="Arial"/>
                <w:sz w:val="11"/>
                <w:szCs w:val="11"/>
                <w:b w:val="1"/>
                <w:bCs w:val="1"/>
                <w:color w:val="auto"/>
              </w:rPr>
              <w:t>Threshold</w:t>
            </w:r>
          </w:p>
        </w:tc>
        <w:tc>
          <w:tcPr>
            <w:tcW w:w="620" w:type="dxa"/>
            <w:vAlign w:val="bottom"/>
            <w:tcBorders>
              <w:right w:val="single" w:sz="8" w:color="auto"/>
            </w:tcBorders>
            <w:shd w:val="clear" w:color="auto" w:fill="DDDDDD"/>
          </w:tcPr>
          <w:p>
            <w:pPr>
              <w:jc w:val="center"/>
              <w:spacing w:after="0" w:line="122" w:lineRule="exact"/>
              <w:rPr>
                <w:sz w:val="20"/>
                <w:szCs w:val="20"/>
                <w:color w:val="auto"/>
              </w:rPr>
            </w:pPr>
            <w:r>
              <w:rPr>
                <w:rFonts w:ascii="Arial" w:cs="Arial" w:eastAsia="Arial" w:hAnsi="Arial"/>
                <w:sz w:val="11"/>
                <w:szCs w:val="11"/>
                <w:b w:val="1"/>
                <w:bCs w:val="1"/>
                <w:color w:val="auto"/>
                <w:w w:val="95"/>
              </w:rPr>
              <w:t>Target</w:t>
            </w:r>
          </w:p>
        </w:tc>
        <w:tc>
          <w:tcPr>
            <w:tcW w:w="620" w:type="dxa"/>
            <w:vAlign w:val="bottom"/>
            <w:tcBorders>
              <w:right w:val="single" w:sz="8" w:color="auto"/>
            </w:tcBorders>
            <w:shd w:val="clear" w:color="auto" w:fill="DDDDDD"/>
          </w:tcPr>
          <w:p>
            <w:pPr>
              <w:ind w:left="40"/>
              <w:spacing w:after="0" w:line="122" w:lineRule="exact"/>
              <w:rPr>
                <w:sz w:val="20"/>
                <w:szCs w:val="20"/>
                <w:color w:val="auto"/>
              </w:rPr>
            </w:pPr>
            <w:r>
              <w:rPr>
                <w:rFonts w:ascii="Arial" w:cs="Arial" w:eastAsia="Arial" w:hAnsi="Arial"/>
                <w:sz w:val="11"/>
                <w:szCs w:val="11"/>
                <w:b w:val="1"/>
                <w:bCs w:val="1"/>
                <w:color w:val="auto"/>
              </w:rPr>
              <w:t>Maximum</w:t>
            </w:r>
          </w:p>
        </w:tc>
        <w:tc>
          <w:tcPr>
            <w:tcW w:w="720" w:type="dxa"/>
            <w:vAlign w:val="bottom"/>
            <w:tcBorders>
              <w:right w:val="single" w:sz="8" w:color="auto"/>
            </w:tcBorders>
            <w:shd w:val="clear" w:color="auto" w:fill="E5E5E5"/>
          </w:tcPr>
          <w:p>
            <w:pPr>
              <w:jc w:val="center"/>
              <w:spacing w:after="0" w:line="122" w:lineRule="exact"/>
              <w:rPr>
                <w:sz w:val="20"/>
                <w:szCs w:val="20"/>
                <w:color w:val="auto"/>
              </w:rPr>
            </w:pPr>
            <w:r>
              <w:rPr>
                <w:rFonts w:ascii="Arial" w:cs="Arial" w:eastAsia="Arial" w:hAnsi="Arial"/>
                <w:sz w:val="11"/>
                <w:szCs w:val="11"/>
                <w:b w:val="1"/>
                <w:bCs w:val="1"/>
                <w:color w:val="auto"/>
                <w:w w:val="98"/>
              </w:rPr>
              <w:t>Options, or</w:t>
            </w:r>
          </w:p>
        </w:tc>
        <w:tc>
          <w:tcPr>
            <w:tcW w:w="760" w:type="dxa"/>
            <w:vAlign w:val="bottom"/>
            <w:tcBorders>
              <w:right w:val="single" w:sz="8" w:color="auto"/>
            </w:tcBorders>
            <w:shd w:val="clear" w:color="auto" w:fill="E5E5E5"/>
          </w:tcPr>
          <w:p>
            <w:pPr>
              <w:jc w:val="center"/>
              <w:spacing w:after="0" w:line="122" w:lineRule="exact"/>
              <w:rPr>
                <w:sz w:val="20"/>
                <w:szCs w:val="20"/>
                <w:color w:val="auto"/>
              </w:rPr>
            </w:pPr>
            <w:r>
              <w:rPr>
                <w:rFonts w:ascii="Arial" w:cs="Arial" w:eastAsia="Arial" w:hAnsi="Arial"/>
                <w:sz w:val="11"/>
                <w:szCs w:val="11"/>
                <w:b w:val="1"/>
                <w:bCs w:val="1"/>
                <w:color w:val="auto"/>
                <w:w w:val="97"/>
              </w:rPr>
              <w:t>of Equity</w:t>
            </w:r>
          </w:p>
        </w:tc>
        <w:tc>
          <w:tcPr>
            <w:tcW w:w="0" w:type="dxa"/>
            <w:vAlign w:val="bottom"/>
          </w:tcPr>
          <w:p>
            <w:pPr>
              <w:spacing w:after="0"/>
              <w:rPr>
                <w:sz w:val="1"/>
                <w:szCs w:val="1"/>
                <w:color w:val="auto"/>
              </w:rPr>
            </w:pPr>
          </w:p>
        </w:tc>
      </w:tr>
      <w:tr>
        <w:trPr>
          <w:trHeight w:val="169"/>
        </w:trPr>
        <w:tc>
          <w:tcPr>
            <w:tcW w:w="640" w:type="dxa"/>
            <w:vAlign w:val="bottom"/>
            <w:tcBorders>
              <w:left w:val="single" w:sz="8" w:color="auto"/>
              <w:bottom w:val="single" w:sz="8" w:color="E5E5E5"/>
              <w:right w:val="single" w:sz="8" w:color="auto"/>
            </w:tcBorders>
            <w:shd w:val="clear" w:color="auto" w:fill="E5E5E5"/>
          </w:tcPr>
          <w:p>
            <w:pPr>
              <w:ind w:left="180"/>
              <w:spacing w:after="0"/>
              <w:rPr>
                <w:sz w:val="20"/>
                <w:szCs w:val="20"/>
                <w:color w:val="auto"/>
              </w:rPr>
            </w:pPr>
            <w:r>
              <w:rPr>
                <w:rFonts w:ascii="Arial" w:cs="Arial" w:eastAsia="Arial" w:hAnsi="Arial"/>
                <w:sz w:val="11"/>
                <w:szCs w:val="11"/>
                <w:b w:val="1"/>
                <w:bCs w:val="1"/>
                <w:color w:val="auto"/>
              </w:rPr>
              <w:t>Name</w:t>
            </w:r>
          </w:p>
        </w:tc>
        <w:tc>
          <w:tcPr>
            <w:tcW w:w="980" w:type="dxa"/>
            <w:vAlign w:val="bottom"/>
            <w:tcBorders>
              <w:bottom w:val="single" w:sz="8" w:color="E5E5E5"/>
            </w:tcBorders>
            <w:shd w:val="clear" w:color="auto" w:fill="E5E5E5"/>
          </w:tcPr>
          <w:p>
            <w:pPr>
              <w:jc w:val="center"/>
              <w:spacing w:after="0"/>
              <w:rPr>
                <w:sz w:val="20"/>
                <w:szCs w:val="20"/>
                <w:color w:val="auto"/>
              </w:rPr>
            </w:pPr>
            <w:r>
              <w:rPr>
                <w:rFonts w:ascii="Arial" w:cs="Arial" w:eastAsia="Arial" w:hAnsi="Arial"/>
                <w:sz w:val="11"/>
                <w:szCs w:val="11"/>
                <w:b w:val="1"/>
                <w:bCs w:val="1"/>
                <w:color w:val="auto"/>
              </w:rPr>
              <w:t>Award</w:t>
            </w:r>
          </w:p>
        </w:tc>
        <w:tc>
          <w:tcPr>
            <w:tcW w:w="180" w:type="dxa"/>
            <w:vAlign w:val="bottom"/>
            <w:tcBorders>
              <w:bottom w:val="single" w:sz="8" w:color="E5E5E5"/>
              <w:right w:val="single" w:sz="8" w:color="auto"/>
            </w:tcBorders>
            <w:shd w:val="clear" w:color="auto" w:fill="E5E5E5"/>
          </w:tcPr>
          <w:p>
            <w:pPr>
              <w:spacing w:after="0"/>
              <w:rPr>
                <w:sz w:val="14"/>
                <w:szCs w:val="14"/>
                <w:color w:val="auto"/>
              </w:rPr>
            </w:pPr>
          </w:p>
        </w:tc>
        <w:tc>
          <w:tcPr>
            <w:tcW w:w="720" w:type="dxa"/>
            <w:vAlign w:val="bottom"/>
            <w:tcBorders>
              <w:bottom w:val="single" w:sz="8" w:color="E5E5E5"/>
              <w:right w:val="single" w:sz="8" w:color="auto"/>
            </w:tcBorders>
            <w:shd w:val="clear" w:color="auto" w:fill="E5E5E5"/>
          </w:tcPr>
          <w:p>
            <w:pPr>
              <w:jc w:val="center"/>
              <w:spacing w:after="0"/>
              <w:rPr>
                <w:sz w:val="20"/>
                <w:szCs w:val="20"/>
                <w:color w:val="auto"/>
              </w:rPr>
            </w:pPr>
            <w:r>
              <w:rPr>
                <w:rFonts w:ascii="Arial" w:cs="Arial" w:eastAsia="Arial" w:hAnsi="Arial"/>
                <w:sz w:val="11"/>
                <w:szCs w:val="11"/>
                <w:b w:val="1"/>
                <w:bCs w:val="1"/>
                <w:color w:val="auto"/>
              </w:rPr>
              <w:t>Date</w:t>
            </w:r>
            <w:r>
              <w:rPr>
                <w:rFonts w:ascii="Arial" w:cs="Arial" w:eastAsia="Arial" w:hAnsi="Arial"/>
                <w:sz w:val="7"/>
                <w:szCs w:val="7"/>
                <w:b w:val="1"/>
                <w:bCs w:val="1"/>
                <w:color w:val="auto"/>
              </w:rPr>
              <w:t>2</w:t>
            </w:r>
          </w:p>
        </w:tc>
        <w:tc>
          <w:tcPr>
            <w:tcW w:w="1080" w:type="dxa"/>
            <w:vAlign w:val="bottom"/>
            <w:tcBorders>
              <w:bottom w:val="single" w:sz="8" w:color="DDDDDD"/>
              <w:right w:val="single" w:sz="8" w:color="auto"/>
            </w:tcBorders>
            <w:shd w:val="clear" w:color="auto" w:fill="DDDDDD"/>
          </w:tcPr>
          <w:p>
            <w:pPr>
              <w:jc w:val="center"/>
              <w:spacing w:after="0"/>
              <w:rPr>
                <w:sz w:val="20"/>
                <w:szCs w:val="20"/>
                <w:color w:val="auto"/>
              </w:rPr>
            </w:pPr>
            <w:r>
              <w:rPr>
                <w:rFonts w:ascii="Arial" w:cs="Arial" w:eastAsia="Arial" w:hAnsi="Arial"/>
                <w:sz w:val="11"/>
                <w:szCs w:val="11"/>
                <w:b w:val="1"/>
                <w:bCs w:val="1"/>
                <w:color w:val="auto"/>
                <w:w w:val="92"/>
              </w:rPr>
              <w:t>Date</w:t>
            </w:r>
          </w:p>
        </w:tc>
        <w:tc>
          <w:tcPr>
            <w:tcW w:w="640" w:type="dxa"/>
            <w:vAlign w:val="bottom"/>
            <w:tcBorders>
              <w:bottom w:val="single" w:sz="8" w:color="DDDDDD"/>
              <w:right w:val="single" w:sz="8" w:color="auto"/>
            </w:tcBorders>
            <w:shd w:val="clear" w:color="auto" w:fill="DDDDDD"/>
          </w:tcPr>
          <w:p>
            <w:pPr>
              <w:jc w:val="center"/>
              <w:spacing w:after="0"/>
              <w:rPr>
                <w:sz w:val="20"/>
                <w:szCs w:val="20"/>
                <w:color w:val="auto"/>
              </w:rPr>
            </w:pPr>
            <w:r>
              <w:rPr>
                <w:rFonts w:ascii="Arial" w:cs="Arial" w:eastAsia="Arial" w:hAnsi="Arial"/>
                <w:sz w:val="11"/>
                <w:szCs w:val="11"/>
                <w:b w:val="1"/>
                <w:bCs w:val="1"/>
                <w:color w:val="auto"/>
              </w:rPr>
              <w:t>($)</w:t>
            </w:r>
          </w:p>
        </w:tc>
        <w:tc>
          <w:tcPr>
            <w:tcW w:w="760" w:type="dxa"/>
            <w:vAlign w:val="bottom"/>
            <w:tcBorders>
              <w:bottom w:val="single" w:sz="8" w:color="DDDDDD"/>
              <w:right w:val="single" w:sz="8" w:color="auto"/>
            </w:tcBorders>
            <w:shd w:val="clear" w:color="auto" w:fill="DDDDDD"/>
          </w:tcPr>
          <w:p>
            <w:pPr>
              <w:jc w:val="center"/>
              <w:spacing w:after="0"/>
              <w:rPr>
                <w:sz w:val="20"/>
                <w:szCs w:val="20"/>
                <w:color w:val="auto"/>
              </w:rPr>
            </w:pPr>
            <w:r>
              <w:rPr>
                <w:rFonts w:ascii="Arial" w:cs="Arial" w:eastAsia="Arial" w:hAnsi="Arial"/>
                <w:sz w:val="11"/>
                <w:szCs w:val="11"/>
                <w:b w:val="1"/>
                <w:bCs w:val="1"/>
                <w:color w:val="auto"/>
              </w:rPr>
              <w:t>($)</w:t>
            </w:r>
          </w:p>
        </w:tc>
        <w:tc>
          <w:tcPr>
            <w:tcW w:w="780" w:type="dxa"/>
            <w:vAlign w:val="bottom"/>
            <w:tcBorders>
              <w:bottom w:val="single" w:sz="8" w:color="DDDDDD"/>
              <w:right w:val="single" w:sz="8" w:color="auto"/>
            </w:tcBorders>
            <w:shd w:val="clear" w:color="auto" w:fill="DDDDDD"/>
          </w:tcPr>
          <w:p>
            <w:pPr>
              <w:jc w:val="center"/>
              <w:spacing w:after="0"/>
              <w:rPr>
                <w:sz w:val="20"/>
                <w:szCs w:val="20"/>
                <w:color w:val="auto"/>
              </w:rPr>
            </w:pPr>
            <w:r>
              <w:rPr>
                <w:rFonts w:ascii="Arial" w:cs="Arial" w:eastAsia="Arial" w:hAnsi="Arial"/>
                <w:sz w:val="11"/>
                <w:szCs w:val="11"/>
                <w:b w:val="1"/>
                <w:bCs w:val="1"/>
                <w:color w:val="auto"/>
                <w:w w:val="88"/>
              </w:rPr>
              <w:t>($)</w:t>
            </w:r>
          </w:p>
        </w:tc>
        <w:tc>
          <w:tcPr>
            <w:tcW w:w="660" w:type="dxa"/>
            <w:vAlign w:val="bottom"/>
            <w:tcBorders>
              <w:bottom w:val="single" w:sz="8" w:color="DDDDDD"/>
              <w:right w:val="single" w:sz="8" w:color="auto"/>
            </w:tcBorders>
            <w:shd w:val="clear" w:color="auto" w:fill="DDDDDD"/>
          </w:tcPr>
          <w:p>
            <w:pPr>
              <w:ind w:left="60"/>
              <w:spacing w:after="0"/>
              <w:rPr>
                <w:sz w:val="20"/>
                <w:szCs w:val="20"/>
                <w:color w:val="auto"/>
              </w:rPr>
            </w:pPr>
            <w:r>
              <w:rPr>
                <w:rFonts w:ascii="Arial" w:cs="Arial" w:eastAsia="Arial" w:hAnsi="Arial"/>
                <w:sz w:val="11"/>
                <w:szCs w:val="11"/>
                <w:b w:val="1"/>
                <w:bCs w:val="1"/>
                <w:color w:val="auto"/>
              </w:rPr>
              <w:t>(# shares)</w:t>
            </w:r>
          </w:p>
        </w:tc>
        <w:tc>
          <w:tcPr>
            <w:tcW w:w="620" w:type="dxa"/>
            <w:vAlign w:val="bottom"/>
            <w:tcBorders>
              <w:bottom w:val="single" w:sz="8" w:color="DDDDDD"/>
              <w:right w:val="single" w:sz="8" w:color="auto"/>
            </w:tcBorders>
            <w:shd w:val="clear" w:color="auto" w:fill="DDDDDD"/>
          </w:tcPr>
          <w:p>
            <w:pPr>
              <w:jc w:val="center"/>
              <w:spacing w:after="0"/>
              <w:rPr>
                <w:sz w:val="20"/>
                <w:szCs w:val="20"/>
                <w:color w:val="auto"/>
              </w:rPr>
            </w:pPr>
            <w:r>
              <w:rPr>
                <w:rFonts w:ascii="Arial" w:cs="Arial" w:eastAsia="Arial" w:hAnsi="Arial"/>
                <w:sz w:val="11"/>
                <w:szCs w:val="11"/>
                <w:b w:val="1"/>
                <w:bCs w:val="1"/>
                <w:color w:val="auto"/>
                <w:w w:val="96"/>
              </w:rPr>
              <w:t>(# shares)</w:t>
            </w:r>
          </w:p>
        </w:tc>
        <w:tc>
          <w:tcPr>
            <w:tcW w:w="620" w:type="dxa"/>
            <w:vAlign w:val="bottom"/>
            <w:tcBorders>
              <w:bottom w:val="single" w:sz="8" w:color="DDDDDD"/>
              <w:right w:val="single" w:sz="8" w:color="auto"/>
            </w:tcBorders>
            <w:shd w:val="clear" w:color="auto" w:fill="DDDDDD"/>
          </w:tcPr>
          <w:p>
            <w:pPr>
              <w:ind w:left="40"/>
              <w:spacing w:after="0"/>
              <w:rPr>
                <w:sz w:val="20"/>
                <w:szCs w:val="20"/>
                <w:color w:val="auto"/>
              </w:rPr>
            </w:pPr>
            <w:r>
              <w:rPr>
                <w:rFonts w:ascii="Arial" w:cs="Arial" w:eastAsia="Arial" w:hAnsi="Arial"/>
                <w:sz w:val="11"/>
                <w:szCs w:val="11"/>
                <w:b w:val="1"/>
                <w:bCs w:val="1"/>
                <w:color w:val="auto"/>
              </w:rPr>
              <w:t>(# shares)</w:t>
            </w:r>
          </w:p>
        </w:tc>
        <w:tc>
          <w:tcPr>
            <w:tcW w:w="720" w:type="dxa"/>
            <w:vAlign w:val="bottom"/>
            <w:tcBorders>
              <w:bottom w:val="single" w:sz="8" w:color="E5E5E5"/>
              <w:right w:val="single" w:sz="8" w:color="auto"/>
            </w:tcBorders>
            <w:shd w:val="clear" w:color="auto" w:fill="E5E5E5"/>
          </w:tcPr>
          <w:p>
            <w:pPr>
              <w:jc w:val="center"/>
              <w:spacing w:after="0"/>
              <w:rPr>
                <w:sz w:val="20"/>
                <w:szCs w:val="20"/>
                <w:color w:val="auto"/>
              </w:rPr>
            </w:pPr>
            <w:r>
              <w:rPr>
                <w:rFonts w:ascii="Arial" w:cs="Arial" w:eastAsia="Arial" w:hAnsi="Arial"/>
                <w:sz w:val="11"/>
                <w:szCs w:val="11"/>
                <w:b w:val="1"/>
                <w:bCs w:val="1"/>
                <w:color w:val="auto"/>
              </w:rPr>
              <w:t>Units</w:t>
            </w:r>
          </w:p>
        </w:tc>
        <w:tc>
          <w:tcPr>
            <w:tcW w:w="760" w:type="dxa"/>
            <w:vAlign w:val="bottom"/>
            <w:tcBorders>
              <w:bottom w:val="single" w:sz="8" w:color="E5E5E5"/>
              <w:right w:val="single" w:sz="8" w:color="auto"/>
            </w:tcBorders>
            <w:shd w:val="clear" w:color="auto" w:fill="E5E5E5"/>
          </w:tcPr>
          <w:p>
            <w:pPr>
              <w:jc w:val="center"/>
              <w:spacing w:after="0"/>
              <w:rPr>
                <w:sz w:val="20"/>
                <w:szCs w:val="20"/>
                <w:color w:val="auto"/>
              </w:rPr>
            </w:pPr>
            <w:r>
              <w:rPr>
                <w:rFonts w:ascii="Arial" w:cs="Arial" w:eastAsia="Arial" w:hAnsi="Arial"/>
                <w:sz w:val="11"/>
                <w:szCs w:val="11"/>
                <w:b w:val="1"/>
                <w:bCs w:val="1"/>
                <w:color w:val="auto"/>
                <w:w w:val="95"/>
              </w:rPr>
              <w:t>Awards</w:t>
            </w:r>
          </w:p>
        </w:tc>
        <w:tc>
          <w:tcPr>
            <w:tcW w:w="0" w:type="dxa"/>
            <w:vAlign w:val="bottom"/>
          </w:tcPr>
          <w:p>
            <w:pPr>
              <w:spacing w:after="0"/>
              <w:rPr>
                <w:sz w:val="1"/>
                <w:szCs w:val="1"/>
                <w:color w:val="auto"/>
              </w:rPr>
            </w:pPr>
          </w:p>
        </w:tc>
      </w:tr>
      <w:tr>
        <w:trPr>
          <w:trHeight w:val="248"/>
        </w:trPr>
        <w:tc>
          <w:tcPr>
            <w:tcW w:w="6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Mr. Ricks</w:t>
            </w:r>
          </w:p>
        </w:tc>
        <w:tc>
          <w:tcPr>
            <w:tcW w:w="98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96"/>
              </w:rPr>
              <w:t>Annual Bonus</w:t>
            </w:r>
          </w:p>
        </w:tc>
        <w:tc>
          <w:tcPr>
            <w:tcW w:w="180" w:type="dxa"/>
            <w:vAlign w:val="bottom"/>
            <w:tcBorders>
              <w:top w:val="single" w:sz="8" w:color="auto"/>
              <w:right w:val="single" w:sz="8" w:color="auto"/>
            </w:tcBorders>
          </w:tcPr>
          <w:p>
            <w:pPr>
              <w:spacing w:after="0"/>
              <w:rPr>
                <w:sz w:val="21"/>
                <w:szCs w:val="21"/>
                <w:color w:val="auto"/>
              </w:rPr>
            </w:pPr>
          </w:p>
        </w:tc>
        <w:tc>
          <w:tcPr>
            <w:tcW w:w="720" w:type="dxa"/>
            <w:vAlign w:val="bottom"/>
            <w:tcBorders>
              <w:top w:val="single" w:sz="8" w:color="auto"/>
              <w:right w:val="single" w:sz="8" w:color="auto"/>
            </w:tcBorders>
          </w:tcPr>
          <w:p>
            <w:pPr>
              <w:jc w:val="center"/>
              <w:ind w:right="3"/>
              <w:spacing w:after="0"/>
              <w:rPr>
                <w:sz w:val="20"/>
                <w:szCs w:val="20"/>
                <w:color w:val="auto"/>
              </w:rPr>
            </w:pPr>
            <w:r>
              <w:rPr>
                <w:rFonts w:ascii="Arial" w:cs="Arial" w:eastAsia="Arial" w:hAnsi="Arial"/>
                <w:sz w:val="9"/>
                <w:szCs w:val="9"/>
                <w:color w:val="auto"/>
                <w:w w:val="99"/>
              </w:rPr>
              <w:t>__</w:t>
            </w:r>
          </w:p>
        </w:tc>
        <w:tc>
          <w:tcPr>
            <w:tcW w:w="1080" w:type="dxa"/>
            <w:vAlign w:val="bottom"/>
            <w:tcBorders>
              <w:top w:val="single" w:sz="8" w:color="auto"/>
              <w:right w:val="single" w:sz="8" w:color="auto"/>
            </w:tcBorders>
          </w:tcPr>
          <w:p>
            <w:pPr>
              <w:jc w:val="center"/>
              <w:ind w:right="3"/>
              <w:spacing w:after="0"/>
              <w:rPr>
                <w:sz w:val="20"/>
                <w:szCs w:val="20"/>
                <w:color w:val="auto"/>
              </w:rPr>
            </w:pPr>
            <w:r>
              <w:rPr>
                <w:rFonts w:ascii="Arial" w:cs="Arial" w:eastAsia="Arial" w:hAnsi="Arial"/>
                <w:sz w:val="9"/>
                <w:szCs w:val="9"/>
                <w:color w:val="auto"/>
                <w:w w:val="99"/>
              </w:rPr>
              <w:t>__</w:t>
            </w:r>
          </w:p>
        </w:tc>
        <w:tc>
          <w:tcPr>
            <w:tcW w:w="6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7"/>
              </w:rPr>
              <w:t>$52,500</w:t>
            </w:r>
          </w:p>
        </w:tc>
        <w:tc>
          <w:tcPr>
            <w:tcW w:w="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5"/>
              </w:rPr>
              <w:t>$2,100,000</w:t>
            </w:r>
          </w:p>
        </w:tc>
        <w:tc>
          <w:tcPr>
            <w:tcW w:w="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8"/>
              </w:rPr>
              <w:t>$4,200,000</w:t>
            </w:r>
          </w:p>
        </w:tc>
        <w:tc>
          <w:tcPr>
            <w:tcW w:w="660" w:type="dxa"/>
            <w:vAlign w:val="bottom"/>
            <w:tcBorders>
              <w:top w:val="single" w:sz="8" w:color="auto"/>
              <w:right w:val="single" w:sz="8" w:color="auto"/>
            </w:tcBorders>
          </w:tcPr>
          <w:p>
            <w:pPr>
              <w:spacing w:after="0"/>
              <w:rPr>
                <w:sz w:val="21"/>
                <w:szCs w:val="21"/>
                <w:color w:val="auto"/>
              </w:rPr>
            </w:pPr>
          </w:p>
        </w:tc>
        <w:tc>
          <w:tcPr>
            <w:tcW w:w="620" w:type="dxa"/>
            <w:vAlign w:val="bottom"/>
            <w:tcBorders>
              <w:top w:val="single" w:sz="8" w:color="auto"/>
              <w:right w:val="single" w:sz="8" w:color="auto"/>
            </w:tcBorders>
          </w:tcPr>
          <w:p>
            <w:pPr>
              <w:spacing w:after="0"/>
              <w:rPr>
                <w:sz w:val="21"/>
                <w:szCs w:val="21"/>
                <w:color w:val="auto"/>
              </w:rPr>
            </w:pPr>
          </w:p>
        </w:tc>
        <w:tc>
          <w:tcPr>
            <w:tcW w:w="620" w:type="dxa"/>
            <w:vAlign w:val="bottom"/>
            <w:tcBorders>
              <w:top w:val="single" w:sz="8" w:color="auto"/>
              <w:right w:val="single" w:sz="8" w:color="auto"/>
            </w:tcBorders>
          </w:tcPr>
          <w:p>
            <w:pPr>
              <w:spacing w:after="0"/>
              <w:rPr>
                <w:sz w:val="21"/>
                <w:szCs w:val="21"/>
                <w:color w:val="auto"/>
              </w:rPr>
            </w:pPr>
          </w:p>
        </w:tc>
        <w:tc>
          <w:tcPr>
            <w:tcW w:w="720" w:type="dxa"/>
            <w:vAlign w:val="bottom"/>
            <w:tcBorders>
              <w:top w:val="single" w:sz="8" w:color="auto"/>
              <w:right w:val="single" w:sz="8" w:color="auto"/>
            </w:tcBorders>
          </w:tcPr>
          <w:p>
            <w:pPr>
              <w:spacing w:after="0"/>
              <w:rPr>
                <w:sz w:val="21"/>
                <w:szCs w:val="21"/>
                <w:color w:val="auto"/>
              </w:rPr>
            </w:pPr>
          </w:p>
        </w:tc>
        <w:tc>
          <w:tcPr>
            <w:tcW w:w="76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40" w:type="dxa"/>
            <w:vAlign w:val="bottom"/>
            <w:tcBorders>
              <w:left w:val="single" w:sz="8" w:color="auto"/>
              <w:right w:val="single" w:sz="8" w:color="auto"/>
            </w:tcBorders>
          </w:tcPr>
          <w:p>
            <w:pPr>
              <w:spacing w:after="0"/>
              <w:rPr>
                <w:sz w:val="23"/>
                <w:szCs w:val="23"/>
                <w:color w:val="auto"/>
              </w:rPr>
            </w:pPr>
          </w:p>
        </w:tc>
        <w:tc>
          <w:tcPr>
            <w:tcW w:w="980" w:type="dxa"/>
            <w:vAlign w:val="bottom"/>
          </w:tcPr>
          <w:p>
            <w:pPr>
              <w:jc w:val="center"/>
              <w:spacing w:after="0"/>
              <w:rPr>
                <w:sz w:val="20"/>
                <w:szCs w:val="20"/>
                <w:color w:val="auto"/>
              </w:rPr>
            </w:pPr>
            <w:r>
              <w:rPr>
                <w:rFonts w:ascii="Arial" w:cs="Arial" w:eastAsia="Arial" w:hAnsi="Arial"/>
                <w:sz w:val="13"/>
                <w:szCs w:val="13"/>
                <w:color w:val="auto"/>
                <w:w w:val="93"/>
              </w:rPr>
              <w:t>2017-2019 PA</w:t>
            </w:r>
          </w:p>
        </w:tc>
        <w:tc>
          <w:tcPr>
            <w:tcW w:w="180" w:type="dxa"/>
            <w:vAlign w:val="bottom"/>
            <w:tcBorders>
              <w:right w:val="single" w:sz="8" w:color="auto"/>
            </w:tcBorders>
          </w:tcPr>
          <w:p>
            <w:pPr>
              <w:jc w:val="right"/>
              <w:ind w:right="55"/>
              <w:spacing w:after="0"/>
              <w:rPr>
                <w:sz w:val="20"/>
                <w:szCs w:val="20"/>
                <w:color w:val="auto"/>
              </w:rPr>
            </w:pPr>
            <w:r>
              <w:rPr>
                <w:rFonts w:ascii="Arial" w:cs="Arial" w:eastAsia="Arial" w:hAnsi="Arial"/>
                <w:sz w:val="9"/>
                <w:szCs w:val="9"/>
                <w:color w:val="auto"/>
              </w:rPr>
              <w:t>3</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4"/>
              </w:rPr>
              <w:t>2/9/2017</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12/12/2016</w:t>
            </w:r>
          </w:p>
        </w:tc>
        <w:tc>
          <w:tcPr>
            <w:tcW w:w="640" w:type="dxa"/>
            <w:vAlign w:val="bottom"/>
            <w:tcBorders>
              <w:right w:val="single" w:sz="8" w:color="auto"/>
            </w:tcBorders>
          </w:tcPr>
          <w:p>
            <w:pPr>
              <w:spacing w:after="0"/>
              <w:rPr>
                <w:sz w:val="23"/>
                <w:szCs w:val="23"/>
                <w:color w:val="auto"/>
              </w:rPr>
            </w:pPr>
          </w:p>
        </w:tc>
        <w:tc>
          <w:tcPr>
            <w:tcW w:w="760" w:type="dxa"/>
            <w:vAlign w:val="bottom"/>
            <w:tcBorders>
              <w:right w:val="single" w:sz="8" w:color="auto"/>
            </w:tcBorders>
          </w:tcPr>
          <w:p>
            <w:pPr>
              <w:spacing w:after="0"/>
              <w:rPr>
                <w:sz w:val="23"/>
                <w:szCs w:val="23"/>
                <w:color w:val="auto"/>
              </w:rPr>
            </w:pPr>
          </w:p>
        </w:tc>
        <w:tc>
          <w:tcPr>
            <w:tcW w:w="780" w:type="dxa"/>
            <w:vAlign w:val="bottom"/>
            <w:tcBorders>
              <w:right w:val="single" w:sz="8" w:color="auto"/>
            </w:tcBorders>
          </w:tcPr>
          <w:p>
            <w:pPr>
              <w:spacing w:after="0"/>
              <w:rPr>
                <w:sz w:val="23"/>
                <w:szCs w:val="23"/>
                <w:color w:val="auto"/>
              </w:rPr>
            </w:pPr>
          </w:p>
        </w:tc>
        <w:tc>
          <w:tcPr>
            <w:tcW w:w="6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23,117</w:t>
            </w: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46,233</w:t>
            </w: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69,350</w:t>
            </w:r>
          </w:p>
        </w:tc>
        <w:tc>
          <w:tcPr>
            <w:tcW w:w="720" w:type="dxa"/>
            <w:vAlign w:val="bottom"/>
            <w:tcBorders>
              <w:right w:val="single" w:sz="8" w:color="auto"/>
            </w:tcBorders>
          </w:tcPr>
          <w:p>
            <w:pPr>
              <w:spacing w:after="0"/>
              <w:rPr>
                <w:sz w:val="23"/>
                <w:szCs w:val="23"/>
                <w:color w:val="auto"/>
              </w:rPr>
            </w:pP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$5,100,000</w:t>
            </w:r>
          </w:p>
        </w:tc>
        <w:tc>
          <w:tcPr>
            <w:tcW w:w="0" w:type="dxa"/>
            <w:vAlign w:val="bottom"/>
          </w:tcPr>
          <w:p>
            <w:pPr>
              <w:spacing w:after="0"/>
              <w:rPr>
                <w:sz w:val="1"/>
                <w:szCs w:val="1"/>
                <w:color w:val="auto"/>
              </w:rPr>
            </w:pPr>
          </w:p>
        </w:tc>
      </w:tr>
      <w:tr>
        <w:trPr>
          <w:trHeight w:val="270"/>
        </w:trPr>
        <w:tc>
          <w:tcPr>
            <w:tcW w:w="640" w:type="dxa"/>
            <w:vAlign w:val="bottom"/>
            <w:tcBorders>
              <w:left w:val="single" w:sz="8" w:color="auto"/>
              <w:right w:val="single" w:sz="8" w:color="auto"/>
            </w:tcBorders>
          </w:tcPr>
          <w:p>
            <w:pPr>
              <w:spacing w:after="0"/>
              <w:rPr>
                <w:sz w:val="23"/>
                <w:szCs w:val="23"/>
                <w:color w:val="auto"/>
              </w:rPr>
            </w:pPr>
          </w:p>
        </w:tc>
        <w:tc>
          <w:tcPr>
            <w:tcW w:w="980" w:type="dxa"/>
            <w:vAlign w:val="bottom"/>
          </w:tcPr>
          <w:p>
            <w:pPr>
              <w:jc w:val="center"/>
              <w:spacing w:after="0"/>
              <w:rPr>
                <w:sz w:val="20"/>
                <w:szCs w:val="20"/>
                <w:color w:val="auto"/>
              </w:rPr>
            </w:pPr>
            <w:r>
              <w:rPr>
                <w:rFonts w:ascii="Arial" w:cs="Arial" w:eastAsia="Arial" w:hAnsi="Arial"/>
                <w:sz w:val="13"/>
                <w:szCs w:val="13"/>
                <w:color w:val="auto"/>
                <w:w w:val="95"/>
              </w:rPr>
              <w:t>2017-2019 SVA</w:t>
            </w:r>
          </w:p>
        </w:tc>
        <w:tc>
          <w:tcPr>
            <w:tcW w:w="180" w:type="dxa"/>
            <w:vAlign w:val="bottom"/>
            <w:tcBorders>
              <w:right w:val="single" w:sz="8" w:color="auto"/>
            </w:tcBorders>
          </w:tcPr>
          <w:p>
            <w:pPr>
              <w:jc w:val="right"/>
              <w:ind w:right="55"/>
              <w:spacing w:after="0"/>
              <w:rPr>
                <w:sz w:val="20"/>
                <w:szCs w:val="20"/>
                <w:color w:val="auto"/>
              </w:rPr>
            </w:pPr>
            <w:r>
              <w:rPr>
                <w:rFonts w:ascii="Arial" w:cs="Arial" w:eastAsia="Arial" w:hAnsi="Arial"/>
                <w:sz w:val="9"/>
                <w:szCs w:val="9"/>
                <w:color w:val="auto"/>
              </w:rPr>
              <w:t>4</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4"/>
              </w:rPr>
              <w:t>2/9/2017</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12/12/2016</w:t>
            </w:r>
          </w:p>
        </w:tc>
        <w:tc>
          <w:tcPr>
            <w:tcW w:w="640" w:type="dxa"/>
            <w:vAlign w:val="bottom"/>
            <w:tcBorders>
              <w:right w:val="single" w:sz="8" w:color="auto"/>
            </w:tcBorders>
          </w:tcPr>
          <w:p>
            <w:pPr>
              <w:spacing w:after="0"/>
              <w:rPr>
                <w:sz w:val="23"/>
                <w:szCs w:val="23"/>
                <w:color w:val="auto"/>
              </w:rPr>
            </w:pPr>
          </w:p>
        </w:tc>
        <w:tc>
          <w:tcPr>
            <w:tcW w:w="760" w:type="dxa"/>
            <w:vAlign w:val="bottom"/>
            <w:tcBorders>
              <w:right w:val="single" w:sz="8" w:color="auto"/>
            </w:tcBorders>
          </w:tcPr>
          <w:p>
            <w:pPr>
              <w:spacing w:after="0"/>
              <w:rPr>
                <w:sz w:val="23"/>
                <w:szCs w:val="23"/>
                <w:color w:val="auto"/>
              </w:rPr>
            </w:pPr>
          </w:p>
        </w:tc>
        <w:tc>
          <w:tcPr>
            <w:tcW w:w="780" w:type="dxa"/>
            <w:vAlign w:val="bottom"/>
            <w:tcBorders>
              <w:right w:val="single" w:sz="8" w:color="auto"/>
            </w:tcBorders>
          </w:tcPr>
          <w:p>
            <w:pPr>
              <w:spacing w:after="0"/>
              <w:rPr>
                <w:sz w:val="23"/>
                <w:szCs w:val="23"/>
                <w:color w:val="auto"/>
              </w:rPr>
            </w:pPr>
          </w:p>
        </w:tc>
        <w:tc>
          <w:tcPr>
            <w:tcW w:w="6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39,045</w:t>
            </w: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78,089</w:t>
            </w: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117,134</w:t>
            </w:r>
          </w:p>
        </w:tc>
        <w:tc>
          <w:tcPr>
            <w:tcW w:w="720" w:type="dxa"/>
            <w:vAlign w:val="bottom"/>
            <w:tcBorders>
              <w:right w:val="single" w:sz="8" w:color="auto"/>
            </w:tcBorders>
          </w:tcPr>
          <w:p>
            <w:pPr>
              <w:spacing w:after="0"/>
              <w:rPr>
                <w:sz w:val="23"/>
                <w:szCs w:val="23"/>
                <w:color w:val="auto"/>
              </w:rPr>
            </w:pP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$5,100,000</w:t>
            </w:r>
          </w:p>
        </w:tc>
        <w:tc>
          <w:tcPr>
            <w:tcW w:w="0" w:type="dxa"/>
            <w:vAlign w:val="bottom"/>
          </w:tcPr>
          <w:p>
            <w:pPr>
              <w:spacing w:after="0"/>
              <w:rPr>
                <w:sz w:val="1"/>
                <w:szCs w:val="1"/>
                <w:color w:val="auto"/>
              </w:rPr>
            </w:pPr>
          </w:p>
        </w:tc>
      </w:tr>
      <w:tr>
        <w:trPr>
          <w:trHeight w:val="280"/>
        </w:trPr>
        <w:tc>
          <w:tcPr>
            <w:tcW w:w="64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0</w:t>
            </w:r>
          </w:p>
        </w:tc>
        <w:tc>
          <w:tcPr>
            <w:tcW w:w="7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Mr.</w:t>
            </w:r>
          </w:p>
        </w:tc>
        <w:tc>
          <w:tcPr>
            <w:tcW w:w="980" w:type="dxa"/>
            <w:vAlign w:val="bottom"/>
            <w:vMerge w:val="restart"/>
          </w:tcPr>
          <w:p>
            <w:pPr>
              <w:jc w:val="center"/>
              <w:spacing w:after="0"/>
              <w:rPr>
                <w:sz w:val="20"/>
                <w:szCs w:val="20"/>
                <w:color w:val="auto"/>
              </w:rPr>
            </w:pPr>
            <w:r>
              <w:rPr>
                <w:rFonts w:ascii="Arial" w:cs="Arial" w:eastAsia="Arial" w:hAnsi="Arial"/>
                <w:sz w:val="13"/>
                <w:szCs w:val="13"/>
                <w:color w:val="auto"/>
                <w:w w:val="96"/>
              </w:rPr>
              <w:t>Annual Bonus</w:t>
            </w:r>
          </w:p>
        </w:tc>
        <w:tc>
          <w:tcPr>
            <w:tcW w:w="180" w:type="dxa"/>
            <w:vAlign w:val="bottom"/>
            <w:tcBorders>
              <w:right w:val="single" w:sz="8" w:color="auto"/>
            </w:tcBorders>
          </w:tcPr>
          <w:p>
            <w:pPr>
              <w:spacing w:after="0"/>
              <w:rPr>
                <w:sz w:val="14"/>
                <w:szCs w:val="14"/>
                <w:color w:val="auto"/>
              </w:rPr>
            </w:pPr>
          </w:p>
        </w:tc>
        <w:tc>
          <w:tcPr>
            <w:tcW w:w="720" w:type="dxa"/>
            <w:vAlign w:val="bottom"/>
            <w:tcBorders>
              <w:right w:val="single" w:sz="8" w:color="auto"/>
            </w:tcBorders>
            <w:vMerge w:val="restart"/>
          </w:tcPr>
          <w:p>
            <w:pPr>
              <w:jc w:val="center"/>
              <w:ind w:right="3"/>
              <w:spacing w:after="0"/>
              <w:rPr>
                <w:sz w:val="20"/>
                <w:szCs w:val="20"/>
                <w:color w:val="auto"/>
              </w:rPr>
            </w:pPr>
            <w:r>
              <w:rPr>
                <w:rFonts w:ascii="Arial" w:cs="Arial" w:eastAsia="Arial" w:hAnsi="Arial"/>
                <w:sz w:val="9"/>
                <w:szCs w:val="9"/>
                <w:color w:val="auto"/>
                <w:w w:val="99"/>
              </w:rPr>
              <w:t>__</w:t>
            </w:r>
          </w:p>
        </w:tc>
        <w:tc>
          <w:tcPr>
            <w:tcW w:w="1080" w:type="dxa"/>
            <w:vAlign w:val="bottom"/>
            <w:tcBorders>
              <w:right w:val="single" w:sz="8" w:color="auto"/>
            </w:tcBorders>
            <w:vMerge w:val="restart"/>
          </w:tcPr>
          <w:p>
            <w:pPr>
              <w:jc w:val="center"/>
              <w:ind w:right="3"/>
              <w:spacing w:after="0"/>
              <w:rPr>
                <w:sz w:val="20"/>
                <w:szCs w:val="20"/>
                <w:color w:val="auto"/>
              </w:rPr>
            </w:pPr>
            <w:r>
              <w:rPr>
                <w:rFonts w:ascii="Arial" w:cs="Arial" w:eastAsia="Arial" w:hAnsi="Arial"/>
                <w:sz w:val="9"/>
                <w:szCs w:val="9"/>
                <w:color w:val="auto"/>
                <w:w w:val="99"/>
              </w:rPr>
              <w:t>__</w:t>
            </w:r>
          </w:p>
        </w:tc>
        <w:tc>
          <w:tcPr>
            <w:tcW w:w="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7"/>
              </w:rPr>
              <w:t>$15,240</w:t>
            </w: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5"/>
              </w:rPr>
              <w:t>$609,601</w:t>
            </w: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8"/>
              </w:rPr>
              <w:t>$1,219,203</w:t>
            </w:r>
          </w:p>
        </w:tc>
        <w:tc>
          <w:tcPr>
            <w:tcW w:w="660" w:type="dxa"/>
            <w:vAlign w:val="bottom"/>
            <w:tcBorders>
              <w:right w:val="single" w:sz="8" w:color="auto"/>
            </w:tcBorders>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Conterno</w:t>
            </w:r>
          </w:p>
        </w:tc>
        <w:tc>
          <w:tcPr>
            <w:tcW w:w="980" w:type="dxa"/>
            <w:vAlign w:val="bottom"/>
            <w:vMerge w:val="continue"/>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vMerge w:val="continue"/>
          </w:tcPr>
          <w:p>
            <w:pPr>
              <w:spacing w:after="0"/>
              <w:rPr>
                <w:sz w:val="12"/>
                <w:szCs w:val="12"/>
                <w:color w:val="auto"/>
              </w:rPr>
            </w:pPr>
          </w:p>
        </w:tc>
        <w:tc>
          <w:tcPr>
            <w:tcW w:w="1080" w:type="dxa"/>
            <w:vAlign w:val="bottom"/>
            <w:tcBorders>
              <w:right w:val="single" w:sz="8" w:color="auto"/>
            </w:tcBorders>
            <w:vMerge w:val="continue"/>
          </w:tcPr>
          <w:p>
            <w:pPr>
              <w:spacing w:after="0"/>
              <w:rPr>
                <w:sz w:val="12"/>
                <w:szCs w:val="12"/>
                <w:color w:val="auto"/>
              </w:rPr>
            </w:pPr>
          </w:p>
        </w:tc>
        <w:tc>
          <w:tcPr>
            <w:tcW w:w="640" w:type="dxa"/>
            <w:vAlign w:val="bottom"/>
            <w:tcBorders>
              <w:right w:val="single" w:sz="8" w:color="auto"/>
            </w:tcBorders>
            <w:vMerge w:val="continue"/>
          </w:tcPr>
          <w:p>
            <w:pPr>
              <w:spacing w:after="0"/>
              <w:rPr>
                <w:sz w:val="12"/>
                <w:szCs w:val="12"/>
                <w:color w:val="auto"/>
              </w:rPr>
            </w:pPr>
          </w:p>
        </w:tc>
        <w:tc>
          <w:tcPr>
            <w:tcW w:w="760" w:type="dxa"/>
            <w:vAlign w:val="bottom"/>
            <w:tcBorders>
              <w:right w:val="single" w:sz="8" w:color="auto"/>
            </w:tcBorders>
            <w:vMerge w:val="continue"/>
          </w:tcPr>
          <w:p>
            <w:pPr>
              <w:spacing w:after="0"/>
              <w:rPr>
                <w:sz w:val="12"/>
                <w:szCs w:val="12"/>
                <w:color w:val="auto"/>
              </w:rPr>
            </w:pPr>
          </w:p>
        </w:tc>
        <w:tc>
          <w:tcPr>
            <w:tcW w:w="780" w:type="dxa"/>
            <w:vAlign w:val="bottom"/>
            <w:tcBorders>
              <w:right w:val="single" w:sz="8" w:color="auto"/>
            </w:tcBorders>
            <w:vMerge w:val="continue"/>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640" w:type="dxa"/>
            <w:vAlign w:val="bottom"/>
            <w:tcBorders>
              <w:left w:val="single" w:sz="8" w:color="auto"/>
              <w:right w:val="single" w:sz="8" w:color="auto"/>
            </w:tcBorders>
          </w:tcPr>
          <w:p>
            <w:pPr>
              <w:spacing w:after="0"/>
              <w:rPr>
                <w:sz w:val="23"/>
                <w:szCs w:val="23"/>
                <w:color w:val="auto"/>
              </w:rPr>
            </w:pPr>
          </w:p>
        </w:tc>
        <w:tc>
          <w:tcPr>
            <w:tcW w:w="980" w:type="dxa"/>
            <w:vAlign w:val="bottom"/>
          </w:tcPr>
          <w:p>
            <w:pPr>
              <w:jc w:val="center"/>
              <w:spacing w:after="0"/>
              <w:rPr>
                <w:sz w:val="20"/>
                <w:szCs w:val="20"/>
                <w:color w:val="auto"/>
              </w:rPr>
            </w:pPr>
            <w:r>
              <w:rPr>
                <w:rFonts w:ascii="Arial" w:cs="Arial" w:eastAsia="Arial" w:hAnsi="Arial"/>
                <w:sz w:val="13"/>
                <w:szCs w:val="13"/>
                <w:color w:val="auto"/>
                <w:w w:val="93"/>
              </w:rPr>
              <w:t>2017-2019 PA</w:t>
            </w:r>
          </w:p>
        </w:tc>
        <w:tc>
          <w:tcPr>
            <w:tcW w:w="180" w:type="dxa"/>
            <w:vAlign w:val="bottom"/>
            <w:tcBorders>
              <w:right w:val="single" w:sz="8" w:color="auto"/>
            </w:tcBorders>
          </w:tcPr>
          <w:p>
            <w:pPr>
              <w:jc w:val="right"/>
              <w:ind w:right="55"/>
              <w:spacing w:after="0"/>
              <w:rPr>
                <w:sz w:val="20"/>
                <w:szCs w:val="20"/>
                <w:color w:val="auto"/>
              </w:rPr>
            </w:pPr>
            <w:r>
              <w:rPr>
                <w:rFonts w:ascii="Arial" w:cs="Arial" w:eastAsia="Arial" w:hAnsi="Arial"/>
                <w:sz w:val="9"/>
                <w:szCs w:val="9"/>
                <w:color w:val="auto"/>
              </w:rPr>
              <w:t>3</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4"/>
              </w:rPr>
              <w:t>2/9/2017</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12/12/2016</w:t>
            </w:r>
          </w:p>
        </w:tc>
        <w:tc>
          <w:tcPr>
            <w:tcW w:w="640" w:type="dxa"/>
            <w:vAlign w:val="bottom"/>
            <w:tcBorders>
              <w:right w:val="single" w:sz="8" w:color="auto"/>
            </w:tcBorders>
          </w:tcPr>
          <w:p>
            <w:pPr>
              <w:spacing w:after="0"/>
              <w:rPr>
                <w:sz w:val="23"/>
                <w:szCs w:val="23"/>
                <w:color w:val="auto"/>
              </w:rPr>
            </w:pPr>
          </w:p>
        </w:tc>
        <w:tc>
          <w:tcPr>
            <w:tcW w:w="760" w:type="dxa"/>
            <w:vAlign w:val="bottom"/>
            <w:tcBorders>
              <w:right w:val="single" w:sz="8" w:color="auto"/>
            </w:tcBorders>
          </w:tcPr>
          <w:p>
            <w:pPr>
              <w:spacing w:after="0"/>
              <w:rPr>
                <w:sz w:val="23"/>
                <w:szCs w:val="23"/>
                <w:color w:val="auto"/>
              </w:rPr>
            </w:pPr>
          </w:p>
        </w:tc>
        <w:tc>
          <w:tcPr>
            <w:tcW w:w="780" w:type="dxa"/>
            <w:vAlign w:val="bottom"/>
            <w:tcBorders>
              <w:right w:val="single" w:sz="8" w:color="auto"/>
            </w:tcBorders>
          </w:tcPr>
          <w:p>
            <w:pPr>
              <w:spacing w:after="0"/>
              <w:rPr>
                <w:sz w:val="23"/>
                <w:szCs w:val="23"/>
                <w:color w:val="auto"/>
              </w:rPr>
            </w:pPr>
          </w:p>
        </w:tc>
        <w:tc>
          <w:tcPr>
            <w:tcW w:w="6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8"/>
              </w:rPr>
              <w:t>6,799</w:t>
            </w: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13,598</w:t>
            </w: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20,397</w:t>
            </w:r>
          </w:p>
        </w:tc>
        <w:tc>
          <w:tcPr>
            <w:tcW w:w="720" w:type="dxa"/>
            <w:vAlign w:val="bottom"/>
            <w:tcBorders>
              <w:right w:val="single" w:sz="8" w:color="auto"/>
            </w:tcBorders>
          </w:tcPr>
          <w:p>
            <w:pPr>
              <w:spacing w:after="0"/>
              <w:rPr>
                <w:sz w:val="23"/>
                <w:szCs w:val="23"/>
                <w:color w:val="auto"/>
              </w:rPr>
            </w:pP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$1,500,000</w:t>
            </w:r>
          </w:p>
        </w:tc>
        <w:tc>
          <w:tcPr>
            <w:tcW w:w="0" w:type="dxa"/>
            <w:vAlign w:val="bottom"/>
          </w:tcPr>
          <w:p>
            <w:pPr>
              <w:spacing w:after="0"/>
              <w:rPr>
                <w:sz w:val="1"/>
                <w:szCs w:val="1"/>
                <w:color w:val="auto"/>
              </w:rPr>
            </w:pPr>
          </w:p>
        </w:tc>
      </w:tr>
      <w:tr>
        <w:trPr>
          <w:trHeight w:val="270"/>
        </w:trPr>
        <w:tc>
          <w:tcPr>
            <w:tcW w:w="640" w:type="dxa"/>
            <w:vAlign w:val="bottom"/>
            <w:tcBorders>
              <w:left w:val="single" w:sz="8" w:color="auto"/>
              <w:right w:val="single" w:sz="8" w:color="auto"/>
            </w:tcBorders>
          </w:tcPr>
          <w:p>
            <w:pPr>
              <w:spacing w:after="0"/>
              <w:rPr>
                <w:sz w:val="23"/>
                <w:szCs w:val="23"/>
                <w:color w:val="auto"/>
              </w:rPr>
            </w:pPr>
          </w:p>
        </w:tc>
        <w:tc>
          <w:tcPr>
            <w:tcW w:w="980" w:type="dxa"/>
            <w:vAlign w:val="bottom"/>
          </w:tcPr>
          <w:p>
            <w:pPr>
              <w:jc w:val="center"/>
              <w:spacing w:after="0"/>
              <w:rPr>
                <w:sz w:val="20"/>
                <w:szCs w:val="20"/>
                <w:color w:val="auto"/>
              </w:rPr>
            </w:pPr>
            <w:r>
              <w:rPr>
                <w:rFonts w:ascii="Arial" w:cs="Arial" w:eastAsia="Arial" w:hAnsi="Arial"/>
                <w:sz w:val="13"/>
                <w:szCs w:val="13"/>
                <w:color w:val="auto"/>
                <w:w w:val="95"/>
              </w:rPr>
              <w:t>2017-2019 SVA</w:t>
            </w:r>
          </w:p>
        </w:tc>
        <w:tc>
          <w:tcPr>
            <w:tcW w:w="180" w:type="dxa"/>
            <w:vAlign w:val="bottom"/>
            <w:tcBorders>
              <w:right w:val="single" w:sz="8" w:color="auto"/>
            </w:tcBorders>
          </w:tcPr>
          <w:p>
            <w:pPr>
              <w:jc w:val="right"/>
              <w:ind w:right="55"/>
              <w:spacing w:after="0"/>
              <w:rPr>
                <w:sz w:val="20"/>
                <w:szCs w:val="20"/>
                <w:color w:val="auto"/>
              </w:rPr>
            </w:pPr>
            <w:r>
              <w:rPr>
                <w:rFonts w:ascii="Arial" w:cs="Arial" w:eastAsia="Arial" w:hAnsi="Arial"/>
                <w:sz w:val="9"/>
                <w:szCs w:val="9"/>
                <w:color w:val="auto"/>
              </w:rPr>
              <w:t>4</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4"/>
              </w:rPr>
              <w:t>2/9/2017</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12/12/2016</w:t>
            </w:r>
          </w:p>
        </w:tc>
        <w:tc>
          <w:tcPr>
            <w:tcW w:w="640" w:type="dxa"/>
            <w:vAlign w:val="bottom"/>
            <w:tcBorders>
              <w:right w:val="single" w:sz="8" w:color="auto"/>
            </w:tcBorders>
          </w:tcPr>
          <w:p>
            <w:pPr>
              <w:spacing w:after="0"/>
              <w:rPr>
                <w:sz w:val="23"/>
                <w:szCs w:val="23"/>
                <w:color w:val="auto"/>
              </w:rPr>
            </w:pPr>
          </w:p>
        </w:tc>
        <w:tc>
          <w:tcPr>
            <w:tcW w:w="760" w:type="dxa"/>
            <w:vAlign w:val="bottom"/>
            <w:tcBorders>
              <w:right w:val="single" w:sz="8" w:color="auto"/>
            </w:tcBorders>
          </w:tcPr>
          <w:p>
            <w:pPr>
              <w:spacing w:after="0"/>
              <w:rPr>
                <w:sz w:val="23"/>
                <w:szCs w:val="23"/>
                <w:color w:val="auto"/>
              </w:rPr>
            </w:pPr>
          </w:p>
        </w:tc>
        <w:tc>
          <w:tcPr>
            <w:tcW w:w="780" w:type="dxa"/>
            <w:vAlign w:val="bottom"/>
            <w:tcBorders>
              <w:right w:val="single" w:sz="8" w:color="auto"/>
            </w:tcBorders>
          </w:tcPr>
          <w:p>
            <w:pPr>
              <w:spacing w:after="0"/>
              <w:rPr>
                <w:sz w:val="23"/>
                <w:szCs w:val="23"/>
                <w:color w:val="auto"/>
              </w:rPr>
            </w:pPr>
          </w:p>
        </w:tc>
        <w:tc>
          <w:tcPr>
            <w:tcW w:w="6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11,484</w:t>
            </w: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22,967</w:t>
            </w: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34,451</w:t>
            </w:r>
          </w:p>
        </w:tc>
        <w:tc>
          <w:tcPr>
            <w:tcW w:w="720" w:type="dxa"/>
            <w:vAlign w:val="bottom"/>
            <w:tcBorders>
              <w:right w:val="single" w:sz="8" w:color="auto"/>
            </w:tcBorders>
          </w:tcPr>
          <w:p>
            <w:pPr>
              <w:spacing w:after="0"/>
              <w:rPr>
                <w:sz w:val="23"/>
                <w:szCs w:val="23"/>
                <w:color w:val="auto"/>
              </w:rPr>
            </w:pP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$1,500,000</w:t>
            </w:r>
          </w:p>
        </w:tc>
        <w:tc>
          <w:tcPr>
            <w:tcW w:w="0" w:type="dxa"/>
            <w:vAlign w:val="bottom"/>
          </w:tcPr>
          <w:p>
            <w:pPr>
              <w:spacing w:after="0"/>
              <w:rPr>
                <w:sz w:val="1"/>
                <w:szCs w:val="1"/>
                <w:color w:val="auto"/>
              </w:rPr>
            </w:pPr>
          </w:p>
        </w:tc>
      </w:tr>
      <w:tr>
        <w:trPr>
          <w:trHeight w:val="280"/>
        </w:trPr>
        <w:tc>
          <w:tcPr>
            <w:tcW w:w="64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4"/>
              </w:rPr>
              <w:t>RSU</w:t>
            </w:r>
          </w:p>
        </w:tc>
        <w:tc>
          <w:tcPr>
            <w:tcW w:w="180" w:type="dxa"/>
            <w:vAlign w:val="bottom"/>
            <w:tcBorders>
              <w:bottom w:val="single" w:sz="8" w:color="auto"/>
              <w:right w:val="single" w:sz="8" w:color="auto"/>
            </w:tcBorders>
          </w:tcPr>
          <w:p>
            <w:pPr>
              <w:jc w:val="right"/>
              <w:ind w:right="55"/>
              <w:spacing w:after="0"/>
              <w:rPr>
                <w:sz w:val="20"/>
                <w:szCs w:val="20"/>
                <w:color w:val="auto"/>
              </w:rPr>
            </w:pPr>
            <w:r>
              <w:rPr>
                <w:rFonts w:ascii="Arial" w:cs="Arial" w:eastAsia="Arial" w:hAnsi="Arial"/>
                <w:sz w:val="9"/>
                <w:szCs w:val="9"/>
                <w:color w:val="auto"/>
              </w:rPr>
              <w:t>5</w:t>
            </w: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8"/>
              </w:rPr>
              <w:t>12/11/2017</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5"/>
              </w:rPr>
              <w:t>12/11/2017</w:t>
            </w:r>
          </w:p>
        </w:tc>
        <w:tc>
          <w:tcPr>
            <w:tcW w:w="64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5"/>
              </w:rPr>
              <w:t>34,615</w:t>
            </w:r>
          </w:p>
        </w:tc>
        <w:tc>
          <w:tcPr>
            <w:tcW w:w="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5"/>
              </w:rPr>
              <w:t>$3,000,000</w:t>
            </w:r>
          </w:p>
        </w:tc>
        <w:tc>
          <w:tcPr>
            <w:tcW w:w="0" w:type="dxa"/>
            <w:vAlign w:val="bottom"/>
          </w:tcPr>
          <w:p>
            <w:pPr>
              <w:spacing w:after="0"/>
              <w:rPr>
                <w:sz w:val="1"/>
                <w:szCs w:val="1"/>
                <w:color w:val="auto"/>
              </w:rPr>
            </w:pPr>
          </w:p>
        </w:tc>
      </w:tr>
      <w:tr>
        <w:trPr>
          <w:trHeight w:val="164"/>
        </w:trPr>
        <w:tc>
          <w:tcPr>
            <w:tcW w:w="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Mr. Rice</w:t>
            </w:r>
          </w:p>
        </w:tc>
        <w:tc>
          <w:tcPr>
            <w:tcW w:w="980" w:type="dxa"/>
            <w:vAlign w:val="bottom"/>
            <w:vMerge w:val="restart"/>
          </w:tcPr>
          <w:p>
            <w:pPr>
              <w:jc w:val="center"/>
              <w:spacing w:after="0"/>
              <w:rPr>
                <w:sz w:val="20"/>
                <w:szCs w:val="20"/>
                <w:color w:val="auto"/>
              </w:rPr>
            </w:pPr>
            <w:r>
              <w:rPr>
                <w:rFonts w:ascii="Arial" w:cs="Arial" w:eastAsia="Arial" w:hAnsi="Arial"/>
                <w:sz w:val="13"/>
                <w:szCs w:val="13"/>
                <w:color w:val="auto"/>
                <w:w w:val="96"/>
              </w:rPr>
              <w:t>Annual Bonus</w:t>
            </w:r>
          </w:p>
        </w:tc>
        <w:tc>
          <w:tcPr>
            <w:tcW w:w="180" w:type="dxa"/>
            <w:vAlign w:val="bottom"/>
            <w:tcBorders>
              <w:right w:val="single" w:sz="8" w:color="auto"/>
            </w:tcBorders>
          </w:tcPr>
          <w:p>
            <w:pPr>
              <w:spacing w:after="0"/>
              <w:rPr>
                <w:sz w:val="14"/>
                <w:szCs w:val="14"/>
                <w:color w:val="auto"/>
              </w:rPr>
            </w:pPr>
          </w:p>
        </w:tc>
        <w:tc>
          <w:tcPr>
            <w:tcW w:w="720" w:type="dxa"/>
            <w:vAlign w:val="bottom"/>
            <w:tcBorders>
              <w:right w:val="single" w:sz="8" w:color="auto"/>
            </w:tcBorders>
            <w:vMerge w:val="restart"/>
          </w:tcPr>
          <w:p>
            <w:pPr>
              <w:jc w:val="center"/>
              <w:ind w:right="3"/>
              <w:spacing w:after="0"/>
              <w:rPr>
                <w:sz w:val="20"/>
                <w:szCs w:val="20"/>
                <w:color w:val="auto"/>
              </w:rPr>
            </w:pPr>
            <w:r>
              <w:rPr>
                <w:rFonts w:ascii="Arial" w:cs="Arial" w:eastAsia="Arial" w:hAnsi="Arial"/>
                <w:sz w:val="9"/>
                <w:szCs w:val="9"/>
                <w:color w:val="auto"/>
                <w:w w:val="99"/>
              </w:rPr>
              <w:t>__</w:t>
            </w:r>
          </w:p>
        </w:tc>
        <w:tc>
          <w:tcPr>
            <w:tcW w:w="1080" w:type="dxa"/>
            <w:vAlign w:val="bottom"/>
            <w:tcBorders>
              <w:right w:val="single" w:sz="8" w:color="auto"/>
            </w:tcBorders>
            <w:vMerge w:val="restart"/>
          </w:tcPr>
          <w:p>
            <w:pPr>
              <w:jc w:val="center"/>
              <w:ind w:right="3"/>
              <w:spacing w:after="0"/>
              <w:rPr>
                <w:sz w:val="20"/>
                <w:szCs w:val="20"/>
                <w:color w:val="auto"/>
              </w:rPr>
            </w:pPr>
            <w:r>
              <w:rPr>
                <w:rFonts w:ascii="Arial" w:cs="Arial" w:eastAsia="Arial" w:hAnsi="Arial"/>
                <w:sz w:val="9"/>
                <w:szCs w:val="9"/>
                <w:color w:val="auto"/>
                <w:w w:val="99"/>
              </w:rPr>
              <w:t>__</w:t>
            </w:r>
          </w:p>
        </w:tc>
        <w:tc>
          <w:tcPr>
            <w:tcW w:w="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7"/>
              </w:rPr>
              <w:t>$27,228</w:t>
            </w: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5"/>
              </w:rPr>
              <w:t>$1,089,134</w:t>
            </w: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8"/>
              </w:rPr>
              <w:t>$2,178,269</w:t>
            </w:r>
          </w:p>
        </w:tc>
        <w:tc>
          <w:tcPr>
            <w:tcW w:w="660" w:type="dxa"/>
            <w:vAlign w:val="bottom"/>
            <w:tcBorders>
              <w:right w:val="single" w:sz="8" w:color="auto"/>
            </w:tcBorders>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(retired)</w:t>
            </w:r>
          </w:p>
        </w:tc>
        <w:tc>
          <w:tcPr>
            <w:tcW w:w="980" w:type="dxa"/>
            <w:vAlign w:val="bottom"/>
            <w:vMerge w:val="continue"/>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vMerge w:val="continue"/>
          </w:tcPr>
          <w:p>
            <w:pPr>
              <w:spacing w:after="0"/>
              <w:rPr>
                <w:sz w:val="12"/>
                <w:szCs w:val="12"/>
                <w:color w:val="auto"/>
              </w:rPr>
            </w:pPr>
          </w:p>
        </w:tc>
        <w:tc>
          <w:tcPr>
            <w:tcW w:w="1080" w:type="dxa"/>
            <w:vAlign w:val="bottom"/>
            <w:tcBorders>
              <w:right w:val="single" w:sz="8" w:color="auto"/>
            </w:tcBorders>
            <w:vMerge w:val="continue"/>
          </w:tcPr>
          <w:p>
            <w:pPr>
              <w:spacing w:after="0"/>
              <w:rPr>
                <w:sz w:val="12"/>
                <w:szCs w:val="12"/>
                <w:color w:val="auto"/>
              </w:rPr>
            </w:pPr>
          </w:p>
        </w:tc>
        <w:tc>
          <w:tcPr>
            <w:tcW w:w="640" w:type="dxa"/>
            <w:vAlign w:val="bottom"/>
            <w:tcBorders>
              <w:right w:val="single" w:sz="8" w:color="auto"/>
            </w:tcBorders>
            <w:vMerge w:val="continue"/>
          </w:tcPr>
          <w:p>
            <w:pPr>
              <w:spacing w:after="0"/>
              <w:rPr>
                <w:sz w:val="12"/>
                <w:szCs w:val="12"/>
                <w:color w:val="auto"/>
              </w:rPr>
            </w:pPr>
          </w:p>
        </w:tc>
        <w:tc>
          <w:tcPr>
            <w:tcW w:w="760" w:type="dxa"/>
            <w:vAlign w:val="bottom"/>
            <w:tcBorders>
              <w:right w:val="single" w:sz="8" w:color="auto"/>
            </w:tcBorders>
            <w:vMerge w:val="continue"/>
          </w:tcPr>
          <w:p>
            <w:pPr>
              <w:spacing w:after="0"/>
              <w:rPr>
                <w:sz w:val="12"/>
                <w:szCs w:val="12"/>
                <w:color w:val="auto"/>
              </w:rPr>
            </w:pPr>
          </w:p>
        </w:tc>
        <w:tc>
          <w:tcPr>
            <w:tcW w:w="780" w:type="dxa"/>
            <w:vAlign w:val="bottom"/>
            <w:tcBorders>
              <w:right w:val="single" w:sz="8" w:color="auto"/>
            </w:tcBorders>
            <w:vMerge w:val="continue"/>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640" w:type="dxa"/>
            <w:vAlign w:val="bottom"/>
            <w:tcBorders>
              <w:left w:val="single" w:sz="8" w:color="auto"/>
              <w:right w:val="single" w:sz="8" w:color="auto"/>
            </w:tcBorders>
          </w:tcPr>
          <w:p>
            <w:pPr>
              <w:spacing w:after="0"/>
              <w:rPr>
                <w:sz w:val="23"/>
                <w:szCs w:val="23"/>
                <w:color w:val="auto"/>
              </w:rPr>
            </w:pPr>
          </w:p>
        </w:tc>
        <w:tc>
          <w:tcPr>
            <w:tcW w:w="980" w:type="dxa"/>
            <w:vAlign w:val="bottom"/>
          </w:tcPr>
          <w:p>
            <w:pPr>
              <w:jc w:val="center"/>
              <w:spacing w:after="0"/>
              <w:rPr>
                <w:sz w:val="20"/>
                <w:szCs w:val="20"/>
                <w:color w:val="auto"/>
              </w:rPr>
            </w:pPr>
            <w:r>
              <w:rPr>
                <w:rFonts w:ascii="Arial" w:cs="Arial" w:eastAsia="Arial" w:hAnsi="Arial"/>
                <w:sz w:val="13"/>
                <w:szCs w:val="13"/>
                <w:color w:val="auto"/>
                <w:w w:val="93"/>
              </w:rPr>
              <w:t>2017-2019 PA</w:t>
            </w:r>
          </w:p>
        </w:tc>
        <w:tc>
          <w:tcPr>
            <w:tcW w:w="180" w:type="dxa"/>
            <w:vAlign w:val="bottom"/>
            <w:tcBorders>
              <w:right w:val="single" w:sz="8" w:color="auto"/>
            </w:tcBorders>
          </w:tcPr>
          <w:p>
            <w:pPr>
              <w:jc w:val="right"/>
              <w:ind w:right="55"/>
              <w:spacing w:after="0"/>
              <w:rPr>
                <w:sz w:val="20"/>
                <w:szCs w:val="20"/>
                <w:color w:val="auto"/>
              </w:rPr>
            </w:pPr>
            <w:r>
              <w:rPr>
                <w:rFonts w:ascii="Arial" w:cs="Arial" w:eastAsia="Arial" w:hAnsi="Arial"/>
                <w:sz w:val="9"/>
                <w:szCs w:val="9"/>
                <w:color w:val="auto"/>
              </w:rPr>
              <w:t>3</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4"/>
              </w:rPr>
              <w:t>2/9/2017</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12/12/2016</w:t>
            </w:r>
          </w:p>
        </w:tc>
        <w:tc>
          <w:tcPr>
            <w:tcW w:w="640" w:type="dxa"/>
            <w:vAlign w:val="bottom"/>
            <w:tcBorders>
              <w:right w:val="single" w:sz="8" w:color="auto"/>
            </w:tcBorders>
          </w:tcPr>
          <w:p>
            <w:pPr>
              <w:spacing w:after="0"/>
              <w:rPr>
                <w:sz w:val="23"/>
                <w:szCs w:val="23"/>
                <w:color w:val="auto"/>
              </w:rPr>
            </w:pPr>
          </w:p>
        </w:tc>
        <w:tc>
          <w:tcPr>
            <w:tcW w:w="760" w:type="dxa"/>
            <w:vAlign w:val="bottom"/>
            <w:tcBorders>
              <w:right w:val="single" w:sz="8" w:color="auto"/>
            </w:tcBorders>
          </w:tcPr>
          <w:p>
            <w:pPr>
              <w:spacing w:after="0"/>
              <w:rPr>
                <w:sz w:val="23"/>
                <w:szCs w:val="23"/>
                <w:color w:val="auto"/>
              </w:rPr>
            </w:pPr>
          </w:p>
        </w:tc>
        <w:tc>
          <w:tcPr>
            <w:tcW w:w="780" w:type="dxa"/>
            <w:vAlign w:val="bottom"/>
            <w:tcBorders>
              <w:right w:val="single" w:sz="8" w:color="auto"/>
            </w:tcBorders>
          </w:tcPr>
          <w:p>
            <w:pPr>
              <w:spacing w:after="0"/>
              <w:rPr>
                <w:sz w:val="23"/>
                <w:szCs w:val="23"/>
                <w:color w:val="auto"/>
              </w:rPr>
            </w:pPr>
          </w:p>
        </w:tc>
        <w:tc>
          <w:tcPr>
            <w:tcW w:w="6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10,335</w:t>
            </w: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20,669</w:t>
            </w: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31,004</w:t>
            </w:r>
          </w:p>
        </w:tc>
        <w:tc>
          <w:tcPr>
            <w:tcW w:w="720" w:type="dxa"/>
            <w:vAlign w:val="bottom"/>
            <w:tcBorders>
              <w:right w:val="single" w:sz="8" w:color="auto"/>
            </w:tcBorders>
          </w:tcPr>
          <w:p>
            <w:pPr>
              <w:spacing w:after="0"/>
              <w:rPr>
                <w:sz w:val="23"/>
                <w:szCs w:val="23"/>
                <w:color w:val="auto"/>
              </w:rPr>
            </w:pP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$2,280,000</w:t>
            </w:r>
          </w:p>
        </w:tc>
        <w:tc>
          <w:tcPr>
            <w:tcW w:w="0" w:type="dxa"/>
            <w:vAlign w:val="bottom"/>
          </w:tcPr>
          <w:p>
            <w:pPr>
              <w:spacing w:after="0"/>
              <w:rPr>
                <w:sz w:val="1"/>
                <w:szCs w:val="1"/>
                <w:color w:val="auto"/>
              </w:rPr>
            </w:pPr>
          </w:p>
        </w:tc>
      </w:tr>
      <w:tr>
        <w:trPr>
          <w:trHeight w:val="270"/>
        </w:trPr>
        <w:tc>
          <w:tcPr>
            <w:tcW w:w="640" w:type="dxa"/>
            <w:vAlign w:val="bottom"/>
            <w:tcBorders>
              <w:left w:val="single" w:sz="8" w:color="auto"/>
              <w:right w:val="single" w:sz="8" w:color="auto"/>
            </w:tcBorders>
          </w:tcPr>
          <w:p>
            <w:pPr>
              <w:spacing w:after="0"/>
              <w:rPr>
                <w:sz w:val="23"/>
                <w:szCs w:val="23"/>
                <w:color w:val="auto"/>
              </w:rPr>
            </w:pPr>
          </w:p>
        </w:tc>
        <w:tc>
          <w:tcPr>
            <w:tcW w:w="980" w:type="dxa"/>
            <w:vAlign w:val="bottom"/>
          </w:tcPr>
          <w:p>
            <w:pPr>
              <w:jc w:val="center"/>
              <w:spacing w:after="0"/>
              <w:rPr>
                <w:sz w:val="20"/>
                <w:szCs w:val="20"/>
                <w:color w:val="auto"/>
              </w:rPr>
            </w:pPr>
            <w:r>
              <w:rPr>
                <w:rFonts w:ascii="Arial" w:cs="Arial" w:eastAsia="Arial" w:hAnsi="Arial"/>
                <w:sz w:val="13"/>
                <w:szCs w:val="13"/>
                <w:color w:val="auto"/>
                <w:w w:val="95"/>
              </w:rPr>
              <w:t>2017-2019 SVA</w:t>
            </w:r>
          </w:p>
        </w:tc>
        <w:tc>
          <w:tcPr>
            <w:tcW w:w="180" w:type="dxa"/>
            <w:vAlign w:val="bottom"/>
            <w:tcBorders>
              <w:right w:val="single" w:sz="8" w:color="auto"/>
            </w:tcBorders>
          </w:tcPr>
          <w:p>
            <w:pPr>
              <w:jc w:val="right"/>
              <w:ind w:right="55"/>
              <w:spacing w:after="0"/>
              <w:rPr>
                <w:sz w:val="20"/>
                <w:szCs w:val="20"/>
                <w:color w:val="auto"/>
              </w:rPr>
            </w:pPr>
            <w:r>
              <w:rPr>
                <w:rFonts w:ascii="Arial" w:cs="Arial" w:eastAsia="Arial" w:hAnsi="Arial"/>
                <w:sz w:val="9"/>
                <w:szCs w:val="9"/>
                <w:color w:val="auto"/>
              </w:rPr>
              <w:t>4</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4"/>
              </w:rPr>
              <w:t>2/9/2017</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12/12/2016</w:t>
            </w:r>
          </w:p>
        </w:tc>
        <w:tc>
          <w:tcPr>
            <w:tcW w:w="640" w:type="dxa"/>
            <w:vAlign w:val="bottom"/>
            <w:tcBorders>
              <w:right w:val="single" w:sz="8" w:color="auto"/>
            </w:tcBorders>
          </w:tcPr>
          <w:p>
            <w:pPr>
              <w:spacing w:after="0"/>
              <w:rPr>
                <w:sz w:val="23"/>
                <w:szCs w:val="23"/>
                <w:color w:val="auto"/>
              </w:rPr>
            </w:pPr>
          </w:p>
        </w:tc>
        <w:tc>
          <w:tcPr>
            <w:tcW w:w="760" w:type="dxa"/>
            <w:vAlign w:val="bottom"/>
            <w:tcBorders>
              <w:right w:val="single" w:sz="8" w:color="auto"/>
            </w:tcBorders>
          </w:tcPr>
          <w:p>
            <w:pPr>
              <w:spacing w:after="0"/>
              <w:rPr>
                <w:sz w:val="23"/>
                <w:szCs w:val="23"/>
                <w:color w:val="auto"/>
              </w:rPr>
            </w:pPr>
          </w:p>
        </w:tc>
        <w:tc>
          <w:tcPr>
            <w:tcW w:w="780" w:type="dxa"/>
            <w:vAlign w:val="bottom"/>
            <w:tcBorders>
              <w:right w:val="single" w:sz="8" w:color="auto"/>
            </w:tcBorders>
          </w:tcPr>
          <w:p>
            <w:pPr>
              <w:spacing w:after="0"/>
              <w:rPr>
                <w:sz w:val="23"/>
                <w:szCs w:val="23"/>
                <w:color w:val="auto"/>
              </w:rPr>
            </w:pPr>
          </w:p>
        </w:tc>
        <w:tc>
          <w:tcPr>
            <w:tcW w:w="6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17,455</w:t>
            </w: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34,910</w:t>
            </w: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52,365</w:t>
            </w:r>
          </w:p>
        </w:tc>
        <w:tc>
          <w:tcPr>
            <w:tcW w:w="720" w:type="dxa"/>
            <w:vAlign w:val="bottom"/>
            <w:tcBorders>
              <w:right w:val="single" w:sz="8" w:color="auto"/>
            </w:tcBorders>
          </w:tcPr>
          <w:p>
            <w:pPr>
              <w:spacing w:after="0"/>
              <w:rPr>
                <w:sz w:val="23"/>
                <w:szCs w:val="23"/>
                <w:color w:val="auto"/>
              </w:rPr>
            </w:pP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$2,280,000</w:t>
            </w:r>
          </w:p>
        </w:tc>
        <w:tc>
          <w:tcPr>
            <w:tcW w:w="0" w:type="dxa"/>
            <w:vAlign w:val="bottom"/>
          </w:tcPr>
          <w:p>
            <w:pPr>
              <w:spacing w:after="0"/>
              <w:rPr>
                <w:sz w:val="1"/>
                <w:szCs w:val="1"/>
                <w:color w:val="auto"/>
              </w:rPr>
            </w:pPr>
          </w:p>
        </w:tc>
      </w:tr>
      <w:tr>
        <w:trPr>
          <w:trHeight w:val="280"/>
        </w:trPr>
        <w:tc>
          <w:tcPr>
            <w:tcW w:w="64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0</w:t>
            </w:r>
          </w:p>
        </w:tc>
        <w:tc>
          <w:tcPr>
            <w:tcW w:w="7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Dr.</w:t>
            </w:r>
          </w:p>
        </w:tc>
        <w:tc>
          <w:tcPr>
            <w:tcW w:w="980" w:type="dxa"/>
            <w:vAlign w:val="bottom"/>
            <w:vMerge w:val="restart"/>
          </w:tcPr>
          <w:p>
            <w:pPr>
              <w:jc w:val="center"/>
              <w:spacing w:after="0"/>
              <w:rPr>
                <w:sz w:val="20"/>
                <w:szCs w:val="20"/>
                <w:color w:val="auto"/>
              </w:rPr>
            </w:pPr>
            <w:r>
              <w:rPr>
                <w:rFonts w:ascii="Arial" w:cs="Arial" w:eastAsia="Arial" w:hAnsi="Arial"/>
                <w:sz w:val="13"/>
                <w:szCs w:val="13"/>
                <w:color w:val="auto"/>
                <w:w w:val="96"/>
              </w:rPr>
              <w:t>Annual Bonus</w:t>
            </w:r>
          </w:p>
        </w:tc>
        <w:tc>
          <w:tcPr>
            <w:tcW w:w="180" w:type="dxa"/>
            <w:vAlign w:val="bottom"/>
            <w:tcBorders>
              <w:right w:val="single" w:sz="8" w:color="auto"/>
            </w:tcBorders>
          </w:tcPr>
          <w:p>
            <w:pPr>
              <w:spacing w:after="0"/>
              <w:rPr>
                <w:sz w:val="14"/>
                <w:szCs w:val="14"/>
                <w:color w:val="auto"/>
              </w:rPr>
            </w:pPr>
          </w:p>
        </w:tc>
        <w:tc>
          <w:tcPr>
            <w:tcW w:w="720" w:type="dxa"/>
            <w:vAlign w:val="bottom"/>
            <w:tcBorders>
              <w:right w:val="single" w:sz="8" w:color="auto"/>
            </w:tcBorders>
            <w:vMerge w:val="restart"/>
          </w:tcPr>
          <w:p>
            <w:pPr>
              <w:jc w:val="center"/>
              <w:ind w:right="3"/>
              <w:spacing w:after="0"/>
              <w:rPr>
                <w:sz w:val="20"/>
                <w:szCs w:val="20"/>
                <w:color w:val="auto"/>
              </w:rPr>
            </w:pPr>
            <w:r>
              <w:rPr>
                <w:rFonts w:ascii="Arial" w:cs="Arial" w:eastAsia="Arial" w:hAnsi="Arial"/>
                <w:sz w:val="9"/>
                <w:szCs w:val="9"/>
                <w:color w:val="auto"/>
                <w:w w:val="99"/>
              </w:rPr>
              <w:t>__</w:t>
            </w:r>
          </w:p>
        </w:tc>
        <w:tc>
          <w:tcPr>
            <w:tcW w:w="1080" w:type="dxa"/>
            <w:vAlign w:val="bottom"/>
            <w:tcBorders>
              <w:right w:val="single" w:sz="8" w:color="auto"/>
            </w:tcBorders>
            <w:vMerge w:val="restart"/>
          </w:tcPr>
          <w:p>
            <w:pPr>
              <w:jc w:val="center"/>
              <w:ind w:right="3"/>
              <w:spacing w:after="0"/>
              <w:rPr>
                <w:sz w:val="20"/>
                <w:szCs w:val="20"/>
                <w:color w:val="auto"/>
              </w:rPr>
            </w:pPr>
            <w:r>
              <w:rPr>
                <w:rFonts w:ascii="Arial" w:cs="Arial" w:eastAsia="Arial" w:hAnsi="Arial"/>
                <w:sz w:val="9"/>
                <w:szCs w:val="9"/>
                <w:color w:val="auto"/>
                <w:w w:val="99"/>
              </w:rPr>
              <w:t>__</w:t>
            </w:r>
          </w:p>
        </w:tc>
        <w:tc>
          <w:tcPr>
            <w:tcW w:w="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7"/>
              </w:rPr>
              <w:t>$25,616</w:t>
            </w: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5"/>
              </w:rPr>
              <w:t>$1,024,643</w:t>
            </w: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8"/>
              </w:rPr>
              <w:t>$2,049,285</w:t>
            </w:r>
          </w:p>
        </w:tc>
        <w:tc>
          <w:tcPr>
            <w:tcW w:w="660" w:type="dxa"/>
            <w:vAlign w:val="bottom"/>
            <w:tcBorders>
              <w:right w:val="single" w:sz="8" w:color="auto"/>
            </w:tcBorders>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Lundberg</w:t>
            </w:r>
          </w:p>
        </w:tc>
        <w:tc>
          <w:tcPr>
            <w:tcW w:w="980" w:type="dxa"/>
            <w:vAlign w:val="bottom"/>
            <w:vMerge w:val="continue"/>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vMerge w:val="continue"/>
          </w:tcPr>
          <w:p>
            <w:pPr>
              <w:spacing w:after="0"/>
              <w:rPr>
                <w:sz w:val="12"/>
                <w:szCs w:val="12"/>
                <w:color w:val="auto"/>
              </w:rPr>
            </w:pPr>
          </w:p>
        </w:tc>
        <w:tc>
          <w:tcPr>
            <w:tcW w:w="1080" w:type="dxa"/>
            <w:vAlign w:val="bottom"/>
            <w:tcBorders>
              <w:right w:val="single" w:sz="8" w:color="auto"/>
            </w:tcBorders>
            <w:vMerge w:val="continue"/>
          </w:tcPr>
          <w:p>
            <w:pPr>
              <w:spacing w:after="0"/>
              <w:rPr>
                <w:sz w:val="12"/>
                <w:szCs w:val="12"/>
                <w:color w:val="auto"/>
              </w:rPr>
            </w:pPr>
          </w:p>
        </w:tc>
        <w:tc>
          <w:tcPr>
            <w:tcW w:w="640" w:type="dxa"/>
            <w:vAlign w:val="bottom"/>
            <w:tcBorders>
              <w:right w:val="single" w:sz="8" w:color="auto"/>
            </w:tcBorders>
            <w:vMerge w:val="continue"/>
          </w:tcPr>
          <w:p>
            <w:pPr>
              <w:spacing w:after="0"/>
              <w:rPr>
                <w:sz w:val="12"/>
                <w:szCs w:val="12"/>
                <w:color w:val="auto"/>
              </w:rPr>
            </w:pPr>
          </w:p>
        </w:tc>
        <w:tc>
          <w:tcPr>
            <w:tcW w:w="760" w:type="dxa"/>
            <w:vAlign w:val="bottom"/>
            <w:tcBorders>
              <w:right w:val="single" w:sz="8" w:color="auto"/>
            </w:tcBorders>
            <w:vMerge w:val="continue"/>
          </w:tcPr>
          <w:p>
            <w:pPr>
              <w:spacing w:after="0"/>
              <w:rPr>
                <w:sz w:val="12"/>
                <w:szCs w:val="12"/>
                <w:color w:val="auto"/>
              </w:rPr>
            </w:pPr>
          </w:p>
        </w:tc>
        <w:tc>
          <w:tcPr>
            <w:tcW w:w="780" w:type="dxa"/>
            <w:vAlign w:val="bottom"/>
            <w:tcBorders>
              <w:right w:val="single" w:sz="8" w:color="auto"/>
            </w:tcBorders>
            <w:vMerge w:val="continue"/>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640" w:type="dxa"/>
            <w:vAlign w:val="bottom"/>
            <w:tcBorders>
              <w:left w:val="single" w:sz="8" w:color="auto"/>
              <w:right w:val="single" w:sz="8" w:color="auto"/>
            </w:tcBorders>
          </w:tcPr>
          <w:p>
            <w:pPr>
              <w:spacing w:after="0"/>
              <w:rPr>
                <w:sz w:val="23"/>
                <w:szCs w:val="23"/>
                <w:color w:val="auto"/>
              </w:rPr>
            </w:pPr>
          </w:p>
        </w:tc>
        <w:tc>
          <w:tcPr>
            <w:tcW w:w="980" w:type="dxa"/>
            <w:vAlign w:val="bottom"/>
          </w:tcPr>
          <w:p>
            <w:pPr>
              <w:jc w:val="center"/>
              <w:spacing w:after="0"/>
              <w:rPr>
                <w:sz w:val="20"/>
                <w:szCs w:val="20"/>
                <w:color w:val="auto"/>
              </w:rPr>
            </w:pPr>
            <w:r>
              <w:rPr>
                <w:rFonts w:ascii="Arial" w:cs="Arial" w:eastAsia="Arial" w:hAnsi="Arial"/>
                <w:sz w:val="13"/>
                <w:szCs w:val="13"/>
                <w:color w:val="auto"/>
                <w:w w:val="93"/>
              </w:rPr>
              <w:t>2017-2019 PA</w:t>
            </w:r>
          </w:p>
        </w:tc>
        <w:tc>
          <w:tcPr>
            <w:tcW w:w="180" w:type="dxa"/>
            <w:vAlign w:val="bottom"/>
            <w:tcBorders>
              <w:right w:val="single" w:sz="8" w:color="auto"/>
            </w:tcBorders>
          </w:tcPr>
          <w:p>
            <w:pPr>
              <w:jc w:val="right"/>
              <w:ind w:right="55"/>
              <w:spacing w:after="0"/>
              <w:rPr>
                <w:sz w:val="20"/>
                <w:szCs w:val="20"/>
                <w:color w:val="auto"/>
              </w:rPr>
            </w:pPr>
            <w:r>
              <w:rPr>
                <w:rFonts w:ascii="Arial" w:cs="Arial" w:eastAsia="Arial" w:hAnsi="Arial"/>
                <w:sz w:val="9"/>
                <w:szCs w:val="9"/>
                <w:color w:val="auto"/>
              </w:rPr>
              <w:t>3</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4"/>
              </w:rPr>
              <w:t>2/9/2017</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12/12/2016</w:t>
            </w:r>
          </w:p>
        </w:tc>
        <w:tc>
          <w:tcPr>
            <w:tcW w:w="640" w:type="dxa"/>
            <w:vAlign w:val="bottom"/>
            <w:tcBorders>
              <w:right w:val="single" w:sz="8" w:color="auto"/>
            </w:tcBorders>
          </w:tcPr>
          <w:p>
            <w:pPr>
              <w:spacing w:after="0"/>
              <w:rPr>
                <w:sz w:val="23"/>
                <w:szCs w:val="23"/>
                <w:color w:val="auto"/>
              </w:rPr>
            </w:pPr>
          </w:p>
        </w:tc>
        <w:tc>
          <w:tcPr>
            <w:tcW w:w="760" w:type="dxa"/>
            <w:vAlign w:val="bottom"/>
            <w:tcBorders>
              <w:right w:val="single" w:sz="8" w:color="auto"/>
            </w:tcBorders>
          </w:tcPr>
          <w:p>
            <w:pPr>
              <w:spacing w:after="0"/>
              <w:rPr>
                <w:sz w:val="23"/>
                <w:szCs w:val="23"/>
                <w:color w:val="auto"/>
              </w:rPr>
            </w:pPr>
          </w:p>
        </w:tc>
        <w:tc>
          <w:tcPr>
            <w:tcW w:w="780" w:type="dxa"/>
            <w:vAlign w:val="bottom"/>
            <w:tcBorders>
              <w:right w:val="single" w:sz="8" w:color="auto"/>
            </w:tcBorders>
          </w:tcPr>
          <w:p>
            <w:pPr>
              <w:spacing w:after="0"/>
              <w:rPr>
                <w:sz w:val="23"/>
                <w:szCs w:val="23"/>
                <w:color w:val="auto"/>
              </w:rPr>
            </w:pPr>
          </w:p>
        </w:tc>
        <w:tc>
          <w:tcPr>
            <w:tcW w:w="6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8"/>
              </w:rPr>
              <w:t>9,791</w:t>
            </w: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19,581</w:t>
            </w: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29,372</w:t>
            </w:r>
          </w:p>
        </w:tc>
        <w:tc>
          <w:tcPr>
            <w:tcW w:w="720" w:type="dxa"/>
            <w:vAlign w:val="bottom"/>
            <w:tcBorders>
              <w:right w:val="single" w:sz="8" w:color="auto"/>
            </w:tcBorders>
          </w:tcPr>
          <w:p>
            <w:pPr>
              <w:spacing w:after="0"/>
              <w:rPr>
                <w:sz w:val="23"/>
                <w:szCs w:val="23"/>
                <w:color w:val="auto"/>
              </w:rPr>
            </w:pP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$2,160,000</w:t>
            </w:r>
          </w:p>
        </w:tc>
        <w:tc>
          <w:tcPr>
            <w:tcW w:w="0" w:type="dxa"/>
            <w:vAlign w:val="bottom"/>
          </w:tcPr>
          <w:p>
            <w:pPr>
              <w:spacing w:after="0"/>
              <w:rPr>
                <w:sz w:val="1"/>
                <w:szCs w:val="1"/>
                <w:color w:val="auto"/>
              </w:rPr>
            </w:pPr>
          </w:p>
        </w:tc>
      </w:tr>
      <w:tr>
        <w:trPr>
          <w:trHeight w:val="270"/>
        </w:trPr>
        <w:tc>
          <w:tcPr>
            <w:tcW w:w="640" w:type="dxa"/>
            <w:vAlign w:val="bottom"/>
            <w:tcBorders>
              <w:left w:val="single" w:sz="8" w:color="auto"/>
              <w:right w:val="single" w:sz="8" w:color="auto"/>
            </w:tcBorders>
          </w:tcPr>
          <w:p>
            <w:pPr>
              <w:spacing w:after="0"/>
              <w:rPr>
                <w:sz w:val="23"/>
                <w:szCs w:val="23"/>
                <w:color w:val="auto"/>
              </w:rPr>
            </w:pPr>
          </w:p>
        </w:tc>
        <w:tc>
          <w:tcPr>
            <w:tcW w:w="980" w:type="dxa"/>
            <w:vAlign w:val="bottom"/>
          </w:tcPr>
          <w:p>
            <w:pPr>
              <w:jc w:val="center"/>
              <w:spacing w:after="0"/>
              <w:rPr>
                <w:sz w:val="20"/>
                <w:szCs w:val="20"/>
                <w:color w:val="auto"/>
              </w:rPr>
            </w:pPr>
            <w:r>
              <w:rPr>
                <w:rFonts w:ascii="Arial" w:cs="Arial" w:eastAsia="Arial" w:hAnsi="Arial"/>
                <w:sz w:val="13"/>
                <w:szCs w:val="13"/>
                <w:color w:val="auto"/>
                <w:w w:val="95"/>
              </w:rPr>
              <w:t>2017-2019 SVA</w:t>
            </w:r>
          </w:p>
        </w:tc>
        <w:tc>
          <w:tcPr>
            <w:tcW w:w="180" w:type="dxa"/>
            <w:vAlign w:val="bottom"/>
            <w:tcBorders>
              <w:right w:val="single" w:sz="8" w:color="auto"/>
            </w:tcBorders>
          </w:tcPr>
          <w:p>
            <w:pPr>
              <w:jc w:val="right"/>
              <w:ind w:right="55"/>
              <w:spacing w:after="0"/>
              <w:rPr>
                <w:sz w:val="20"/>
                <w:szCs w:val="20"/>
                <w:color w:val="auto"/>
              </w:rPr>
            </w:pPr>
            <w:r>
              <w:rPr>
                <w:rFonts w:ascii="Arial" w:cs="Arial" w:eastAsia="Arial" w:hAnsi="Arial"/>
                <w:sz w:val="9"/>
                <w:szCs w:val="9"/>
                <w:color w:val="auto"/>
              </w:rPr>
              <w:t>4</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4"/>
              </w:rPr>
              <w:t>2/9/2017</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12/12/2016</w:t>
            </w:r>
          </w:p>
        </w:tc>
        <w:tc>
          <w:tcPr>
            <w:tcW w:w="640" w:type="dxa"/>
            <w:vAlign w:val="bottom"/>
            <w:tcBorders>
              <w:right w:val="single" w:sz="8" w:color="auto"/>
            </w:tcBorders>
          </w:tcPr>
          <w:p>
            <w:pPr>
              <w:spacing w:after="0"/>
              <w:rPr>
                <w:sz w:val="23"/>
                <w:szCs w:val="23"/>
                <w:color w:val="auto"/>
              </w:rPr>
            </w:pPr>
          </w:p>
        </w:tc>
        <w:tc>
          <w:tcPr>
            <w:tcW w:w="760" w:type="dxa"/>
            <w:vAlign w:val="bottom"/>
            <w:tcBorders>
              <w:right w:val="single" w:sz="8" w:color="auto"/>
            </w:tcBorders>
          </w:tcPr>
          <w:p>
            <w:pPr>
              <w:spacing w:after="0"/>
              <w:rPr>
                <w:sz w:val="23"/>
                <w:szCs w:val="23"/>
                <w:color w:val="auto"/>
              </w:rPr>
            </w:pPr>
          </w:p>
        </w:tc>
        <w:tc>
          <w:tcPr>
            <w:tcW w:w="780" w:type="dxa"/>
            <w:vAlign w:val="bottom"/>
            <w:tcBorders>
              <w:right w:val="single" w:sz="8" w:color="auto"/>
            </w:tcBorders>
          </w:tcPr>
          <w:p>
            <w:pPr>
              <w:spacing w:after="0"/>
              <w:rPr>
                <w:sz w:val="23"/>
                <w:szCs w:val="23"/>
                <w:color w:val="auto"/>
              </w:rPr>
            </w:pPr>
          </w:p>
        </w:tc>
        <w:tc>
          <w:tcPr>
            <w:tcW w:w="6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16,537</w:t>
            </w: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33,073</w:t>
            </w: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49,610</w:t>
            </w:r>
          </w:p>
        </w:tc>
        <w:tc>
          <w:tcPr>
            <w:tcW w:w="720" w:type="dxa"/>
            <w:vAlign w:val="bottom"/>
            <w:tcBorders>
              <w:right w:val="single" w:sz="8" w:color="auto"/>
            </w:tcBorders>
          </w:tcPr>
          <w:p>
            <w:pPr>
              <w:spacing w:after="0"/>
              <w:rPr>
                <w:sz w:val="23"/>
                <w:szCs w:val="23"/>
                <w:color w:val="auto"/>
              </w:rPr>
            </w:pP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$2,160,000</w:t>
            </w:r>
          </w:p>
        </w:tc>
        <w:tc>
          <w:tcPr>
            <w:tcW w:w="0" w:type="dxa"/>
            <w:vAlign w:val="bottom"/>
          </w:tcPr>
          <w:p>
            <w:pPr>
              <w:spacing w:after="0"/>
              <w:rPr>
                <w:sz w:val="1"/>
                <w:szCs w:val="1"/>
                <w:color w:val="auto"/>
              </w:rPr>
            </w:pPr>
          </w:p>
        </w:tc>
      </w:tr>
      <w:tr>
        <w:trPr>
          <w:trHeight w:val="280"/>
        </w:trPr>
        <w:tc>
          <w:tcPr>
            <w:tcW w:w="64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0</w:t>
            </w:r>
          </w:p>
        </w:tc>
        <w:tc>
          <w:tcPr>
            <w:tcW w:w="7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Mr.</w:t>
            </w:r>
          </w:p>
        </w:tc>
        <w:tc>
          <w:tcPr>
            <w:tcW w:w="980" w:type="dxa"/>
            <w:vAlign w:val="bottom"/>
            <w:vMerge w:val="restart"/>
          </w:tcPr>
          <w:p>
            <w:pPr>
              <w:jc w:val="center"/>
              <w:spacing w:after="0"/>
              <w:rPr>
                <w:sz w:val="20"/>
                <w:szCs w:val="20"/>
                <w:color w:val="auto"/>
              </w:rPr>
            </w:pPr>
            <w:r>
              <w:rPr>
                <w:rFonts w:ascii="Arial" w:cs="Arial" w:eastAsia="Arial" w:hAnsi="Arial"/>
                <w:sz w:val="13"/>
                <w:szCs w:val="13"/>
                <w:color w:val="auto"/>
                <w:w w:val="96"/>
              </w:rPr>
              <w:t>Annual Bonus</w:t>
            </w:r>
          </w:p>
        </w:tc>
        <w:tc>
          <w:tcPr>
            <w:tcW w:w="180" w:type="dxa"/>
            <w:vAlign w:val="bottom"/>
            <w:tcBorders>
              <w:right w:val="single" w:sz="8" w:color="auto"/>
            </w:tcBorders>
          </w:tcPr>
          <w:p>
            <w:pPr>
              <w:spacing w:after="0"/>
              <w:rPr>
                <w:sz w:val="14"/>
                <w:szCs w:val="14"/>
                <w:color w:val="auto"/>
              </w:rPr>
            </w:pPr>
          </w:p>
        </w:tc>
        <w:tc>
          <w:tcPr>
            <w:tcW w:w="720" w:type="dxa"/>
            <w:vAlign w:val="bottom"/>
            <w:tcBorders>
              <w:right w:val="single" w:sz="8" w:color="auto"/>
            </w:tcBorders>
            <w:vMerge w:val="restart"/>
          </w:tcPr>
          <w:p>
            <w:pPr>
              <w:jc w:val="center"/>
              <w:ind w:right="3"/>
              <w:spacing w:after="0"/>
              <w:rPr>
                <w:sz w:val="20"/>
                <w:szCs w:val="20"/>
                <w:color w:val="auto"/>
              </w:rPr>
            </w:pPr>
            <w:r>
              <w:rPr>
                <w:rFonts w:ascii="Arial" w:cs="Arial" w:eastAsia="Arial" w:hAnsi="Arial"/>
                <w:sz w:val="9"/>
                <w:szCs w:val="9"/>
                <w:color w:val="auto"/>
                <w:w w:val="99"/>
              </w:rPr>
              <w:t>__</w:t>
            </w:r>
          </w:p>
        </w:tc>
        <w:tc>
          <w:tcPr>
            <w:tcW w:w="1080" w:type="dxa"/>
            <w:vAlign w:val="bottom"/>
            <w:tcBorders>
              <w:right w:val="single" w:sz="8" w:color="auto"/>
            </w:tcBorders>
            <w:vMerge w:val="restart"/>
          </w:tcPr>
          <w:p>
            <w:pPr>
              <w:jc w:val="center"/>
              <w:ind w:right="3"/>
              <w:spacing w:after="0"/>
              <w:rPr>
                <w:sz w:val="20"/>
                <w:szCs w:val="20"/>
                <w:color w:val="auto"/>
              </w:rPr>
            </w:pPr>
            <w:r>
              <w:rPr>
                <w:rFonts w:ascii="Arial" w:cs="Arial" w:eastAsia="Arial" w:hAnsi="Arial"/>
                <w:sz w:val="9"/>
                <w:szCs w:val="9"/>
                <w:color w:val="auto"/>
                <w:w w:val="99"/>
              </w:rPr>
              <w:t>__</w:t>
            </w:r>
          </w:p>
        </w:tc>
        <w:tc>
          <w:tcPr>
            <w:tcW w:w="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7"/>
              </w:rPr>
              <w:t>$17,123</w:t>
            </w: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5"/>
              </w:rPr>
              <w:t>$684,904</w:t>
            </w: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8"/>
              </w:rPr>
              <w:t>$1,369,808</w:t>
            </w:r>
          </w:p>
        </w:tc>
        <w:tc>
          <w:tcPr>
            <w:tcW w:w="660" w:type="dxa"/>
            <w:vAlign w:val="bottom"/>
            <w:tcBorders>
              <w:right w:val="single" w:sz="8" w:color="auto"/>
            </w:tcBorders>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2"/>
                <w:szCs w:val="12"/>
                <w:color w:val="auto"/>
                <w:w w:val="99"/>
              </w:rPr>
              <w:t>Harrington</w:t>
            </w:r>
          </w:p>
        </w:tc>
        <w:tc>
          <w:tcPr>
            <w:tcW w:w="980" w:type="dxa"/>
            <w:vAlign w:val="bottom"/>
            <w:vMerge w:val="continue"/>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vMerge w:val="continue"/>
          </w:tcPr>
          <w:p>
            <w:pPr>
              <w:spacing w:after="0"/>
              <w:rPr>
                <w:sz w:val="12"/>
                <w:szCs w:val="12"/>
                <w:color w:val="auto"/>
              </w:rPr>
            </w:pPr>
          </w:p>
        </w:tc>
        <w:tc>
          <w:tcPr>
            <w:tcW w:w="1080" w:type="dxa"/>
            <w:vAlign w:val="bottom"/>
            <w:tcBorders>
              <w:right w:val="single" w:sz="8" w:color="auto"/>
            </w:tcBorders>
            <w:vMerge w:val="continue"/>
          </w:tcPr>
          <w:p>
            <w:pPr>
              <w:spacing w:after="0"/>
              <w:rPr>
                <w:sz w:val="12"/>
                <w:szCs w:val="12"/>
                <w:color w:val="auto"/>
              </w:rPr>
            </w:pPr>
          </w:p>
        </w:tc>
        <w:tc>
          <w:tcPr>
            <w:tcW w:w="640" w:type="dxa"/>
            <w:vAlign w:val="bottom"/>
            <w:tcBorders>
              <w:right w:val="single" w:sz="8" w:color="auto"/>
            </w:tcBorders>
            <w:vMerge w:val="continue"/>
          </w:tcPr>
          <w:p>
            <w:pPr>
              <w:spacing w:after="0"/>
              <w:rPr>
                <w:sz w:val="12"/>
                <w:szCs w:val="12"/>
                <w:color w:val="auto"/>
              </w:rPr>
            </w:pPr>
          </w:p>
        </w:tc>
        <w:tc>
          <w:tcPr>
            <w:tcW w:w="760" w:type="dxa"/>
            <w:vAlign w:val="bottom"/>
            <w:tcBorders>
              <w:right w:val="single" w:sz="8" w:color="auto"/>
            </w:tcBorders>
            <w:vMerge w:val="continue"/>
          </w:tcPr>
          <w:p>
            <w:pPr>
              <w:spacing w:after="0"/>
              <w:rPr>
                <w:sz w:val="12"/>
                <w:szCs w:val="12"/>
                <w:color w:val="auto"/>
              </w:rPr>
            </w:pPr>
          </w:p>
        </w:tc>
        <w:tc>
          <w:tcPr>
            <w:tcW w:w="780" w:type="dxa"/>
            <w:vAlign w:val="bottom"/>
            <w:tcBorders>
              <w:right w:val="single" w:sz="8" w:color="auto"/>
            </w:tcBorders>
            <w:vMerge w:val="continue"/>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640" w:type="dxa"/>
            <w:vAlign w:val="bottom"/>
            <w:tcBorders>
              <w:left w:val="single" w:sz="8" w:color="auto"/>
              <w:right w:val="single" w:sz="8" w:color="auto"/>
            </w:tcBorders>
          </w:tcPr>
          <w:p>
            <w:pPr>
              <w:spacing w:after="0"/>
              <w:rPr>
                <w:sz w:val="23"/>
                <w:szCs w:val="23"/>
                <w:color w:val="auto"/>
              </w:rPr>
            </w:pPr>
          </w:p>
        </w:tc>
        <w:tc>
          <w:tcPr>
            <w:tcW w:w="980" w:type="dxa"/>
            <w:vAlign w:val="bottom"/>
          </w:tcPr>
          <w:p>
            <w:pPr>
              <w:jc w:val="center"/>
              <w:spacing w:after="0"/>
              <w:rPr>
                <w:sz w:val="20"/>
                <w:szCs w:val="20"/>
                <w:color w:val="auto"/>
              </w:rPr>
            </w:pPr>
            <w:r>
              <w:rPr>
                <w:rFonts w:ascii="Arial" w:cs="Arial" w:eastAsia="Arial" w:hAnsi="Arial"/>
                <w:sz w:val="13"/>
                <w:szCs w:val="13"/>
                <w:color w:val="auto"/>
                <w:w w:val="93"/>
              </w:rPr>
              <w:t>2017-2019 PA</w:t>
            </w:r>
          </w:p>
        </w:tc>
        <w:tc>
          <w:tcPr>
            <w:tcW w:w="180" w:type="dxa"/>
            <w:vAlign w:val="bottom"/>
            <w:tcBorders>
              <w:right w:val="single" w:sz="8" w:color="auto"/>
            </w:tcBorders>
          </w:tcPr>
          <w:p>
            <w:pPr>
              <w:jc w:val="right"/>
              <w:ind w:right="55"/>
              <w:spacing w:after="0"/>
              <w:rPr>
                <w:sz w:val="20"/>
                <w:szCs w:val="20"/>
                <w:color w:val="auto"/>
              </w:rPr>
            </w:pPr>
            <w:r>
              <w:rPr>
                <w:rFonts w:ascii="Arial" w:cs="Arial" w:eastAsia="Arial" w:hAnsi="Arial"/>
                <w:sz w:val="9"/>
                <w:szCs w:val="9"/>
                <w:color w:val="auto"/>
              </w:rPr>
              <w:t>3</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4"/>
              </w:rPr>
              <w:t>2/9/2017</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12/12/2016</w:t>
            </w:r>
          </w:p>
        </w:tc>
        <w:tc>
          <w:tcPr>
            <w:tcW w:w="640" w:type="dxa"/>
            <w:vAlign w:val="bottom"/>
            <w:tcBorders>
              <w:right w:val="single" w:sz="8" w:color="auto"/>
            </w:tcBorders>
          </w:tcPr>
          <w:p>
            <w:pPr>
              <w:spacing w:after="0"/>
              <w:rPr>
                <w:sz w:val="23"/>
                <w:szCs w:val="23"/>
                <w:color w:val="auto"/>
              </w:rPr>
            </w:pPr>
          </w:p>
        </w:tc>
        <w:tc>
          <w:tcPr>
            <w:tcW w:w="760" w:type="dxa"/>
            <w:vAlign w:val="bottom"/>
            <w:tcBorders>
              <w:right w:val="single" w:sz="8" w:color="auto"/>
            </w:tcBorders>
          </w:tcPr>
          <w:p>
            <w:pPr>
              <w:spacing w:after="0"/>
              <w:rPr>
                <w:sz w:val="23"/>
                <w:szCs w:val="23"/>
                <w:color w:val="auto"/>
              </w:rPr>
            </w:pPr>
          </w:p>
        </w:tc>
        <w:tc>
          <w:tcPr>
            <w:tcW w:w="780" w:type="dxa"/>
            <w:vAlign w:val="bottom"/>
            <w:tcBorders>
              <w:right w:val="single" w:sz="8" w:color="auto"/>
            </w:tcBorders>
          </w:tcPr>
          <w:p>
            <w:pPr>
              <w:spacing w:after="0"/>
              <w:rPr>
                <w:sz w:val="23"/>
                <w:szCs w:val="23"/>
                <w:color w:val="auto"/>
              </w:rPr>
            </w:pPr>
          </w:p>
        </w:tc>
        <w:tc>
          <w:tcPr>
            <w:tcW w:w="6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8"/>
              </w:rPr>
              <w:t>6,255</w:t>
            </w: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12,510</w:t>
            </w: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18,765</w:t>
            </w:r>
          </w:p>
        </w:tc>
        <w:tc>
          <w:tcPr>
            <w:tcW w:w="720" w:type="dxa"/>
            <w:vAlign w:val="bottom"/>
            <w:tcBorders>
              <w:right w:val="single" w:sz="8" w:color="auto"/>
            </w:tcBorders>
          </w:tcPr>
          <w:p>
            <w:pPr>
              <w:spacing w:after="0"/>
              <w:rPr>
                <w:sz w:val="23"/>
                <w:szCs w:val="23"/>
                <w:color w:val="auto"/>
              </w:rPr>
            </w:pP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$1,380,000</w:t>
            </w:r>
          </w:p>
        </w:tc>
        <w:tc>
          <w:tcPr>
            <w:tcW w:w="0" w:type="dxa"/>
            <w:vAlign w:val="bottom"/>
          </w:tcPr>
          <w:p>
            <w:pPr>
              <w:spacing w:after="0"/>
              <w:rPr>
                <w:sz w:val="1"/>
                <w:szCs w:val="1"/>
                <w:color w:val="auto"/>
              </w:rPr>
            </w:pPr>
          </w:p>
        </w:tc>
      </w:tr>
      <w:tr>
        <w:trPr>
          <w:trHeight w:val="270"/>
        </w:trPr>
        <w:tc>
          <w:tcPr>
            <w:tcW w:w="640" w:type="dxa"/>
            <w:vAlign w:val="bottom"/>
            <w:tcBorders>
              <w:left w:val="single" w:sz="8" w:color="auto"/>
              <w:right w:val="single" w:sz="8" w:color="auto"/>
            </w:tcBorders>
          </w:tcPr>
          <w:p>
            <w:pPr>
              <w:spacing w:after="0"/>
              <w:rPr>
                <w:sz w:val="23"/>
                <w:szCs w:val="23"/>
                <w:color w:val="auto"/>
              </w:rPr>
            </w:pPr>
          </w:p>
        </w:tc>
        <w:tc>
          <w:tcPr>
            <w:tcW w:w="980" w:type="dxa"/>
            <w:vAlign w:val="bottom"/>
          </w:tcPr>
          <w:p>
            <w:pPr>
              <w:jc w:val="center"/>
              <w:spacing w:after="0"/>
              <w:rPr>
                <w:sz w:val="20"/>
                <w:szCs w:val="20"/>
                <w:color w:val="auto"/>
              </w:rPr>
            </w:pPr>
            <w:r>
              <w:rPr>
                <w:rFonts w:ascii="Arial" w:cs="Arial" w:eastAsia="Arial" w:hAnsi="Arial"/>
                <w:sz w:val="13"/>
                <w:szCs w:val="13"/>
                <w:color w:val="auto"/>
                <w:w w:val="95"/>
              </w:rPr>
              <w:t>2017-2019 SVA</w:t>
            </w:r>
          </w:p>
        </w:tc>
        <w:tc>
          <w:tcPr>
            <w:tcW w:w="180" w:type="dxa"/>
            <w:vAlign w:val="bottom"/>
            <w:tcBorders>
              <w:right w:val="single" w:sz="8" w:color="auto"/>
            </w:tcBorders>
          </w:tcPr>
          <w:p>
            <w:pPr>
              <w:jc w:val="right"/>
              <w:ind w:right="55"/>
              <w:spacing w:after="0"/>
              <w:rPr>
                <w:sz w:val="20"/>
                <w:szCs w:val="20"/>
                <w:color w:val="auto"/>
              </w:rPr>
            </w:pPr>
            <w:r>
              <w:rPr>
                <w:rFonts w:ascii="Arial" w:cs="Arial" w:eastAsia="Arial" w:hAnsi="Arial"/>
                <w:sz w:val="9"/>
                <w:szCs w:val="9"/>
                <w:color w:val="auto"/>
              </w:rPr>
              <w:t>4</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4"/>
              </w:rPr>
              <w:t>2/9/2017</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12/12/2016</w:t>
            </w:r>
          </w:p>
        </w:tc>
        <w:tc>
          <w:tcPr>
            <w:tcW w:w="640" w:type="dxa"/>
            <w:vAlign w:val="bottom"/>
            <w:tcBorders>
              <w:right w:val="single" w:sz="8" w:color="auto"/>
            </w:tcBorders>
          </w:tcPr>
          <w:p>
            <w:pPr>
              <w:spacing w:after="0"/>
              <w:rPr>
                <w:sz w:val="23"/>
                <w:szCs w:val="23"/>
                <w:color w:val="auto"/>
              </w:rPr>
            </w:pPr>
          </w:p>
        </w:tc>
        <w:tc>
          <w:tcPr>
            <w:tcW w:w="760" w:type="dxa"/>
            <w:vAlign w:val="bottom"/>
            <w:tcBorders>
              <w:right w:val="single" w:sz="8" w:color="auto"/>
            </w:tcBorders>
          </w:tcPr>
          <w:p>
            <w:pPr>
              <w:spacing w:after="0"/>
              <w:rPr>
                <w:sz w:val="23"/>
                <w:szCs w:val="23"/>
                <w:color w:val="auto"/>
              </w:rPr>
            </w:pPr>
          </w:p>
        </w:tc>
        <w:tc>
          <w:tcPr>
            <w:tcW w:w="780" w:type="dxa"/>
            <w:vAlign w:val="bottom"/>
            <w:tcBorders>
              <w:right w:val="single" w:sz="8" w:color="auto"/>
            </w:tcBorders>
          </w:tcPr>
          <w:p>
            <w:pPr>
              <w:spacing w:after="0"/>
              <w:rPr>
                <w:sz w:val="23"/>
                <w:szCs w:val="23"/>
                <w:color w:val="auto"/>
              </w:rPr>
            </w:pPr>
          </w:p>
        </w:tc>
        <w:tc>
          <w:tcPr>
            <w:tcW w:w="6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10,565</w:t>
            </w: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21,130</w:t>
            </w: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31,695</w:t>
            </w:r>
          </w:p>
        </w:tc>
        <w:tc>
          <w:tcPr>
            <w:tcW w:w="720" w:type="dxa"/>
            <w:vAlign w:val="bottom"/>
            <w:tcBorders>
              <w:right w:val="single" w:sz="8" w:color="auto"/>
            </w:tcBorders>
          </w:tcPr>
          <w:p>
            <w:pPr>
              <w:spacing w:after="0"/>
              <w:rPr>
                <w:sz w:val="23"/>
                <w:szCs w:val="23"/>
                <w:color w:val="auto"/>
              </w:rPr>
            </w:pP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$1,380,000</w:t>
            </w:r>
          </w:p>
        </w:tc>
        <w:tc>
          <w:tcPr>
            <w:tcW w:w="0" w:type="dxa"/>
            <w:vAlign w:val="bottom"/>
          </w:tcPr>
          <w:p>
            <w:pPr>
              <w:spacing w:after="0"/>
              <w:rPr>
                <w:sz w:val="1"/>
                <w:szCs w:val="1"/>
                <w:color w:val="auto"/>
              </w:rPr>
            </w:pPr>
          </w:p>
        </w:tc>
      </w:tr>
      <w:tr>
        <w:trPr>
          <w:trHeight w:val="280"/>
        </w:trPr>
        <w:tc>
          <w:tcPr>
            <w:tcW w:w="64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0</w:t>
            </w:r>
          </w:p>
        </w:tc>
        <w:tc>
          <w:tcPr>
            <w:tcW w:w="7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4" w:right="200" w:hanging="4"/>
        <w:spacing w:after="0" w:line="233" w:lineRule="auto"/>
        <w:tabs>
          <w:tab w:leader="none" w:pos="184" w:val="left"/>
        </w:tabs>
        <w:numPr>
          <w:ilvl w:val="0"/>
          <w:numId w:val="68"/>
        </w:numPr>
        <w:rPr>
          <w:rFonts w:ascii="Arial" w:cs="Arial" w:eastAsia="Arial" w:hAnsi="Arial"/>
          <w:sz w:val="22"/>
          <w:szCs w:val="22"/>
          <w:color w:val="auto"/>
          <w:vertAlign w:val="superscript"/>
        </w:rPr>
      </w:pPr>
      <w:r>
        <w:rPr>
          <w:rFonts w:ascii="Arial" w:cs="Arial" w:eastAsia="Arial" w:hAnsi="Arial"/>
          <w:sz w:val="18"/>
          <w:szCs w:val="18"/>
          <w:color w:val="auto"/>
        </w:rPr>
        <w:t>These columns show the threshold, target, and maximum payouts for performance under the Bonus Plan. Bonus payouts range from 0 to 200 percent of target. The bonus payment for 2017 performance was 134 percent of target and is included in the Summary Compensation Table in the column titled “Non-Equity Incentive Plan Compensation.”</w:t>
      </w:r>
    </w:p>
    <w:p>
      <w:pPr>
        <w:spacing w:after="0" w:line="217" w:lineRule="exact"/>
        <w:rPr>
          <w:sz w:val="20"/>
          <w:szCs w:val="20"/>
          <w:color w:val="auto"/>
        </w:rPr>
      </w:pPr>
    </w:p>
    <w:p>
      <w:pPr>
        <w:ind w:left="4" w:right="620" w:hanging="4"/>
        <w:spacing w:after="0" w:line="237" w:lineRule="auto"/>
        <w:tabs>
          <w:tab w:leader="none" w:pos="184" w:val="left"/>
        </w:tabs>
        <w:numPr>
          <w:ilvl w:val="0"/>
          <w:numId w:val="69"/>
        </w:numPr>
        <w:rPr>
          <w:rFonts w:ascii="Arial" w:cs="Arial" w:eastAsia="Arial" w:hAnsi="Arial"/>
          <w:sz w:val="21"/>
          <w:szCs w:val="21"/>
          <w:color w:val="auto"/>
          <w:vertAlign w:val="superscript"/>
        </w:rPr>
      </w:pPr>
      <w:r>
        <w:rPr>
          <w:rFonts w:ascii="Arial" w:cs="Arial" w:eastAsia="Arial" w:hAnsi="Arial"/>
          <w:sz w:val="17"/>
          <w:szCs w:val="17"/>
          <w:color w:val="auto"/>
        </w:rPr>
        <w:t>To assure grant timing is not manipulated for employee gain, the annual grant date is established in advance by the Compensation Committee. Equity awards to new hires and other off-cycle grants are generally effective on the first trading day of the following month.</w:t>
      </w:r>
    </w:p>
    <w:p>
      <w:pPr>
        <w:spacing w:after="0" w:line="217" w:lineRule="exact"/>
        <w:rPr>
          <w:sz w:val="20"/>
          <w:szCs w:val="20"/>
          <w:color w:val="auto"/>
        </w:rPr>
      </w:pPr>
    </w:p>
    <w:p>
      <w:pPr>
        <w:ind w:left="4" w:right="240" w:hanging="4"/>
        <w:spacing w:after="0" w:line="233" w:lineRule="auto"/>
        <w:tabs>
          <w:tab w:leader="none" w:pos="94" w:val="left"/>
        </w:tabs>
        <w:numPr>
          <w:ilvl w:val="0"/>
          <w:numId w:val="70"/>
        </w:numPr>
        <w:rPr>
          <w:rFonts w:ascii="Arial" w:cs="Arial" w:eastAsia="Arial" w:hAnsi="Arial"/>
          <w:sz w:val="22"/>
          <w:szCs w:val="22"/>
          <w:color w:val="auto"/>
          <w:vertAlign w:val="superscript"/>
        </w:rPr>
      </w:pPr>
      <w:r>
        <w:rPr>
          <w:rFonts w:ascii="Arial" w:cs="Arial" w:eastAsia="Arial" w:hAnsi="Arial"/>
          <w:sz w:val="18"/>
          <w:szCs w:val="18"/>
          <w:color w:val="auto"/>
        </w:rPr>
        <w:t>This row shows the possible payouts for 2017-2019 performance award grants ranging from 0 to 150 percent of target. This performance award will pay out in January 2020. The grant-date fair value of the performance award reflects the probable payout outcome anticipated at the time of grant, which was greater than the target value.</w:t>
      </w:r>
    </w:p>
    <w:p>
      <w:pPr>
        <w:spacing w:after="0" w:line="217" w:lineRule="exact"/>
        <w:rPr>
          <w:sz w:val="20"/>
          <w:szCs w:val="20"/>
          <w:color w:val="auto"/>
        </w:rPr>
      </w:pPr>
    </w:p>
    <w:p>
      <w:pPr>
        <w:ind w:left="4" w:right="260" w:hanging="4"/>
        <w:spacing w:after="0" w:line="233" w:lineRule="auto"/>
        <w:tabs>
          <w:tab w:leader="none" w:pos="184" w:val="left"/>
        </w:tabs>
        <w:numPr>
          <w:ilvl w:val="0"/>
          <w:numId w:val="71"/>
        </w:numPr>
        <w:rPr>
          <w:rFonts w:ascii="Arial" w:cs="Arial" w:eastAsia="Arial" w:hAnsi="Arial"/>
          <w:sz w:val="22"/>
          <w:szCs w:val="22"/>
          <w:color w:val="auto"/>
          <w:vertAlign w:val="superscript"/>
        </w:rPr>
      </w:pPr>
      <w:r>
        <w:rPr>
          <w:rFonts w:ascii="Arial" w:cs="Arial" w:eastAsia="Arial" w:hAnsi="Arial"/>
          <w:sz w:val="18"/>
          <w:szCs w:val="18"/>
          <w:color w:val="auto"/>
        </w:rPr>
        <w:t>This row shows the range of payouts for 2017-2019 shareholder value award grants. This shareholder value award will pay out in January 2020, with payouts ranging from 0 to 150 percent of target. We measure the fair value of the shareholder value award on the grant date using a Monte Carlo simulation model.</w:t>
      </w:r>
    </w:p>
    <w:p>
      <w:pPr>
        <w:spacing w:after="0" w:line="230" w:lineRule="exact"/>
        <w:rPr>
          <w:sz w:val="20"/>
          <w:szCs w:val="20"/>
          <w:color w:val="auto"/>
        </w:rPr>
      </w:pPr>
    </w:p>
    <w:p>
      <w:pPr>
        <w:jc w:val="both"/>
        <w:ind w:left="4" w:right="140" w:hanging="4"/>
        <w:spacing w:after="0" w:line="244" w:lineRule="auto"/>
        <w:tabs>
          <w:tab w:leader="none" w:pos="94" w:val="left"/>
        </w:tabs>
        <w:numPr>
          <w:ilvl w:val="0"/>
          <w:numId w:val="72"/>
        </w:numPr>
        <w:rPr>
          <w:rFonts w:ascii="Arial" w:cs="Arial" w:eastAsia="Arial" w:hAnsi="Arial"/>
          <w:sz w:val="22"/>
          <w:szCs w:val="22"/>
          <w:color w:val="auto"/>
          <w:vertAlign w:val="superscript"/>
        </w:rPr>
      </w:pPr>
      <w:r>
        <w:rPr>
          <w:rFonts w:ascii="Arial" w:cs="Arial" w:eastAsia="Arial" w:hAnsi="Arial"/>
          <w:sz w:val="18"/>
          <w:szCs w:val="18"/>
          <w:color w:val="auto"/>
        </w:rPr>
        <w:t>Mr. Conterno received a special retention grant in recognition of his leadership in delivering the company's strategy and providing continuity in a time of significant transition at the company. The award will vest on December 11, 2021, and it will be forfeited if Mr. Conterno resigns or retires from the company prior to that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P52</w:t>
      </w:r>
    </w:p>
    <w:p>
      <w:pPr>
        <w:sectPr>
          <w:pgSz w:w="11900" w:h="16838" w:orient="portrait"/>
          <w:cols w:equalWidth="0" w:num="1">
            <w:col w:w="11304"/>
          </w:cols>
          <w:pgMar w:left="356" w:top="714"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u w:val="single" w:color="auto"/>
          <w:color w:val="auto"/>
        </w:rPr>
        <w:t>Outstanding Equity Awards at December 31, 2017</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2017 closing stock price used to calculate the values in the table below was $84.46.</w:t>
      </w:r>
    </w:p>
    <w:p>
      <w:pPr>
        <w:spacing w:after="0" w:line="125" w:lineRule="exact"/>
        <w:rPr>
          <w:sz w:val="20"/>
          <w:szCs w:val="20"/>
          <w:color w:val="auto"/>
        </w:rPr>
      </w:pPr>
    </w:p>
    <w:tbl>
      <w:tblPr>
        <w:tblLayout w:type="fixed"/>
        <w:tblInd w:w="2630" w:type="dxa"/>
        <w:tblCellMar>
          <w:top w:w="0" w:type="dxa"/>
          <w:left w:w="0" w:type="dxa"/>
          <w:bottom w:w="0" w:type="dxa"/>
          <w:right w:w="0" w:type="dxa"/>
        </w:tblCellMar>
      </w:tblPr>
      <w:tr>
        <w:trPr>
          <w:trHeight w:val="277"/>
        </w:trPr>
        <w:tc>
          <w:tcPr>
            <w:tcW w:w="780" w:type="dxa"/>
            <w:vAlign w:val="bottom"/>
            <w:tcBorders>
              <w:top w:val="single" w:sz="8" w:color="auto"/>
              <w:left w:val="single" w:sz="8" w:color="auto"/>
              <w:bottom w:val="single" w:sz="8" w:color="auto"/>
              <w:right w:val="single" w:sz="8" w:color="auto"/>
            </w:tcBorders>
            <w:shd w:val="clear" w:color="auto" w:fill="E5E5E5"/>
          </w:tcPr>
          <w:p>
            <w:pPr>
              <w:spacing w:after="0"/>
              <w:rPr>
                <w:sz w:val="24"/>
                <w:szCs w:val="24"/>
                <w:color w:val="auto"/>
              </w:rPr>
            </w:pPr>
          </w:p>
        </w:tc>
        <w:tc>
          <w:tcPr>
            <w:tcW w:w="1160" w:type="dxa"/>
            <w:vAlign w:val="bottom"/>
            <w:tcBorders>
              <w:top w:val="single" w:sz="8" w:color="auto"/>
              <w:bottom w:val="single" w:sz="8" w:color="auto"/>
              <w:right w:val="single" w:sz="8" w:color="E5E5E5"/>
            </w:tcBorders>
            <w:shd w:val="clear" w:color="auto" w:fill="E5E5E5"/>
          </w:tcPr>
          <w:p>
            <w:pPr>
              <w:spacing w:after="0"/>
              <w:rPr>
                <w:sz w:val="24"/>
                <w:szCs w:val="24"/>
                <w:color w:val="auto"/>
              </w:rPr>
            </w:pPr>
          </w:p>
        </w:tc>
        <w:tc>
          <w:tcPr>
            <w:tcW w:w="860" w:type="dxa"/>
            <w:vAlign w:val="bottom"/>
            <w:tcBorders>
              <w:top w:val="single" w:sz="8" w:color="auto"/>
              <w:bottom w:val="single" w:sz="8" w:color="auto"/>
            </w:tcBorders>
            <w:shd w:val="clear" w:color="auto" w:fill="E5E5E5"/>
          </w:tcPr>
          <w:p>
            <w:pPr>
              <w:spacing w:after="0"/>
              <w:rPr>
                <w:sz w:val="24"/>
                <w:szCs w:val="24"/>
                <w:color w:val="auto"/>
              </w:rPr>
            </w:pPr>
          </w:p>
        </w:tc>
        <w:tc>
          <w:tcPr>
            <w:tcW w:w="200" w:type="dxa"/>
            <w:vAlign w:val="bottom"/>
            <w:tcBorders>
              <w:top w:val="single" w:sz="8" w:color="auto"/>
              <w:bottom w:val="single" w:sz="8" w:color="auto"/>
              <w:right w:val="single" w:sz="8" w:color="E5E5E5"/>
            </w:tcBorders>
            <w:shd w:val="clear" w:color="auto" w:fill="E5E5E5"/>
          </w:tcPr>
          <w:p>
            <w:pPr>
              <w:spacing w:after="0"/>
              <w:rPr>
                <w:sz w:val="24"/>
                <w:szCs w:val="24"/>
                <w:color w:val="auto"/>
              </w:rPr>
            </w:pPr>
          </w:p>
        </w:tc>
        <w:tc>
          <w:tcPr>
            <w:tcW w:w="1720" w:type="dxa"/>
            <w:vAlign w:val="bottom"/>
            <w:tcBorders>
              <w:top w:val="single" w:sz="8" w:color="auto"/>
              <w:bottom w:val="single" w:sz="8" w:color="auto"/>
            </w:tcBorders>
            <w:gridSpan w:val="2"/>
            <w:shd w:val="clear" w:color="auto" w:fill="E5E5E5"/>
          </w:tcPr>
          <w:p>
            <w:pPr>
              <w:jc w:val="right"/>
              <w:ind w:right="677"/>
              <w:spacing w:after="0"/>
              <w:rPr>
                <w:sz w:val="20"/>
                <w:szCs w:val="20"/>
                <w:color w:val="auto"/>
              </w:rPr>
            </w:pPr>
            <w:r>
              <w:rPr>
                <w:rFonts w:ascii="Arial" w:cs="Arial" w:eastAsia="Arial" w:hAnsi="Arial"/>
                <w:sz w:val="13"/>
                <w:szCs w:val="13"/>
                <w:b w:val="1"/>
                <w:bCs w:val="1"/>
                <w:color w:val="auto"/>
              </w:rPr>
              <w:t>Stock Awards</w:t>
            </w:r>
            <w:r>
              <w:rPr>
                <w:rFonts w:ascii="Arial" w:cs="Arial" w:eastAsia="Arial" w:hAnsi="Arial"/>
                <w:sz w:val="8"/>
                <w:szCs w:val="8"/>
                <w:b w:val="1"/>
                <w:bCs w:val="1"/>
                <w:color w:val="auto"/>
              </w:rPr>
              <w:t>1</w:t>
            </w:r>
          </w:p>
        </w:tc>
        <w:tc>
          <w:tcPr>
            <w:tcW w:w="220" w:type="dxa"/>
            <w:vAlign w:val="bottom"/>
            <w:tcBorders>
              <w:top w:val="single" w:sz="8" w:color="auto"/>
              <w:bottom w:val="single" w:sz="8" w:color="auto"/>
              <w:right w:val="single" w:sz="8" w:color="E5E5E5"/>
            </w:tcBorders>
            <w:shd w:val="clear" w:color="auto" w:fill="E5E5E5"/>
          </w:tcPr>
          <w:p>
            <w:pPr>
              <w:spacing w:after="0"/>
              <w:rPr>
                <w:sz w:val="24"/>
                <w:szCs w:val="24"/>
                <w:color w:val="auto"/>
              </w:rPr>
            </w:pPr>
          </w:p>
        </w:tc>
        <w:tc>
          <w:tcPr>
            <w:tcW w:w="1280" w:type="dxa"/>
            <w:vAlign w:val="bottom"/>
            <w:tcBorders>
              <w:top w:val="single" w:sz="8" w:color="auto"/>
              <w:bottom w:val="single" w:sz="8" w:color="auto"/>
              <w:right w:val="single" w:sz="8" w:color="auto"/>
            </w:tcBorders>
            <w:shd w:val="clear" w:color="auto" w:fill="E5E5E5"/>
          </w:tcPr>
          <w:p>
            <w:pPr>
              <w:spacing w:after="0"/>
              <w:rPr>
                <w:sz w:val="24"/>
                <w:szCs w:val="24"/>
                <w:color w:val="auto"/>
              </w:rPr>
            </w:pPr>
          </w:p>
        </w:tc>
      </w:tr>
      <w:tr>
        <w:trPr>
          <w:trHeight w:val="140"/>
        </w:trPr>
        <w:tc>
          <w:tcPr>
            <w:tcW w:w="780" w:type="dxa"/>
            <w:vAlign w:val="bottom"/>
            <w:tcBorders>
              <w:left w:val="single" w:sz="8" w:color="auto"/>
              <w:right w:val="single" w:sz="8" w:color="auto"/>
            </w:tcBorders>
            <w:shd w:val="clear" w:color="auto" w:fill="E5E5E5"/>
          </w:tcPr>
          <w:p>
            <w:pPr>
              <w:spacing w:after="0"/>
              <w:rPr>
                <w:sz w:val="12"/>
                <w:szCs w:val="12"/>
                <w:color w:val="auto"/>
              </w:rPr>
            </w:pPr>
          </w:p>
        </w:tc>
        <w:tc>
          <w:tcPr>
            <w:tcW w:w="1160" w:type="dxa"/>
            <w:vAlign w:val="bottom"/>
            <w:tcBorders>
              <w:right w:val="single" w:sz="8" w:color="auto"/>
            </w:tcBorders>
            <w:shd w:val="clear" w:color="auto" w:fill="E5E5E5"/>
          </w:tcPr>
          <w:p>
            <w:pPr>
              <w:spacing w:after="0"/>
              <w:rPr>
                <w:sz w:val="12"/>
                <w:szCs w:val="12"/>
                <w:color w:val="auto"/>
              </w:rPr>
            </w:pPr>
          </w:p>
        </w:tc>
        <w:tc>
          <w:tcPr>
            <w:tcW w:w="860" w:type="dxa"/>
            <w:vAlign w:val="bottom"/>
            <w:shd w:val="clear" w:color="auto" w:fill="E5E5E5"/>
          </w:tcPr>
          <w:p>
            <w:pPr>
              <w:spacing w:after="0"/>
              <w:rPr>
                <w:sz w:val="12"/>
                <w:szCs w:val="12"/>
                <w:color w:val="auto"/>
              </w:rPr>
            </w:pPr>
          </w:p>
        </w:tc>
        <w:tc>
          <w:tcPr>
            <w:tcW w:w="200" w:type="dxa"/>
            <w:vAlign w:val="bottom"/>
            <w:tcBorders>
              <w:right w:val="single" w:sz="8" w:color="auto"/>
            </w:tcBorders>
            <w:shd w:val="clear" w:color="auto" w:fill="E5E5E5"/>
          </w:tcPr>
          <w:p>
            <w:pPr>
              <w:spacing w:after="0"/>
              <w:rPr>
                <w:sz w:val="12"/>
                <w:szCs w:val="12"/>
                <w:color w:val="auto"/>
              </w:rPr>
            </w:pPr>
          </w:p>
        </w:tc>
        <w:tc>
          <w:tcPr>
            <w:tcW w:w="920" w:type="dxa"/>
            <w:vAlign w:val="bottom"/>
            <w:tcBorders>
              <w:right w:val="single" w:sz="8" w:color="auto"/>
            </w:tcBorders>
            <w:shd w:val="clear" w:color="auto" w:fill="E5E5E5"/>
          </w:tcPr>
          <w:p>
            <w:pPr>
              <w:spacing w:after="0"/>
              <w:rPr>
                <w:sz w:val="12"/>
                <w:szCs w:val="12"/>
                <w:color w:val="auto"/>
              </w:rPr>
            </w:pPr>
          </w:p>
        </w:tc>
        <w:tc>
          <w:tcPr>
            <w:tcW w:w="800" w:type="dxa"/>
            <w:vAlign w:val="bottom"/>
            <w:shd w:val="clear" w:color="auto" w:fill="E5E5E5"/>
          </w:tcPr>
          <w:p>
            <w:pPr>
              <w:jc w:val="center"/>
              <w:ind w:left="197"/>
              <w:spacing w:after="0" w:line="140" w:lineRule="exact"/>
              <w:rPr>
                <w:sz w:val="20"/>
                <w:szCs w:val="20"/>
                <w:color w:val="auto"/>
              </w:rPr>
            </w:pPr>
            <w:r>
              <w:rPr>
                <w:rFonts w:ascii="Arial" w:cs="Arial" w:eastAsia="Arial" w:hAnsi="Arial"/>
                <w:sz w:val="13"/>
                <w:szCs w:val="13"/>
                <w:b w:val="1"/>
                <w:bCs w:val="1"/>
                <w:color w:val="auto"/>
                <w:w w:val="95"/>
              </w:rPr>
              <w:t>Equity</w:t>
            </w:r>
          </w:p>
        </w:tc>
        <w:tc>
          <w:tcPr>
            <w:tcW w:w="220" w:type="dxa"/>
            <w:vAlign w:val="bottom"/>
            <w:tcBorders>
              <w:right w:val="single" w:sz="8" w:color="auto"/>
            </w:tcBorders>
            <w:shd w:val="clear" w:color="auto" w:fill="E5E5E5"/>
          </w:tcPr>
          <w:p>
            <w:pPr>
              <w:spacing w:after="0"/>
              <w:rPr>
                <w:sz w:val="12"/>
                <w:szCs w:val="12"/>
                <w:color w:val="auto"/>
              </w:rPr>
            </w:pPr>
          </w:p>
        </w:tc>
        <w:tc>
          <w:tcPr>
            <w:tcW w:w="1280" w:type="dxa"/>
            <w:vAlign w:val="bottom"/>
            <w:tcBorders>
              <w:right w:val="single" w:sz="8" w:color="auto"/>
            </w:tcBorders>
            <w:shd w:val="clear" w:color="auto" w:fill="E5E5E5"/>
          </w:tcPr>
          <w:p>
            <w:pPr>
              <w:jc w:val="center"/>
              <w:spacing w:after="0" w:line="140" w:lineRule="exact"/>
              <w:rPr>
                <w:sz w:val="20"/>
                <w:szCs w:val="20"/>
                <w:color w:val="auto"/>
              </w:rPr>
            </w:pPr>
            <w:r>
              <w:rPr>
                <w:rFonts w:ascii="Arial" w:cs="Arial" w:eastAsia="Arial" w:hAnsi="Arial"/>
                <w:sz w:val="13"/>
                <w:szCs w:val="13"/>
                <w:b w:val="1"/>
                <w:bCs w:val="1"/>
                <w:color w:val="auto"/>
                <w:w w:val="98"/>
              </w:rPr>
              <w:t>Equity Incentive</w:t>
            </w:r>
          </w:p>
        </w:tc>
      </w:tr>
      <w:tr>
        <w:trPr>
          <w:trHeight w:val="135"/>
        </w:trPr>
        <w:tc>
          <w:tcPr>
            <w:tcW w:w="780" w:type="dxa"/>
            <w:vAlign w:val="bottom"/>
            <w:tcBorders>
              <w:left w:val="single" w:sz="8" w:color="auto"/>
              <w:right w:val="single" w:sz="8" w:color="auto"/>
            </w:tcBorders>
            <w:shd w:val="clear" w:color="auto" w:fill="E5E5E5"/>
          </w:tcPr>
          <w:p>
            <w:pPr>
              <w:spacing w:after="0"/>
              <w:rPr>
                <w:sz w:val="11"/>
                <w:szCs w:val="11"/>
                <w:color w:val="auto"/>
              </w:rPr>
            </w:pPr>
          </w:p>
        </w:tc>
        <w:tc>
          <w:tcPr>
            <w:tcW w:w="1160" w:type="dxa"/>
            <w:vAlign w:val="bottom"/>
            <w:tcBorders>
              <w:right w:val="single" w:sz="8" w:color="auto"/>
            </w:tcBorders>
            <w:shd w:val="clear" w:color="auto" w:fill="E5E5E5"/>
          </w:tcPr>
          <w:p>
            <w:pPr>
              <w:spacing w:after="0"/>
              <w:rPr>
                <w:sz w:val="11"/>
                <w:szCs w:val="11"/>
                <w:color w:val="auto"/>
              </w:rPr>
            </w:pPr>
          </w:p>
        </w:tc>
        <w:tc>
          <w:tcPr>
            <w:tcW w:w="860" w:type="dxa"/>
            <w:vAlign w:val="bottom"/>
            <w:shd w:val="clear" w:color="auto" w:fill="E5E5E5"/>
          </w:tcPr>
          <w:p>
            <w:pPr>
              <w:spacing w:after="0"/>
              <w:rPr>
                <w:sz w:val="11"/>
                <w:szCs w:val="11"/>
                <w:color w:val="auto"/>
              </w:rPr>
            </w:pPr>
          </w:p>
        </w:tc>
        <w:tc>
          <w:tcPr>
            <w:tcW w:w="200" w:type="dxa"/>
            <w:vAlign w:val="bottom"/>
            <w:tcBorders>
              <w:right w:val="single" w:sz="8" w:color="auto"/>
            </w:tcBorders>
            <w:shd w:val="clear" w:color="auto" w:fill="E5E5E5"/>
          </w:tcPr>
          <w:p>
            <w:pPr>
              <w:spacing w:after="0"/>
              <w:rPr>
                <w:sz w:val="11"/>
                <w:szCs w:val="11"/>
                <w:color w:val="auto"/>
              </w:rPr>
            </w:pPr>
          </w:p>
        </w:tc>
        <w:tc>
          <w:tcPr>
            <w:tcW w:w="920" w:type="dxa"/>
            <w:vAlign w:val="bottom"/>
            <w:tcBorders>
              <w:right w:val="single" w:sz="8" w:color="auto"/>
            </w:tcBorders>
            <w:shd w:val="clear" w:color="auto" w:fill="E5E5E5"/>
          </w:tcPr>
          <w:p>
            <w:pPr>
              <w:spacing w:after="0"/>
              <w:rPr>
                <w:sz w:val="11"/>
                <w:szCs w:val="11"/>
                <w:color w:val="auto"/>
              </w:rPr>
            </w:pPr>
          </w:p>
        </w:tc>
        <w:tc>
          <w:tcPr>
            <w:tcW w:w="1020" w:type="dxa"/>
            <w:vAlign w:val="bottom"/>
            <w:tcBorders>
              <w:right w:val="single" w:sz="8" w:color="auto"/>
            </w:tcBorders>
            <w:gridSpan w:val="2"/>
            <w:shd w:val="clear" w:color="auto" w:fill="E5E5E5"/>
          </w:tcPr>
          <w:p>
            <w:pPr>
              <w:jc w:val="center"/>
              <w:spacing w:after="0" w:line="135" w:lineRule="exact"/>
              <w:rPr>
                <w:sz w:val="20"/>
                <w:szCs w:val="20"/>
                <w:color w:val="auto"/>
              </w:rPr>
            </w:pPr>
            <w:r>
              <w:rPr>
                <w:rFonts w:ascii="Arial" w:cs="Arial" w:eastAsia="Arial" w:hAnsi="Arial"/>
                <w:sz w:val="13"/>
                <w:szCs w:val="13"/>
                <w:b w:val="1"/>
                <w:bCs w:val="1"/>
                <w:color w:val="auto"/>
                <w:w w:val="98"/>
              </w:rPr>
              <w:t>Incentive Plan</w:t>
            </w:r>
          </w:p>
        </w:tc>
        <w:tc>
          <w:tcPr>
            <w:tcW w:w="1280" w:type="dxa"/>
            <w:vAlign w:val="bottom"/>
            <w:tcBorders>
              <w:right w:val="single" w:sz="8" w:color="auto"/>
            </w:tcBorders>
            <w:shd w:val="clear" w:color="auto" w:fill="E5E5E5"/>
          </w:tcPr>
          <w:p>
            <w:pPr>
              <w:jc w:val="center"/>
              <w:spacing w:after="0" w:line="135" w:lineRule="exact"/>
              <w:rPr>
                <w:sz w:val="20"/>
                <w:szCs w:val="20"/>
                <w:color w:val="auto"/>
              </w:rPr>
            </w:pPr>
            <w:r>
              <w:rPr>
                <w:rFonts w:ascii="Arial" w:cs="Arial" w:eastAsia="Arial" w:hAnsi="Arial"/>
                <w:sz w:val="13"/>
                <w:szCs w:val="13"/>
                <w:b w:val="1"/>
                <w:bCs w:val="1"/>
                <w:color w:val="auto"/>
                <w:w w:val="94"/>
              </w:rPr>
              <w:t>Plan Awards:</w:t>
            </w:r>
          </w:p>
        </w:tc>
      </w:tr>
      <w:tr>
        <w:trPr>
          <w:trHeight w:val="135"/>
        </w:trPr>
        <w:tc>
          <w:tcPr>
            <w:tcW w:w="780" w:type="dxa"/>
            <w:vAlign w:val="bottom"/>
            <w:tcBorders>
              <w:left w:val="single" w:sz="8" w:color="auto"/>
              <w:right w:val="single" w:sz="8" w:color="auto"/>
            </w:tcBorders>
            <w:shd w:val="clear" w:color="auto" w:fill="E5E5E5"/>
          </w:tcPr>
          <w:p>
            <w:pPr>
              <w:spacing w:after="0"/>
              <w:rPr>
                <w:sz w:val="11"/>
                <w:szCs w:val="11"/>
                <w:color w:val="auto"/>
              </w:rPr>
            </w:pPr>
          </w:p>
        </w:tc>
        <w:tc>
          <w:tcPr>
            <w:tcW w:w="1160" w:type="dxa"/>
            <w:vAlign w:val="bottom"/>
            <w:tcBorders>
              <w:right w:val="single" w:sz="8" w:color="auto"/>
            </w:tcBorders>
            <w:shd w:val="clear" w:color="auto" w:fill="E5E5E5"/>
          </w:tcPr>
          <w:p>
            <w:pPr>
              <w:spacing w:after="0"/>
              <w:rPr>
                <w:sz w:val="11"/>
                <w:szCs w:val="11"/>
                <w:color w:val="auto"/>
              </w:rPr>
            </w:pPr>
          </w:p>
        </w:tc>
        <w:tc>
          <w:tcPr>
            <w:tcW w:w="860" w:type="dxa"/>
            <w:vAlign w:val="bottom"/>
            <w:shd w:val="clear" w:color="auto" w:fill="E5E5E5"/>
          </w:tcPr>
          <w:p>
            <w:pPr>
              <w:spacing w:after="0"/>
              <w:rPr>
                <w:sz w:val="11"/>
                <w:szCs w:val="11"/>
                <w:color w:val="auto"/>
              </w:rPr>
            </w:pPr>
          </w:p>
        </w:tc>
        <w:tc>
          <w:tcPr>
            <w:tcW w:w="200" w:type="dxa"/>
            <w:vAlign w:val="bottom"/>
            <w:tcBorders>
              <w:right w:val="single" w:sz="8" w:color="auto"/>
            </w:tcBorders>
            <w:shd w:val="clear" w:color="auto" w:fill="E5E5E5"/>
          </w:tcPr>
          <w:p>
            <w:pPr>
              <w:spacing w:after="0"/>
              <w:rPr>
                <w:sz w:val="11"/>
                <w:szCs w:val="11"/>
                <w:color w:val="auto"/>
              </w:rPr>
            </w:pPr>
          </w:p>
        </w:tc>
        <w:tc>
          <w:tcPr>
            <w:tcW w:w="920" w:type="dxa"/>
            <w:vAlign w:val="bottom"/>
            <w:tcBorders>
              <w:right w:val="single" w:sz="8" w:color="auto"/>
            </w:tcBorders>
            <w:shd w:val="clear" w:color="auto" w:fill="E5E5E5"/>
          </w:tcPr>
          <w:p>
            <w:pPr>
              <w:jc w:val="center"/>
              <w:spacing w:after="0" w:line="135" w:lineRule="exact"/>
              <w:rPr>
                <w:sz w:val="20"/>
                <w:szCs w:val="20"/>
                <w:color w:val="auto"/>
              </w:rPr>
            </w:pPr>
            <w:r>
              <w:rPr>
                <w:rFonts w:ascii="Arial" w:cs="Arial" w:eastAsia="Arial" w:hAnsi="Arial"/>
                <w:sz w:val="13"/>
                <w:szCs w:val="13"/>
                <w:b w:val="1"/>
                <w:bCs w:val="1"/>
                <w:color w:val="auto"/>
              </w:rPr>
              <w:t>Market</w:t>
            </w:r>
          </w:p>
        </w:tc>
        <w:tc>
          <w:tcPr>
            <w:tcW w:w="800" w:type="dxa"/>
            <w:vAlign w:val="bottom"/>
            <w:shd w:val="clear" w:color="auto" w:fill="E5E5E5"/>
          </w:tcPr>
          <w:p>
            <w:pPr>
              <w:jc w:val="center"/>
              <w:ind w:left="157"/>
              <w:spacing w:after="0" w:line="135" w:lineRule="exact"/>
              <w:rPr>
                <w:sz w:val="20"/>
                <w:szCs w:val="20"/>
                <w:color w:val="auto"/>
              </w:rPr>
            </w:pPr>
            <w:r>
              <w:rPr>
                <w:rFonts w:ascii="Arial" w:cs="Arial" w:eastAsia="Arial" w:hAnsi="Arial"/>
                <w:sz w:val="13"/>
                <w:szCs w:val="13"/>
                <w:b w:val="1"/>
                <w:bCs w:val="1"/>
                <w:color w:val="auto"/>
                <w:w w:val="97"/>
              </w:rPr>
              <w:t>Awards:</w:t>
            </w:r>
          </w:p>
        </w:tc>
        <w:tc>
          <w:tcPr>
            <w:tcW w:w="220" w:type="dxa"/>
            <w:vAlign w:val="bottom"/>
            <w:tcBorders>
              <w:right w:val="single" w:sz="8" w:color="auto"/>
            </w:tcBorders>
            <w:shd w:val="clear" w:color="auto" w:fill="E5E5E5"/>
          </w:tcPr>
          <w:p>
            <w:pPr>
              <w:spacing w:after="0"/>
              <w:rPr>
                <w:sz w:val="11"/>
                <w:szCs w:val="11"/>
                <w:color w:val="auto"/>
              </w:rPr>
            </w:pPr>
          </w:p>
        </w:tc>
        <w:tc>
          <w:tcPr>
            <w:tcW w:w="1280" w:type="dxa"/>
            <w:vAlign w:val="bottom"/>
            <w:tcBorders>
              <w:right w:val="single" w:sz="8" w:color="auto"/>
            </w:tcBorders>
            <w:shd w:val="clear" w:color="auto" w:fill="E5E5E5"/>
          </w:tcPr>
          <w:p>
            <w:pPr>
              <w:jc w:val="center"/>
              <w:spacing w:after="0" w:line="135" w:lineRule="exact"/>
              <w:rPr>
                <w:sz w:val="20"/>
                <w:szCs w:val="20"/>
                <w:color w:val="auto"/>
              </w:rPr>
            </w:pPr>
            <w:r>
              <w:rPr>
                <w:rFonts w:ascii="Arial" w:cs="Arial" w:eastAsia="Arial" w:hAnsi="Arial"/>
                <w:sz w:val="13"/>
                <w:szCs w:val="13"/>
                <w:b w:val="1"/>
                <w:bCs w:val="1"/>
                <w:color w:val="auto"/>
                <w:w w:val="99"/>
              </w:rPr>
              <w:t>Market or</w:t>
            </w:r>
          </w:p>
        </w:tc>
      </w:tr>
      <w:tr>
        <w:trPr>
          <w:trHeight w:val="135"/>
        </w:trPr>
        <w:tc>
          <w:tcPr>
            <w:tcW w:w="780" w:type="dxa"/>
            <w:vAlign w:val="bottom"/>
            <w:tcBorders>
              <w:left w:val="single" w:sz="8" w:color="auto"/>
              <w:right w:val="single" w:sz="8" w:color="auto"/>
            </w:tcBorders>
            <w:shd w:val="clear" w:color="auto" w:fill="E5E5E5"/>
          </w:tcPr>
          <w:p>
            <w:pPr>
              <w:spacing w:after="0"/>
              <w:rPr>
                <w:sz w:val="11"/>
                <w:szCs w:val="11"/>
                <w:color w:val="auto"/>
              </w:rPr>
            </w:pPr>
          </w:p>
        </w:tc>
        <w:tc>
          <w:tcPr>
            <w:tcW w:w="1160" w:type="dxa"/>
            <w:vAlign w:val="bottom"/>
            <w:tcBorders>
              <w:right w:val="single" w:sz="8" w:color="auto"/>
            </w:tcBorders>
            <w:shd w:val="clear" w:color="auto" w:fill="E5E5E5"/>
          </w:tcPr>
          <w:p>
            <w:pPr>
              <w:spacing w:after="0"/>
              <w:rPr>
                <w:sz w:val="11"/>
                <w:szCs w:val="11"/>
                <w:color w:val="auto"/>
              </w:rPr>
            </w:pPr>
          </w:p>
        </w:tc>
        <w:tc>
          <w:tcPr>
            <w:tcW w:w="860" w:type="dxa"/>
            <w:vAlign w:val="bottom"/>
            <w:shd w:val="clear" w:color="auto" w:fill="E5E5E5"/>
          </w:tcPr>
          <w:p>
            <w:pPr>
              <w:spacing w:after="0"/>
              <w:rPr>
                <w:sz w:val="11"/>
                <w:szCs w:val="11"/>
                <w:color w:val="auto"/>
              </w:rPr>
            </w:pPr>
          </w:p>
        </w:tc>
        <w:tc>
          <w:tcPr>
            <w:tcW w:w="200" w:type="dxa"/>
            <w:vAlign w:val="bottom"/>
            <w:tcBorders>
              <w:right w:val="single" w:sz="8" w:color="auto"/>
            </w:tcBorders>
            <w:shd w:val="clear" w:color="auto" w:fill="E5E5E5"/>
          </w:tcPr>
          <w:p>
            <w:pPr>
              <w:spacing w:after="0"/>
              <w:rPr>
                <w:sz w:val="11"/>
                <w:szCs w:val="11"/>
                <w:color w:val="auto"/>
              </w:rPr>
            </w:pPr>
          </w:p>
        </w:tc>
        <w:tc>
          <w:tcPr>
            <w:tcW w:w="920" w:type="dxa"/>
            <w:vAlign w:val="bottom"/>
            <w:tcBorders>
              <w:right w:val="single" w:sz="8" w:color="auto"/>
            </w:tcBorders>
            <w:shd w:val="clear" w:color="auto" w:fill="E5E5E5"/>
          </w:tcPr>
          <w:p>
            <w:pPr>
              <w:jc w:val="center"/>
              <w:ind w:right="17"/>
              <w:spacing w:after="0" w:line="135" w:lineRule="exact"/>
              <w:rPr>
                <w:sz w:val="20"/>
                <w:szCs w:val="20"/>
                <w:color w:val="auto"/>
              </w:rPr>
            </w:pPr>
            <w:r>
              <w:rPr>
                <w:rFonts w:ascii="Arial" w:cs="Arial" w:eastAsia="Arial" w:hAnsi="Arial"/>
                <w:sz w:val="13"/>
                <w:szCs w:val="13"/>
                <w:b w:val="1"/>
                <w:bCs w:val="1"/>
                <w:color w:val="auto"/>
                <w:w w:val="94"/>
              </w:rPr>
              <w:t>Value of</w:t>
            </w:r>
          </w:p>
        </w:tc>
        <w:tc>
          <w:tcPr>
            <w:tcW w:w="1020" w:type="dxa"/>
            <w:vAlign w:val="bottom"/>
            <w:tcBorders>
              <w:right w:val="single" w:sz="8" w:color="auto"/>
            </w:tcBorders>
            <w:gridSpan w:val="2"/>
            <w:shd w:val="clear" w:color="auto" w:fill="E5E5E5"/>
          </w:tcPr>
          <w:p>
            <w:pPr>
              <w:jc w:val="center"/>
              <w:spacing w:after="0" w:line="135" w:lineRule="exact"/>
              <w:rPr>
                <w:sz w:val="20"/>
                <w:szCs w:val="20"/>
                <w:color w:val="auto"/>
              </w:rPr>
            </w:pPr>
            <w:r>
              <w:rPr>
                <w:rFonts w:ascii="Arial" w:cs="Arial" w:eastAsia="Arial" w:hAnsi="Arial"/>
                <w:sz w:val="13"/>
                <w:szCs w:val="13"/>
                <w:b w:val="1"/>
                <w:bCs w:val="1"/>
                <w:color w:val="auto"/>
                <w:w w:val="95"/>
              </w:rPr>
              <w:t>Number of</w:t>
            </w:r>
          </w:p>
        </w:tc>
        <w:tc>
          <w:tcPr>
            <w:tcW w:w="1280" w:type="dxa"/>
            <w:vAlign w:val="bottom"/>
            <w:tcBorders>
              <w:right w:val="single" w:sz="8" w:color="auto"/>
            </w:tcBorders>
            <w:shd w:val="clear" w:color="auto" w:fill="E5E5E5"/>
          </w:tcPr>
          <w:p>
            <w:pPr>
              <w:jc w:val="center"/>
              <w:spacing w:after="0" w:line="135" w:lineRule="exact"/>
              <w:rPr>
                <w:sz w:val="20"/>
                <w:szCs w:val="20"/>
                <w:color w:val="auto"/>
              </w:rPr>
            </w:pPr>
            <w:r>
              <w:rPr>
                <w:rFonts w:ascii="Arial" w:cs="Arial" w:eastAsia="Arial" w:hAnsi="Arial"/>
                <w:sz w:val="13"/>
                <w:szCs w:val="13"/>
                <w:b w:val="1"/>
                <w:bCs w:val="1"/>
                <w:color w:val="auto"/>
                <w:w w:val="96"/>
              </w:rPr>
              <w:t>Payout Value of</w:t>
            </w:r>
          </w:p>
        </w:tc>
      </w:tr>
      <w:tr>
        <w:trPr>
          <w:trHeight w:val="135"/>
        </w:trPr>
        <w:tc>
          <w:tcPr>
            <w:tcW w:w="780" w:type="dxa"/>
            <w:vAlign w:val="bottom"/>
            <w:tcBorders>
              <w:left w:val="single" w:sz="8" w:color="auto"/>
              <w:right w:val="single" w:sz="8" w:color="auto"/>
            </w:tcBorders>
            <w:shd w:val="clear" w:color="auto" w:fill="E5E5E5"/>
          </w:tcPr>
          <w:p>
            <w:pPr>
              <w:spacing w:after="0"/>
              <w:rPr>
                <w:sz w:val="11"/>
                <w:szCs w:val="11"/>
                <w:color w:val="auto"/>
              </w:rPr>
            </w:pPr>
          </w:p>
        </w:tc>
        <w:tc>
          <w:tcPr>
            <w:tcW w:w="1160" w:type="dxa"/>
            <w:vAlign w:val="bottom"/>
            <w:tcBorders>
              <w:right w:val="single" w:sz="8" w:color="auto"/>
            </w:tcBorders>
            <w:shd w:val="clear" w:color="auto" w:fill="E5E5E5"/>
          </w:tcPr>
          <w:p>
            <w:pPr>
              <w:spacing w:after="0"/>
              <w:rPr>
                <w:sz w:val="11"/>
                <w:szCs w:val="11"/>
                <w:color w:val="auto"/>
              </w:rPr>
            </w:pPr>
          </w:p>
        </w:tc>
        <w:tc>
          <w:tcPr>
            <w:tcW w:w="860" w:type="dxa"/>
            <w:vAlign w:val="bottom"/>
            <w:shd w:val="clear" w:color="auto" w:fill="E5E5E5"/>
          </w:tcPr>
          <w:p>
            <w:pPr>
              <w:jc w:val="center"/>
              <w:ind w:left="137"/>
              <w:spacing w:after="0" w:line="135" w:lineRule="exact"/>
              <w:rPr>
                <w:sz w:val="20"/>
                <w:szCs w:val="20"/>
                <w:color w:val="auto"/>
              </w:rPr>
            </w:pPr>
            <w:r>
              <w:rPr>
                <w:rFonts w:ascii="Arial" w:cs="Arial" w:eastAsia="Arial" w:hAnsi="Arial"/>
                <w:sz w:val="13"/>
                <w:szCs w:val="13"/>
                <w:b w:val="1"/>
                <w:bCs w:val="1"/>
                <w:color w:val="auto"/>
                <w:w w:val="95"/>
              </w:rPr>
              <w:t>Number of</w:t>
            </w:r>
          </w:p>
        </w:tc>
        <w:tc>
          <w:tcPr>
            <w:tcW w:w="200" w:type="dxa"/>
            <w:vAlign w:val="bottom"/>
            <w:tcBorders>
              <w:right w:val="single" w:sz="8" w:color="auto"/>
            </w:tcBorders>
            <w:shd w:val="clear" w:color="auto" w:fill="E5E5E5"/>
          </w:tcPr>
          <w:p>
            <w:pPr>
              <w:spacing w:after="0"/>
              <w:rPr>
                <w:sz w:val="11"/>
                <w:szCs w:val="11"/>
                <w:color w:val="auto"/>
              </w:rPr>
            </w:pPr>
          </w:p>
        </w:tc>
        <w:tc>
          <w:tcPr>
            <w:tcW w:w="920" w:type="dxa"/>
            <w:vAlign w:val="bottom"/>
            <w:tcBorders>
              <w:right w:val="single" w:sz="8" w:color="auto"/>
            </w:tcBorders>
            <w:shd w:val="clear" w:color="auto" w:fill="E5E5E5"/>
          </w:tcPr>
          <w:p>
            <w:pPr>
              <w:jc w:val="center"/>
              <w:spacing w:after="0" w:line="135" w:lineRule="exact"/>
              <w:rPr>
                <w:sz w:val="20"/>
                <w:szCs w:val="20"/>
                <w:color w:val="auto"/>
              </w:rPr>
            </w:pPr>
            <w:r>
              <w:rPr>
                <w:rFonts w:ascii="Arial" w:cs="Arial" w:eastAsia="Arial" w:hAnsi="Arial"/>
                <w:sz w:val="13"/>
                <w:szCs w:val="13"/>
                <w:b w:val="1"/>
                <w:bCs w:val="1"/>
                <w:color w:val="auto"/>
                <w:w w:val="96"/>
              </w:rPr>
              <w:t>Shares or</w:t>
            </w:r>
          </w:p>
        </w:tc>
        <w:tc>
          <w:tcPr>
            <w:tcW w:w="1020" w:type="dxa"/>
            <w:vAlign w:val="bottom"/>
            <w:tcBorders>
              <w:right w:val="single" w:sz="8" w:color="auto"/>
            </w:tcBorders>
            <w:gridSpan w:val="2"/>
            <w:shd w:val="clear" w:color="auto" w:fill="E5E5E5"/>
          </w:tcPr>
          <w:p>
            <w:pPr>
              <w:jc w:val="center"/>
              <w:spacing w:after="0" w:line="135" w:lineRule="exact"/>
              <w:rPr>
                <w:sz w:val="20"/>
                <w:szCs w:val="20"/>
                <w:color w:val="auto"/>
              </w:rPr>
            </w:pPr>
            <w:r>
              <w:rPr>
                <w:rFonts w:ascii="Arial" w:cs="Arial" w:eastAsia="Arial" w:hAnsi="Arial"/>
                <w:sz w:val="13"/>
                <w:szCs w:val="13"/>
                <w:b w:val="1"/>
                <w:bCs w:val="1"/>
                <w:color w:val="auto"/>
                <w:w w:val="96"/>
              </w:rPr>
              <w:t>Unearned</w:t>
            </w:r>
          </w:p>
        </w:tc>
        <w:tc>
          <w:tcPr>
            <w:tcW w:w="1280" w:type="dxa"/>
            <w:vAlign w:val="bottom"/>
            <w:tcBorders>
              <w:right w:val="single" w:sz="8" w:color="auto"/>
            </w:tcBorders>
            <w:shd w:val="clear" w:color="auto" w:fill="E5E5E5"/>
          </w:tcPr>
          <w:p>
            <w:pPr>
              <w:jc w:val="center"/>
              <w:spacing w:after="0" w:line="135" w:lineRule="exact"/>
              <w:rPr>
                <w:sz w:val="20"/>
                <w:szCs w:val="20"/>
                <w:color w:val="auto"/>
              </w:rPr>
            </w:pPr>
            <w:r>
              <w:rPr>
                <w:rFonts w:ascii="Arial" w:cs="Arial" w:eastAsia="Arial" w:hAnsi="Arial"/>
                <w:sz w:val="13"/>
                <w:szCs w:val="13"/>
                <w:b w:val="1"/>
                <w:bCs w:val="1"/>
                <w:color w:val="auto"/>
                <w:w w:val="96"/>
              </w:rPr>
              <w:t>Unearned</w:t>
            </w:r>
          </w:p>
        </w:tc>
      </w:tr>
      <w:tr>
        <w:trPr>
          <w:trHeight w:val="135"/>
        </w:trPr>
        <w:tc>
          <w:tcPr>
            <w:tcW w:w="780" w:type="dxa"/>
            <w:vAlign w:val="bottom"/>
            <w:tcBorders>
              <w:left w:val="single" w:sz="8" w:color="auto"/>
              <w:right w:val="single" w:sz="8" w:color="auto"/>
            </w:tcBorders>
            <w:shd w:val="clear" w:color="auto" w:fill="E5E5E5"/>
          </w:tcPr>
          <w:p>
            <w:pPr>
              <w:spacing w:after="0"/>
              <w:rPr>
                <w:sz w:val="11"/>
                <w:szCs w:val="11"/>
                <w:color w:val="auto"/>
              </w:rPr>
            </w:pPr>
          </w:p>
        </w:tc>
        <w:tc>
          <w:tcPr>
            <w:tcW w:w="1160" w:type="dxa"/>
            <w:vAlign w:val="bottom"/>
            <w:tcBorders>
              <w:right w:val="single" w:sz="8" w:color="auto"/>
            </w:tcBorders>
            <w:shd w:val="clear" w:color="auto" w:fill="E5E5E5"/>
          </w:tcPr>
          <w:p>
            <w:pPr>
              <w:spacing w:after="0"/>
              <w:rPr>
                <w:sz w:val="11"/>
                <w:szCs w:val="11"/>
                <w:color w:val="auto"/>
              </w:rPr>
            </w:pPr>
          </w:p>
        </w:tc>
        <w:tc>
          <w:tcPr>
            <w:tcW w:w="860" w:type="dxa"/>
            <w:vAlign w:val="bottom"/>
            <w:shd w:val="clear" w:color="auto" w:fill="E5E5E5"/>
          </w:tcPr>
          <w:p>
            <w:pPr>
              <w:jc w:val="center"/>
              <w:ind w:left="97"/>
              <w:spacing w:after="0" w:line="135" w:lineRule="exact"/>
              <w:rPr>
                <w:sz w:val="20"/>
                <w:szCs w:val="20"/>
                <w:color w:val="auto"/>
              </w:rPr>
            </w:pPr>
            <w:r>
              <w:rPr>
                <w:rFonts w:ascii="Arial" w:cs="Arial" w:eastAsia="Arial" w:hAnsi="Arial"/>
                <w:sz w:val="13"/>
                <w:szCs w:val="13"/>
                <w:b w:val="1"/>
                <w:bCs w:val="1"/>
                <w:color w:val="auto"/>
                <w:w w:val="96"/>
              </w:rPr>
              <w:t>Shares or</w:t>
            </w:r>
          </w:p>
        </w:tc>
        <w:tc>
          <w:tcPr>
            <w:tcW w:w="200" w:type="dxa"/>
            <w:vAlign w:val="bottom"/>
            <w:tcBorders>
              <w:right w:val="single" w:sz="8" w:color="auto"/>
            </w:tcBorders>
            <w:shd w:val="clear" w:color="auto" w:fill="E5E5E5"/>
          </w:tcPr>
          <w:p>
            <w:pPr>
              <w:spacing w:after="0"/>
              <w:rPr>
                <w:sz w:val="11"/>
                <w:szCs w:val="11"/>
                <w:color w:val="auto"/>
              </w:rPr>
            </w:pPr>
          </w:p>
        </w:tc>
        <w:tc>
          <w:tcPr>
            <w:tcW w:w="920" w:type="dxa"/>
            <w:vAlign w:val="bottom"/>
            <w:tcBorders>
              <w:right w:val="single" w:sz="8" w:color="auto"/>
            </w:tcBorders>
            <w:shd w:val="clear" w:color="auto" w:fill="E5E5E5"/>
          </w:tcPr>
          <w:p>
            <w:pPr>
              <w:jc w:val="center"/>
              <w:spacing w:after="0" w:line="135" w:lineRule="exact"/>
              <w:rPr>
                <w:sz w:val="20"/>
                <w:szCs w:val="20"/>
                <w:color w:val="auto"/>
              </w:rPr>
            </w:pPr>
            <w:r>
              <w:rPr>
                <w:rFonts w:ascii="Arial" w:cs="Arial" w:eastAsia="Arial" w:hAnsi="Arial"/>
                <w:sz w:val="13"/>
                <w:szCs w:val="13"/>
                <w:b w:val="1"/>
                <w:bCs w:val="1"/>
                <w:color w:val="auto"/>
                <w:w w:val="94"/>
              </w:rPr>
              <w:t>Units of</w:t>
            </w:r>
          </w:p>
        </w:tc>
        <w:tc>
          <w:tcPr>
            <w:tcW w:w="1020" w:type="dxa"/>
            <w:vAlign w:val="bottom"/>
            <w:tcBorders>
              <w:right w:val="single" w:sz="8" w:color="auto"/>
            </w:tcBorders>
            <w:gridSpan w:val="2"/>
            <w:shd w:val="clear" w:color="auto" w:fill="E5E5E5"/>
          </w:tcPr>
          <w:p>
            <w:pPr>
              <w:jc w:val="center"/>
              <w:spacing w:after="0" w:line="135" w:lineRule="exact"/>
              <w:rPr>
                <w:sz w:val="20"/>
                <w:szCs w:val="20"/>
                <w:color w:val="auto"/>
              </w:rPr>
            </w:pPr>
            <w:r>
              <w:rPr>
                <w:rFonts w:ascii="Arial" w:cs="Arial" w:eastAsia="Arial" w:hAnsi="Arial"/>
                <w:sz w:val="13"/>
                <w:szCs w:val="13"/>
                <w:b w:val="1"/>
                <w:bCs w:val="1"/>
                <w:color w:val="auto"/>
                <w:w w:val="96"/>
              </w:rPr>
              <w:t>Shares, Units,</w:t>
            </w:r>
          </w:p>
        </w:tc>
        <w:tc>
          <w:tcPr>
            <w:tcW w:w="1280" w:type="dxa"/>
            <w:vAlign w:val="bottom"/>
            <w:tcBorders>
              <w:right w:val="single" w:sz="8" w:color="auto"/>
            </w:tcBorders>
            <w:shd w:val="clear" w:color="auto" w:fill="E5E5E5"/>
          </w:tcPr>
          <w:p>
            <w:pPr>
              <w:jc w:val="center"/>
              <w:ind w:right="17"/>
              <w:spacing w:after="0" w:line="135" w:lineRule="exact"/>
              <w:rPr>
                <w:sz w:val="20"/>
                <w:szCs w:val="20"/>
                <w:color w:val="auto"/>
              </w:rPr>
            </w:pPr>
            <w:r>
              <w:rPr>
                <w:rFonts w:ascii="Arial" w:cs="Arial" w:eastAsia="Arial" w:hAnsi="Arial"/>
                <w:sz w:val="13"/>
                <w:szCs w:val="13"/>
                <w:b w:val="1"/>
                <w:bCs w:val="1"/>
                <w:color w:val="auto"/>
                <w:w w:val="96"/>
              </w:rPr>
              <w:t>Shares, Units,</w:t>
            </w:r>
          </w:p>
        </w:tc>
      </w:tr>
      <w:tr>
        <w:trPr>
          <w:trHeight w:val="135"/>
        </w:trPr>
        <w:tc>
          <w:tcPr>
            <w:tcW w:w="780" w:type="dxa"/>
            <w:vAlign w:val="bottom"/>
            <w:tcBorders>
              <w:left w:val="single" w:sz="8" w:color="auto"/>
              <w:right w:val="single" w:sz="8" w:color="auto"/>
            </w:tcBorders>
            <w:shd w:val="clear" w:color="auto" w:fill="E5E5E5"/>
          </w:tcPr>
          <w:p>
            <w:pPr>
              <w:spacing w:after="0"/>
              <w:rPr>
                <w:sz w:val="11"/>
                <w:szCs w:val="11"/>
                <w:color w:val="auto"/>
              </w:rPr>
            </w:pPr>
          </w:p>
        </w:tc>
        <w:tc>
          <w:tcPr>
            <w:tcW w:w="1160" w:type="dxa"/>
            <w:vAlign w:val="bottom"/>
            <w:tcBorders>
              <w:right w:val="single" w:sz="8" w:color="auto"/>
            </w:tcBorders>
            <w:shd w:val="clear" w:color="auto" w:fill="E5E5E5"/>
          </w:tcPr>
          <w:p>
            <w:pPr>
              <w:spacing w:after="0"/>
              <w:rPr>
                <w:sz w:val="11"/>
                <w:szCs w:val="11"/>
                <w:color w:val="auto"/>
              </w:rPr>
            </w:pPr>
          </w:p>
        </w:tc>
        <w:tc>
          <w:tcPr>
            <w:tcW w:w="1060" w:type="dxa"/>
            <w:vAlign w:val="bottom"/>
            <w:tcBorders>
              <w:right w:val="single" w:sz="8" w:color="auto"/>
            </w:tcBorders>
            <w:gridSpan w:val="2"/>
            <w:shd w:val="clear" w:color="auto" w:fill="E5E5E5"/>
          </w:tcPr>
          <w:p>
            <w:pPr>
              <w:jc w:val="center"/>
              <w:spacing w:after="0" w:line="135" w:lineRule="exact"/>
              <w:rPr>
                <w:sz w:val="20"/>
                <w:szCs w:val="20"/>
                <w:color w:val="auto"/>
              </w:rPr>
            </w:pPr>
            <w:r>
              <w:rPr>
                <w:rFonts w:ascii="Arial" w:cs="Arial" w:eastAsia="Arial" w:hAnsi="Arial"/>
                <w:sz w:val="13"/>
                <w:szCs w:val="13"/>
                <w:b w:val="1"/>
                <w:bCs w:val="1"/>
                <w:color w:val="auto"/>
                <w:w w:val="96"/>
              </w:rPr>
              <w:t>Units of Stock</w:t>
            </w:r>
          </w:p>
        </w:tc>
        <w:tc>
          <w:tcPr>
            <w:tcW w:w="920" w:type="dxa"/>
            <w:vAlign w:val="bottom"/>
            <w:tcBorders>
              <w:right w:val="single" w:sz="8" w:color="auto"/>
            </w:tcBorders>
            <w:shd w:val="clear" w:color="auto" w:fill="E5E5E5"/>
          </w:tcPr>
          <w:p>
            <w:pPr>
              <w:jc w:val="center"/>
              <w:ind w:right="17"/>
              <w:spacing w:after="0" w:line="135" w:lineRule="exact"/>
              <w:rPr>
                <w:sz w:val="20"/>
                <w:szCs w:val="20"/>
                <w:color w:val="auto"/>
              </w:rPr>
            </w:pPr>
            <w:r>
              <w:rPr>
                <w:rFonts w:ascii="Arial" w:cs="Arial" w:eastAsia="Arial" w:hAnsi="Arial"/>
                <w:sz w:val="13"/>
                <w:szCs w:val="13"/>
                <w:b w:val="1"/>
                <w:bCs w:val="1"/>
                <w:color w:val="auto"/>
                <w:w w:val="96"/>
              </w:rPr>
              <w:t>Stock That</w:t>
            </w:r>
          </w:p>
        </w:tc>
        <w:tc>
          <w:tcPr>
            <w:tcW w:w="1020" w:type="dxa"/>
            <w:vAlign w:val="bottom"/>
            <w:tcBorders>
              <w:right w:val="single" w:sz="8" w:color="auto"/>
            </w:tcBorders>
            <w:gridSpan w:val="2"/>
            <w:shd w:val="clear" w:color="auto" w:fill="E5E5E5"/>
          </w:tcPr>
          <w:p>
            <w:pPr>
              <w:jc w:val="center"/>
              <w:spacing w:after="0" w:line="135" w:lineRule="exact"/>
              <w:rPr>
                <w:sz w:val="20"/>
                <w:szCs w:val="20"/>
                <w:color w:val="auto"/>
              </w:rPr>
            </w:pPr>
            <w:r>
              <w:rPr>
                <w:rFonts w:ascii="Arial" w:cs="Arial" w:eastAsia="Arial" w:hAnsi="Arial"/>
                <w:sz w:val="13"/>
                <w:szCs w:val="13"/>
                <w:b w:val="1"/>
                <w:bCs w:val="1"/>
                <w:color w:val="auto"/>
                <w:w w:val="98"/>
              </w:rPr>
              <w:t>or Other Rights</w:t>
            </w:r>
          </w:p>
        </w:tc>
        <w:tc>
          <w:tcPr>
            <w:tcW w:w="1280" w:type="dxa"/>
            <w:vAlign w:val="bottom"/>
            <w:tcBorders>
              <w:right w:val="single" w:sz="8" w:color="auto"/>
            </w:tcBorders>
            <w:shd w:val="clear" w:color="auto" w:fill="E5E5E5"/>
          </w:tcPr>
          <w:p>
            <w:pPr>
              <w:jc w:val="center"/>
              <w:ind w:right="17"/>
              <w:spacing w:after="0" w:line="135" w:lineRule="exact"/>
              <w:rPr>
                <w:sz w:val="20"/>
                <w:szCs w:val="20"/>
                <w:color w:val="auto"/>
              </w:rPr>
            </w:pPr>
            <w:r>
              <w:rPr>
                <w:rFonts w:ascii="Arial" w:cs="Arial" w:eastAsia="Arial" w:hAnsi="Arial"/>
                <w:sz w:val="13"/>
                <w:szCs w:val="13"/>
                <w:b w:val="1"/>
                <w:bCs w:val="1"/>
                <w:color w:val="auto"/>
                <w:w w:val="96"/>
              </w:rPr>
              <w:t>or Other Rights</w:t>
            </w:r>
          </w:p>
        </w:tc>
      </w:tr>
      <w:tr>
        <w:trPr>
          <w:trHeight w:val="135"/>
        </w:trPr>
        <w:tc>
          <w:tcPr>
            <w:tcW w:w="780" w:type="dxa"/>
            <w:vAlign w:val="bottom"/>
            <w:tcBorders>
              <w:left w:val="single" w:sz="8" w:color="auto"/>
              <w:right w:val="single" w:sz="8" w:color="auto"/>
            </w:tcBorders>
            <w:shd w:val="clear" w:color="auto" w:fill="E5E5E5"/>
          </w:tcPr>
          <w:p>
            <w:pPr>
              <w:spacing w:after="0"/>
              <w:rPr>
                <w:sz w:val="11"/>
                <w:szCs w:val="11"/>
                <w:color w:val="auto"/>
              </w:rPr>
            </w:pPr>
          </w:p>
        </w:tc>
        <w:tc>
          <w:tcPr>
            <w:tcW w:w="1160" w:type="dxa"/>
            <w:vAlign w:val="bottom"/>
            <w:tcBorders>
              <w:right w:val="single" w:sz="8" w:color="auto"/>
            </w:tcBorders>
            <w:shd w:val="clear" w:color="auto" w:fill="E5E5E5"/>
          </w:tcPr>
          <w:p>
            <w:pPr>
              <w:spacing w:after="0"/>
              <w:rPr>
                <w:sz w:val="11"/>
                <w:szCs w:val="11"/>
                <w:color w:val="auto"/>
              </w:rPr>
            </w:pPr>
          </w:p>
        </w:tc>
        <w:tc>
          <w:tcPr>
            <w:tcW w:w="1060" w:type="dxa"/>
            <w:vAlign w:val="bottom"/>
            <w:tcBorders>
              <w:right w:val="single" w:sz="8" w:color="auto"/>
            </w:tcBorders>
            <w:gridSpan w:val="2"/>
            <w:shd w:val="clear" w:color="auto" w:fill="E5E5E5"/>
          </w:tcPr>
          <w:p>
            <w:pPr>
              <w:jc w:val="center"/>
              <w:spacing w:after="0" w:line="135" w:lineRule="exact"/>
              <w:rPr>
                <w:sz w:val="20"/>
                <w:szCs w:val="20"/>
                <w:color w:val="auto"/>
              </w:rPr>
            </w:pPr>
            <w:r>
              <w:rPr>
                <w:rFonts w:ascii="Arial" w:cs="Arial" w:eastAsia="Arial" w:hAnsi="Arial"/>
                <w:sz w:val="13"/>
                <w:szCs w:val="13"/>
                <w:b w:val="1"/>
                <w:bCs w:val="1"/>
                <w:color w:val="auto"/>
                <w:w w:val="96"/>
              </w:rPr>
              <w:t>That Have Not</w:t>
            </w:r>
          </w:p>
        </w:tc>
        <w:tc>
          <w:tcPr>
            <w:tcW w:w="920" w:type="dxa"/>
            <w:vAlign w:val="bottom"/>
            <w:tcBorders>
              <w:right w:val="single" w:sz="8" w:color="auto"/>
            </w:tcBorders>
            <w:shd w:val="clear" w:color="auto" w:fill="E5E5E5"/>
          </w:tcPr>
          <w:p>
            <w:pPr>
              <w:jc w:val="center"/>
              <w:spacing w:after="0" w:line="135" w:lineRule="exact"/>
              <w:rPr>
                <w:sz w:val="20"/>
                <w:szCs w:val="20"/>
                <w:color w:val="auto"/>
              </w:rPr>
            </w:pPr>
            <w:r>
              <w:rPr>
                <w:rFonts w:ascii="Arial" w:cs="Arial" w:eastAsia="Arial" w:hAnsi="Arial"/>
                <w:sz w:val="13"/>
                <w:szCs w:val="13"/>
                <w:b w:val="1"/>
                <w:bCs w:val="1"/>
                <w:color w:val="auto"/>
                <w:w w:val="95"/>
              </w:rPr>
              <w:t>Have Not</w:t>
            </w:r>
          </w:p>
        </w:tc>
        <w:tc>
          <w:tcPr>
            <w:tcW w:w="1020" w:type="dxa"/>
            <w:vAlign w:val="bottom"/>
            <w:tcBorders>
              <w:right w:val="single" w:sz="8" w:color="auto"/>
            </w:tcBorders>
            <w:gridSpan w:val="2"/>
            <w:shd w:val="clear" w:color="auto" w:fill="E5E5E5"/>
          </w:tcPr>
          <w:p>
            <w:pPr>
              <w:jc w:val="center"/>
              <w:spacing w:after="0" w:line="135" w:lineRule="exact"/>
              <w:rPr>
                <w:sz w:val="20"/>
                <w:szCs w:val="20"/>
                <w:color w:val="auto"/>
              </w:rPr>
            </w:pPr>
            <w:r>
              <w:rPr>
                <w:rFonts w:ascii="Arial" w:cs="Arial" w:eastAsia="Arial" w:hAnsi="Arial"/>
                <w:sz w:val="13"/>
                <w:szCs w:val="13"/>
                <w:b w:val="1"/>
                <w:bCs w:val="1"/>
                <w:color w:val="auto"/>
                <w:w w:val="98"/>
              </w:rPr>
              <w:t>That Have Not</w:t>
            </w:r>
          </w:p>
        </w:tc>
        <w:tc>
          <w:tcPr>
            <w:tcW w:w="1280" w:type="dxa"/>
            <w:vAlign w:val="bottom"/>
            <w:tcBorders>
              <w:right w:val="single" w:sz="8" w:color="auto"/>
            </w:tcBorders>
            <w:shd w:val="clear" w:color="auto" w:fill="E5E5E5"/>
          </w:tcPr>
          <w:p>
            <w:pPr>
              <w:jc w:val="center"/>
              <w:spacing w:after="0" w:line="135" w:lineRule="exact"/>
              <w:rPr>
                <w:sz w:val="20"/>
                <w:szCs w:val="20"/>
                <w:color w:val="auto"/>
              </w:rPr>
            </w:pPr>
            <w:r>
              <w:rPr>
                <w:rFonts w:ascii="Arial" w:cs="Arial" w:eastAsia="Arial" w:hAnsi="Arial"/>
                <w:sz w:val="13"/>
                <w:szCs w:val="13"/>
                <w:b w:val="1"/>
                <w:bCs w:val="1"/>
                <w:color w:val="auto"/>
                <w:w w:val="98"/>
              </w:rPr>
              <w:t>That Have Not</w:t>
            </w:r>
          </w:p>
        </w:tc>
      </w:tr>
      <w:tr>
        <w:trPr>
          <w:trHeight w:val="178"/>
        </w:trPr>
        <w:tc>
          <w:tcPr>
            <w:tcW w:w="780" w:type="dxa"/>
            <w:vAlign w:val="bottom"/>
            <w:tcBorders>
              <w:left w:val="single" w:sz="8" w:color="auto"/>
              <w:bottom w:val="single" w:sz="8" w:color="auto"/>
              <w:right w:val="single" w:sz="8" w:color="auto"/>
            </w:tcBorders>
            <w:shd w:val="clear" w:color="auto" w:fill="E5E5E5"/>
          </w:tcPr>
          <w:p>
            <w:pPr>
              <w:ind w:left="40"/>
              <w:spacing w:after="0"/>
              <w:rPr>
                <w:sz w:val="20"/>
                <w:szCs w:val="20"/>
                <w:color w:val="auto"/>
              </w:rPr>
            </w:pPr>
            <w:r>
              <w:rPr>
                <w:rFonts w:ascii="Arial" w:cs="Arial" w:eastAsia="Arial" w:hAnsi="Arial"/>
                <w:sz w:val="13"/>
                <w:szCs w:val="13"/>
                <w:b w:val="1"/>
                <w:bCs w:val="1"/>
                <w:color w:val="auto"/>
              </w:rPr>
              <w:t>Name</w:t>
            </w:r>
          </w:p>
        </w:tc>
        <w:tc>
          <w:tcPr>
            <w:tcW w:w="1160" w:type="dxa"/>
            <w:vAlign w:val="bottom"/>
            <w:tcBorders>
              <w:bottom w:val="single" w:sz="8" w:color="auto"/>
              <w:right w:val="single" w:sz="8" w:color="auto"/>
            </w:tcBorders>
            <w:shd w:val="clear" w:color="auto" w:fill="E5E5E5"/>
          </w:tcPr>
          <w:p>
            <w:pPr>
              <w:jc w:val="center"/>
              <w:spacing w:after="0"/>
              <w:rPr>
                <w:sz w:val="20"/>
                <w:szCs w:val="20"/>
                <w:color w:val="auto"/>
              </w:rPr>
            </w:pPr>
            <w:r>
              <w:rPr>
                <w:rFonts w:ascii="Arial" w:cs="Arial" w:eastAsia="Arial" w:hAnsi="Arial"/>
                <w:sz w:val="13"/>
                <w:szCs w:val="13"/>
                <w:b w:val="1"/>
                <w:bCs w:val="1"/>
                <w:color w:val="auto"/>
                <w:w w:val="95"/>
              </w:rPr>
              <w:t>Award</w:t>
            </w:r>
          </w:p>
        </w:tc>
        <w:tc>
          <w:tcPr>
            <w:tcW w:w="8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3"/>
                <w:szCs w:val="13"/>
                <w:b w:val="1"/>
                <w:bCs w:val="1"/>
                <w:color w:val="auto"/>
              </w:rPr>
              <w:t>Vested (#)</w:t>
            </w:r>
          </w:p>
        </w:tc>
        <w:tc>
          <w:tcPr>
            <w:tcW w:w="200" w:type="dxa"/>
            <w:vAlign w:val="bottom"/>
            <w:tcBorders>
              <w:bottom w:val="single" w:sz="8" w:color="auto"/>
              <w:right w:val="single" w:sz="8" w:color="auto"/>
            </w:tcBorders>
            <w:shd w:val="clear" w:color="auto" w:fill="E5E5E5"/>
          </w:tcPr>
          <w:p>
            <w:pPr>
              <w:spacing w:after="0"/>
              <w:rPr>
                <w:sz w:val="15"/>
                <w:szCs w:val="15"/>
                <w:color w:val="auto"/>
              </w:rPr>
            </w:pPr>
          </w:p>
        </w:tc>
        <w:tc>
          <w:tcPr>
            <w:tcW w:w="920" w:type="dxa"/>
            <w:vAlign w:val="bottom"/>
            <w:tcBorders>
              <w:bottom w:val="single" w:sz="8" w:color="auto"/>
              <w:right w:val="single" w:sz="8" w:color="auto"/>
            </w:tcBorders>
            <w:shd w:val="clear" w:color="auto" w:fill="E5E5E5"/>
          </w:tcPr>
          <w:p>
            <w:pPr>
              <w:jc w:val="center"/>
              <w:spacing w:after="0"/>
              <w:rPr>
                <w:sz w:val="20"/>
                <w:szCs w:val="20"/>
                <w:color w:val="auto"/>
              </w:rPr>
            </w:pPr>
            <w:r>
              <w:rPr>
                <w:rFonts w:ascii="Arial" w:cs="Arial" w:eastAsia="Arial" w:hAnsi="Arial"/>
                <w:sz w:val="13"/>
                <w:szCs w:val="13"/>
                <w:b w:val="1"/>
                <w:bCs w:val="1"/>
                <w:color w:val="auto"/>
                <w:w w:val="96"/>
              </w:rPr>
              <w:t>Vested ($)</w:t>
            </w:r>
          </w:p>
        </w:tc>
        <w:tc>
          <w:tcPr>
            <w:tcW w:w="1020" w:type="dxa"/>
            <w:vAlign w:val="bottom"/>
            <w:tcBorders>
              <w:bottom w:val="single" w:sz="8" w:color="auto"/>
              <w:right w:val="single" w:sz="8" w:color="auto"/>
            </w:tcBorders>
            <w:gridSpan w:val="2"/>
            <w:shd w:val="clear" w:color="auto" w:fill="E5E5E5"/>
          </w:tcPr>
          <w:p>
            <w:pPr>
              <w:jc w:val="center"/>
              <w:spacing w:after="0"/>
              <w:rPr>
                <w:sz w:val="20"/>
                <w:szCs w:val="20"/>
                <w:color w:val="auto"/>
              </w:rPr>
            </w:pPr>
            <w:r>
              <w:rPr>
                <w:rFonts w:ascii="Arial" w:cs="Arial" w:eastAsia="Arial" w:hAnsi="Arial"/>
                <w:sz w:val="13"/>
                <w:szCs w:val="13"/>
                <w:b w:val="1"/>
                <w:bCs w:val="1"/>
                <w:color w:val="auto"/>
                <w:w w:val="93"/>
              </w:rPr>
              <w:t>Vested (#)</w:t>
            </w:r>
          </w:p>
        </w:tc>
        <w:tc>
          <w:tcPr>
            <w:tcW w:w="1280" w:type="dxa"/>
            <w:vAlign w:val="bottom"/>
            <w:tcBorders>
              <w:bottom w:val="single" w:sz="8" w:color="auto"/>
              <w:right w:val="single" w:sz="8" w:color="auto"/>
            </w:tcBorders>
            <w:shd w:val="clear" w:color="auto" w:fill="E5E5E5"/>
          </w:tcPr>
          <w:p>
            <w:pPr>
              <w:jc w:val="center"/>
              <w:spacing w:after="0"/>
              <w:rPr>
                <w:sz w:val="20"/>
                <w:szCs w:val="20"/>
                <w:color w:val="auto"/>
              </w:rPr>
            </w:pPr>
            <w:r>
              <w:rPr>
                <w:rFonts w:ascii="Arial" w:cs="Arial" w:eastAsia="Arial" w:hAnsi="Arial"/>
                <w:sz w:val="13"/>
                <w:szCs w:val="13"/>
                <w:b w:val="1"/>
                <w:bCs w:val="1"/>
                <w:color w:val="auto"/>
                <w:w w:val="96"/>
              </w:rPr>
              <w:t>Vested ($)</w:t>
            </w:r>
          </w:p>
        </w:tc>
      </w:tr>
      <w:tr>
        <w:trPr>
          <w:trHeight w:val="254"/>
        </w:trPr>
        <w:tc>
          <w:tcPr>
            <w:tcW w:w="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Mr. Ricks</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2017-2019 SVA</w:t>
            </w:r>
          </w:p>
        </w:tc>
        <w:tc>
          <w:tcPr>
            <w:tcW w:w="860" w:type="dxa"/>
            <w:vAlign w:val="bottom"/>
          </w:tcPr>
          <w:p>
            <w:pPr>
              <w:spacing w:after="0"/>
              <w:rPr>
                <w:sz w:val="22"/>
                <w:szCs w:val="22"/>
                <w:color w:val="auto"/>
              </w:rPr>
            </w:pPr>
          </w:p>
        </w:tc>
        <w:tc>
          <w:tcPr>
            <w:tcW w:w="200" w:type="dxa"/>
            <w:vAlign w:val="bottom"/>
            <w:tcBorders>
              <w:right w:val="single" w:sz="8" w:color="auto"/>
            </w:tcBorders>
          </w:tcPr>
          <w:p>
            <w:pPr>
              <w:spacing w:after="0"/>
              <w:rPr>
                <w:sz w:val="22"/>
                <w:szCs w:val="22"/>
                <w:color w:val="auto"/>
              </w:rPr>
            </w:pPr>
          </w:p>
        </w:tc>
        <w:tc>
          <w:tcPr>
            <w:tcW w:w="920" w:type="dxa"/>
            <w:vAlign w:val="bottom"/>
            <w:tcBorders>
              <w:right w:val="single" w:sz="8" w:color="auto"/>
            </w:tcBorders>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140,561</w:t>
            </w:r>
          </w:p>
        </w:tc>
        <w:tc>
          <w:tcPr>
            <w:tcW w:w="220" w:type="dxa"/>
            <w:vAlign w:val="bottom"/>
            <w:tcBorders>
              <w:right w:val="single" w:sz="8" w:color="auto"/>
            </w:tcBorders>
          </w:tcPr>
          <w:p>
            <w:pPr>
              <w:jc w:val="right"/>
              <w:ind w:right="75"/>
              <w:spacing w:after="0"/>
              <w:rPr>
                <w:sz w:val="20"/>
                <w:szCs w:val="20"/>
                <w:color w:val="auto"/>
              </w:rPr>
            </w:pPr>
            <w:r>
              <w:rPr>
                <w:rFonts w:ascii="Arial" w:cs="Arial" w:eastAsia="Arial" w:hAnsi="Arial"/>
                <w:sz w:val="9"/>
                <w:szCs w:val="9"/>
                <w:color w:val="auto"/>
              </w:rPr>
              <w:t>2</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6"/>
              </w:rPr>
              <w:t>$11,871,782</w:t>
            </w:r>
          </w:p>
        </w:tc>
      </w:tr>
      <w:tr>
        <w:trPr>
          <w:trHeight w:val="270"/>
        </w:trPr>
        <w:tc>
          <w:tcPr>
            <w:tcW w:w="780" w:type="dxa"/>
            <w:vAlign w:val="bottom"/>
            <w:tcBorders>
              <w:left w:val="single" w:sz="8" w:color="auto"/>
              <w:right w:val="single" w:sz="8" w:color="auto"/>
            </w:tcBorders>
          </w:tcPr>
          <w:p>
            <w:pPr>
              <w:spacing w:after="0"/>
              <w:rPr>
                <w:sz w:val="23"/>
                <w:szCs w:val="23"/>
                <w:color w:val="auto"/>
              </w:rPr>
            </w:pP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2016-2018 SVA</w:t>
            </w:r>
          </w:p>
        </w:tc>
        <w:tc>
          <w:tcPr>
            <w:tcW w:w="860" w:type="dxa"/>
            <w:vAlign w:val="bottom"/>
          </w:tcPr>
          <w:p>
            <w:pPr>
              <w:spacing w:after="0"/>
              <w:rPr>
                <w:sz w:val="23"/>
                <w:szCs w:val="23"/>
                <w:color w:val="auto"/>
              </w:rPr>
            </w:pPr>
          </w:p>
        </w:tc>
        <w:tc>
          <w:tcPr>
            <w:tcW w:w="200" w:type="dxa"/>
            <w:vAlign w:val="bottom"/>
            <w:tcBorders>
              <w:right w:val="single" w:sz="8" w:color="auto"/>
            </w:tcBorders>
          </w:tcPr>
          <w:p>
            <w:pPr>
              <w:spacing w:after="0"/>
              <w:rPr>
                <w:sz w:val="23"/>
                <w:szCs w:val="23"/>
                <w:color w:val="auto"/>
              </w:rPr>
            </w:pPr>
          </w:p>
        </w:tc>
        <w:tc>
          <w:tcPr>
            <w:tcW w:w="920" w:type="dxa"/>
            <w:vAlign w:val="bottom"/>
            <w:tcBorders>
              <w:right w:val="single" w:sz="8" w:color="auto"/>
            </w:tcBorders>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57,797</w:t>
            </w:r>
          </w:p>
        </w:tc>
        <w:tc>
          <w:tcPr>
            <w:tcW w:w="220" w:type="dxa"/>
            <w:vAlign w:val="bottom"/>
            <w:tcBorders>
              <w:right w:val="single" w:sz="8" w:color="auto"/>
            </w:tcBorders>
          </w:tcPr>
          <w:p>
            <w:pPr>
              <w:jc w:val="right"/>
              <w:ind w:right="75"/>
              <w:spacing w:after="0"/>
              <w:rPr>
                <w:sz w:val="20"/>
                <w:szCs w:val="20"/>
                <w:color w:val="auto"/>
              </w:rPr>
            </w:pPr>
            <w:r>
              <w:rPr>
                <w:rFonts w:ascii="Arial" w:cs="Arial" w:eastAsia="Arial" w:hAnsi="Arial"/>
                <w:sz w:val="9"/>
                <w:szCs w:val="9"/>
                <w:color w:val="auto"/>
              </w:rPr>
              <w:t>3</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$4,881,535</w:t>
            </w:r>
          </w:p>
        </w:tc>
      </w:tr>
      <w:tr>
        <w:trPr>
          <w:trHeight w:val="270"/>
        </w:trPr>
        <w:tc>
          <w:tcPr>
            <w:tcW w:w="780" w:type="dxa"/>
            <w:vAlign w:val="bottom"/>
            <w:tcBorders>
              <w:left w:val="single" w:sz="8" w:color="auto"/>
              <w:right w:val="single" w:sz="8" w:color="auto"/>
            </w:tcBorders>
          </w:tcPr>
          <w:p>
            <w:pPr>
              <w:spacing w:after="0"/>
              <w:rPr>
                <w:sz w:val="23"/>
                <w:szCs w:val="23"/>
                <w:color w:val="auto"/>
              </w:rPr>
            </w:pP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6"/>
              </w:rPr>
              <w:t>2017-2019 PA</w:t>
            </w:r>
          </w:p>
        </w:tc>
        <w:tc>
          <w:tcPr>
            <w:tcW w:w="860" w:type="dxa"/>
            <w:vAlign w:val="bottom"/>
          </w:tcPr>
          <w:p>
            <w:pPr>
              <w:spacing w:after="0"/>
              <w:rPr>
                <w:sz w:val="23"/>
                <w:szCs w:val="23"/>
                <w:color w:val="auto"/>
              </w:rPr>
            </w:pPr>
          </w:p>
        </w:tc>
        <w:tc>
          <w:tcPr>
            <w:tcW w:w="200" w:type="dxa"/>
            <w:vAlign w:val="bottom"/>
            <w:tcBorders>
              <w:right w:val="single" w:sz="8" w:color="auto"/>
            </w:tcBorders>
          </w:tcPr>
          <w:p>
            <w:pPr>
              <w:spacing w:after="0"/>
              <w:rPr>
                <w:sz w:val="23"/>
                <w:szCs w:val="23"/>
                <w:color w:val="auto"/>
              </w:rPr>
            </w:pPr>
          </w:p>
        </w:tc>
        <w:tc>
          <w:tcPr>
            <w:tcW w:w="920" w:type="dxa"/>
            <w:vAlign w:val="bottom"/>
            <w:tcBorders>
              <w:right w:val="single" w:sz="8" w:color="auto"/>
            </w:tcBorders>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69,350</w:t>
            </w:r>
          </w:p>
        </w:tc>
        <w:tc>
          <w:tcPr>
            <w:tcW w:w="220" w:type="dxa"/>
            <w:vAlign w:val="bottom"/>
            <w:tcBorders>
              <w:right w:val="single" w:sz="8" w:color="auto"/>
            </w:tcBorders>
          </w:tcPr>
          <w:p>
            <w:pPr>
              <w:jc w:val="right"/>
              <w:ind w:right="75"/>
              <w:spacing w:after="0"/>
              <w:rPr>
                <w:sz w:val="20"/>
                <w:szCs w:val="20"/>
                <w:color w:val="auto"/>
              </w:rPr>
            </w:pPr>
            <w:r>
              <w:rPr>
                <w:rFonts w:ascii="Arial" w:cs="Arial" w:eastAsia="Arial" w:hAnsi="Arial"/>
                <w:sz w:val="9"/>
                <w:szCs w:val="9"/>
                <w:color w:val="auto"/>
              </w:rPr>
              <w:t>4</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$5,857,301</w:t>
            </w:r>
          </w:p>
        </w:tc>
      </w:tr>
      <w:tr>
        <w:trPr>
          <w:trHeight w:val="270"/>
        </w:trPr>
        <w:tc>
          <w:tcPr>
            <w:tcW w:w="780" w:type="dxa"/>
            <w:vAlign w:val="bottom"/>
            <w:tcBorders>
              <w:left w:val="single" w:sz="8" w:color="auto"/>
              <w:right w:val="single" w:sz="8" w:color="auto"/>
            </w:tcBorders>
          </w:tcPr>
          <w:p>
            <w:pPr>
              <w:spacing w:after="0"/>
              <w:rPr>
                <w:sz w:val="23"/>
                <w:szCs w:val="23"/>
                <w:color w:val="auto"/>
              </w:rPr>
            </w:pP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6"/>
              </w:rPr>
              <w:t>2016-2018 PA</w:t>
            </w:r>
          </w:p>
        </w:tc>
        <w:tc>
          <w:tcPr>
            <w:tcW w:w="860" w:type="dxa"/>
            <w:vAlign w:val="bottom"/>
          </w:tcPr>
          <w:p>
            <w:pPr>
              <w:jc w:val="right"/>
              <w:spacing w:after="0"/>
              <w:rPr>
                <w:sz w:val="20"/>
                <w:szCs w:val="20"/>
                <w:color w:val="auto"/>
              </w:rPr>
            </w:pPr>
            <w:r>
              <w:rPr>
                <w:rFonts w:ascii="Arial" w:cs="Arial" w:eastAsia="Arial" w:hAnsi="Arial"/>
                <w:sz w:val="13"/>
                <w:szCs w:val="13"/>
                <w:color w:val="auto"/>
              </w:rPr>
              <w:t>12,222</w:t>
            </w:r>
          </w:p>
        </w:tc>
        <w:tc>
          <w:tcPr>
            <w:tcW w:w="200" w:type="dxa"/>
            <w:vAlign w:val="bottom"/>
            <w:tcBorders>
              <w:right w:val="single" w:sz="8" w:color="auto"/>
            </w:tcBorders>
          </w:tcPr>
          <w:p>
            <w:pPr>
              <w:ind w:left="40"/>
              <w:spacing w:after="0"/>
              <w:rPr>
                <w:sz w:val="20"/>
                <w:szCs w:val="20"/>
                <w:color w:val="auto"/>
              </w:rPr>
            </w:pPr>
            <w:r>
              <w:rPr>
                <w:rFonts w:ascii="Arial" w:cs="Arial" w:eastAsia="Arial" w:hAnsi="Arial"/>
                <w:sz w:val="9"/>
                <w:szCs w:val="9"/>
                <w:color w:val="auto"/>
              </w:rPr>
              <w:t>5</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8"/>
              </w:rPr>
              <w:t>$1,032,270</w:t>
            </w:r>
          </w:p>
        </w:tc>
        <w:tc>
          <w:tcPr>
            <w:tcW w:w="800" w:type="dxa"/>
            <w:vAlign w:val="bottom"/>
          </w:tcPr>
          <w:p>
            <w:pPr>
              <w:spacing w:after="0"/>
              <w:rPr>
                <w:sz w:val="23"/>
                <w:szCs w:val="23"/>
                <w:color w:val="auto"/>
              </w:rPr>
            </w:pPr>
          </w:p>
        </w:tc>
        <w:tc>
          <w:tcPr>
            <w:tcW w:w="220" w:type="dxa"/>
            <w:vAlign w:val="bottom"/>
            <w:tcBorders>
              <w:right w:val="single" w:sz="8" w:color="auto"/>
            </w:tcBorders>
          </w:tcPr>
          <w:p>
            <w:pPr>
              <w:spacing w:after="0"/>
              <w:rPr>
                <w:sz w:val="23"/>
                <w:szCs w:val="23"/>
                <w:color w:val="auto"/>
              </w:rPr>
            </w:pPr>
          </w:p>
        </w:tc>
        <w:tc>
          <w:tcPr>
            <w:tcW w:w="1280" w:type="dxa"/>
            <w:vAlign w:val="bottom"/>
            <w:tcBorders>
              <w:right w:val="single" w:sz="8" w:color="auto"/>
            </w:tcBorders>
          </w:tcPr>
          <w:p>
            <w:pPr>
              <w:spacing w:after="0"/>
              <w:rPr>
                <w:sz w:val="23"/>
                <w:szCs w:val="23"/>
                <w:color w:val="auto"/>
              </w:rPr>
            </w:pPr>
          </w:p>
        </w:tc>
      </w:tr>
      <w:tr>
        <w:trPr>
          <w:trHeight w:val="280"/>
        </w:trPr>
        <w:tc>
          <w:tcPr>
            <w:tcW w:w="780" w:type="dxa"/>
            <w:vAlign w:val="bottom"/>
            <w:tcBorders>
              <w:left w:val="single" w:sz="8" w:color="auto"/>
              <w:bottom w:val="single" w:sz="8" w:color="auto"/>
              <w:right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6"/>
              </w:rPr>
              <w:t>2015-2017 PA</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21,326</w:t>
            </w:r>
          </w:p>
        </w:tc>
        <w:tc>
          <w:tcPr>
            <w:tcW w:w="2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9"/>
                <w:szCs w:val="9"/>
                <w:color w:val="auto"/>
              </w:rPr>
              <w:t>6</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8"/>
              </w:rPr>
              <w:t>$1,801,194</w:t>
            </w: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r>
      <w:tr>
        <w:trPr>
          <w:trHeight w:val="156"/>
        </w:trPr>
        <w:tc>
          <w:tcPr>
            <w:tcW w:w="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Mr.</w:t>
            </w:r>
          </w:p>
        </w:tc>
        <w:tc>
          <w:tcPr>
            <w:tcW w:w="1160" w:type="dxa"/>
            <w:vAlign w:val="bottom"/>
            <w:tcBorders>
              <w:right w:val="single" w:sz="8" w:color="auto"/>
            </w:tcBorders>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1280" w:type="dxa"/>
            <w:vAlign w:val="bottom"/>
            <w:tcBorders>
              <w:right w:val="single" w:sz="8" w:color="auto"/>
            </w:tcBorders>
          </w:tcPr>
          <w:p>
            <w:pPr>
              <w:spacing w:after="0"/>
              <w:rPr>
                <w:sz w:val="13"/>
                <w:szCs w:val="13"/>
                <w:color w:val="auto"/>
              </w:rPr>
            </w:pPr>
          </w:p>
        </w:tc>
      </w:tr>
      <w:tr>
        <w:trPr>
          <w:trHeight w:val="152"/>
        </w:trPr>
        <w:tc>
          <w:tcPr>
            <w:tcW w:w="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Conterno</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2017-2019 SVA</w:t>
            </w:r>
          </w:p>
        </w:tc>
        <w:tc>
          <w:tcPr>
            <w:tcW w:w="86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41,341</w:t>
            </w:r>
          </w:p>
        </w:tc>
        <w:tc>
          <w:tcPr>
            <w:tcW w:w="220" w:type="dxa"/>
            <w:vAlign w:val="bottom"/>
            <w:tcBorders>
              <w:right w:val="single" w:sz="8" w:color="auto"/>
            </w:tcBorders>
          </w:tcPr>
          <w:p>
            <w:pPr>
              <w:jc w:val="right"/>
              <w:ind w:right="75"/>
              <w:spacing w:after="0"/>
              <w:rPr>
                <w:sz w:val="20"/>
                <w:szCs w:val="20"/>
                <w:color w:val="auto"/>
              </w:rPr>
            </w:pPr>
            <w:r>
              <w:rPr>
                <w:rFonts w:ascii="Arial" w:cs="Arial" w:eastAsia="Arial" w:hAnsi="Arial"/>
                <w:sz w:val="9"/>
                <w:szCs w:val="9"/>
                <w:color w:val="auto"/>
              </w:rPr>
              <w:t>2</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$3,491,661</w:t>
            </w:r>
          </w:p>
        </w:tc>
      </w:tr>
      <w:tr>
        <w:trPr>
          <w:trHeight w:val="270"/>
        </w:trPr>
        <w:tc>
          <w:tcPr>
            <w:tcW w:w="780" w:type="dxa"/>
            <w:vAlign w:val="bottom"/>
            <w:tcBorders>
              <w:left w:val="single" w:sz="8" w:color="auto"/>
              <w:right w:val="single" w:sz="8" w:color="auto"/>
            </w:tcBorders>
          </w:tcPr>
          <w:p>
            <w:pPr>
              <w:spacing w:after="0"/>
              <w:rPr>
                <w:sz w:val="23"/>
                <w:szCs w:val="23"/>
                <w:color w:val="auto"/>
              </w:rPr>
            </w:pP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2016-2018 SVA</w:t>
            </w:r>
          </w:p>
        </w:tc>
        <w:tc>
          <w:tcPr>
            <w:tcW w:w="860" w:type="dxa"/>
            <w:vAlign w:val="bottom"/>
          </w:tcPr>
          <w:p>
            <w:pPr>
              <w:spacing w:after="0"/>
              <w:rPr>
                <w:sz w:val="23"/>
                <w:szCs w:val="23"/>
                <w:color w:val="auto"/>
              </w:rPr>
            </w:pPr>
          </w:p>
        </w:tc>
        <w:tc>
          <w:tcPr>
            <w:tcW w:w="200" w:type="dxa"/>
            <w:vAlign w:val="bottom"/>
            <w:tcBorders>
              <w:right w:val="single" w:sz="8" w:color="auto"/>
            </w:tcBorders>
          </w:tcPr>
          <w:p>
            <w:pPr>
              <w:spacing w:after="0"/>
              <w:rPr>
                <w:sz w:val="23"/>
                <w:szCs w:val="23"/>
                <w:color w:val="auto"/>
              </w:rPr>
            </w:pPr>
          </w:p>
        </w:tc>
        <w:tc>
          <w:tcPr>
            <w:tcW w:w="920" w:type="dxa"/>
            <w:vAlign w:val="bottom"/>
            <w:tcBorders>
              <w:right w:val="single" w:sz="8" w:color="auto"/>
            </w:tcBorders>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57,797</w:t>
            </w:r>
          </w:p>
        </w:tc>
        <w:tc>
          <w:tcPr>
            <w:tcW w:w="220" w:type="dxa"/>
            <w:vAlign w:val="bottom"/>
            <w:tcBorders>
              <w:right w:val="single" w:sz="8" w:color="auto"/>
            </w:tcBorders>
          </w:tcPr>
          <w:p>
            <w:pPr>
              <w:jc w:val="right"/>
              <w:ind w:right="75"/>
              <w:spacing w:after="0"/>
              <w:rPr>
                <w:sz w:val="20"/>
                <w:szCs w:val="20"/>
                <w:color w:val="auto"/>
              </w:rPr>
            </w:pPr>
            <w:r>
              <w:rPr>
                <w:rFonts w:ascii="Arial" w:cs="Arial" w:eastAsia="Arial" w:hAnsi="Arial"/>
                <w:sz w:val="9"/>
                <w:szCs w:val="9"/>
                <w:color w:val="auto"/>
              </w:rPr>
              <w:t>3</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$4,881,535</w:t>
            </w:r>
          </w:p>
        </w:tc>
      </w:tr>
      <w:tr>
        <w:trPr>
          <w:trHeight w:val="270"/>
        </w:trPr>
        <w:tc>
          <w:tcPr>
            <w:tcW w:w="780" w:type="dxa"/>
            <w:vAlign w:val="bottom"/>
            <w:tcBorders>
              <w:left w:val="single" w:sz="8" w:color="auto"/>
              <w:right w:val="single" w:sz="8" w:color="auto"/>
            </w:tcBorders>
          </w:tcPr>
          <w:p>
            <w:pPr>
              <w:spacing w:after="0"/>
              <w:rPr>
                <w:sz w:val="23"/>
                <w:szCs w:val="23"/>
                <w:color w:val="auto"/>
              </w:rPr>
            </w:pP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6"/>
              </w:rPr>
              <w:t>2017-2019 PA</w:t>
            </w:r>
          </w:p>
        </w:tc>
        <w:tc>
          <w:tcPr>
            <w:tcW w:w="860" w:type="dxa"/>
            <w:vAlign w:val="bottom"/>
          </w:tcPr>
          <w:p>
            <w:pPr>
              <w:spacing w:after="0"/>
              <w:rPr>
                <w:sz w:val="23"/>
                <w:szCs w:val="23"/>
                <w:color w:val="auto"/>
              </w:rPr>
            </w:pPr>
          </w:p>
        </w:tc>
        <w:tc>
          <w:tcPr>
            <w:tcW w:w="200" w:type="dxa"/>
            <w:vAlign w:val="bottom"/>
            <w:tcBorders>
              <w:right w:val="single" w:sz="8" w:color="auto"/>
            </w:tcBorders>
          </w:tcPr>
          <w:p>
            <w:pPr>
              <w:spacing w:after="0"/>
              <w:rPr>
                <w:sz w:val="23"/>
                <w:szCs w:val="23"/>
                <w:color w:val="auto"/>
              </w:rPr>
            </w:pPr>
          </w:p>
        </w:tc>
        <w:tc>
          <w:tcPr>
            <w:tcW w:w="920" w:type="dxa"/>
            <w:vAlign w:val="bottom"/>
            <w:tcBorders>
              <w:right w:val="single" w:sz="8" w:color="auto"/>
            </w:tcBorders>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20,397</w:t>
            </w:r>
          </w:p>
        </w:tc>
        <w:tc>
          <w:tcPr>
            <w:tcW w:w="220" w:type="dxa"/>
            <w:vAlign w:val="bottom"/>
            <w:tcBorders>
              <w:right w:val="single" w:sz="8" w:color="auto"/>
            </w:tcBorders>
          </w:tcPr>
          <w:p>
            <w:pPr>
              <w:jc w:val="right"/>
              <w:ind w:right="75"/>
              <w:spacing w:after="0"/>
              <w:rPr>
                <w:sz w:val="20"/>
                <w:szCs w:val="20"/>
                <w:color w:val="auto"/>
              </w:rPr>
            </w:pPr>
            <w:r>
              <w:rPr>
                <w:rFonts w:ascii="Arial" w:cs="Arial" w:eastAsia="Arial" w:hAnsi="Arial"/>
                <w:sz w:val="9"/>
                <w:szCs w:val="9"/>
                <w:color w:val="auto"/>
              </w:rPr>
              <w:t>4</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$1,722,731</w:t>
            </w:r>
          </w:p>
        </w:tc>
      </w:tr>
      <w:tr>
        <w:trPr>
          <w:trHeight w:val="270"/>
        </w:trPr>
        <w:tc>
          <w:tcPr>
            <w:tcW w:w="780" w:type="dxa"/>
            <w:vAlign w:val="bottom"/>
            <w:tcBorders>
              <w:left w:val="single" w:sz="8" w:color="auto"/>
              <w:right w:val="single" w:sz="8" w:color="auto"/>
            </w:tcBorders>
          </w:tcPr>
          <w:p>
            <w:pPr>
              <w:spacing w:after="0"/>
              <w:rPr>
                <w:sz w:val="23"/>
                <w:szCs w:val="23"/>
                <w:color w:val="auto"/>
              </w:rPr>
            </w:pP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6"/>
              </w:rPr>
              <w:t>2016-2018 PA</w:t>
            </w:r>
          </w:p>
        </w:tc>
        <w:tc>
          <w:tcPr>
            <w:tcW w:w="860" w:type="dxa"/>
            <w:vAlign w:val="bottom"/>
          </w:tcPr>
          <w:p>
            <w:pPr>
              <w:jc w:val="right"/>
              <w:spacing w:after="0"/>
              <w:rPr>
                <w:sz w:val="20"/>
                <w:szCs w:val="20"/>
                <w:color w:val="auto"/>
              </w:rPr>
            </w:pPr>
            <w:r>
              <w:rPr>
                <w:rFonts w:ascii="Arial" w:cs="Arial" w:eastAsia="Arial" w:hAnsi="Arial"/>
                <w:sz w:val="13"/>
                <w:szCs w:val="13"/>
                <w:color w:val="auto"/>
              </w:rPr>
              <w:t>12,222</w:t>
            </w:r>
          </w:p>
        </w:tc>
        <w:tc>
          <w:tcPr>
            <w:tcW w:w="200" w:type="dxa"/>
            <w:vAlign w:val="bottom"/>
            <w:tcBorders>
              <w:right w:val="single" w:sz="8" w:color="auto"/>
            </w:tcBorders>
          </w:tcPr>
          <w:p>
            <w:pPr>
              <w:ind w:left="40"/>
              <w:spacing w:after="0"/>
              <w:rPr>
                <w:sz w:val="20"/>
                <w:szCs w:val="20"/>
                <w:color w:val="auto"/>
              </w:rPr>
            </w:pPr>
            <w:r>
              <w:rPr>
                <w:rFonts w:ascii="Arial" w:cs="Arial" w:eastAsia="Arial" w:hAnsi="Arial"/>
                <w:sz w:val="9"/>
                <w:szCs w:val="9"/>
                <w:color w:val="auto"/>
              </w:rPr>
              <w:t>5</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8"/>
              </w:rPr>
              <w:t>$1,032,270</w:t>
            </w:r>
          </w:p>
        </w:tc>
        <w:tc>
          <w:tcPr>
            <w:tcW w:w="800" w:type="dxa"/>
            <w:vAlign w:val="bottom"/>
          </w:tcPr>
          <w:p>
            <w:pPr>
              <w:spacing w:after="0"/>
              <w:rPr>
                <w:sz w:val="23"/>
                <w:szCs w:val="23"/>
                <w:color w:val="auto"/>
              </w:rPr>
            </w:pPr>
          </w:p>
        </w:tc>
        <w:tc>
          <w:tcPr>
            <w:tcW w:w="220" w:type="dxa"/>
            <w:vAlign w:val="bottom"/>
            <w:tcBorders>
              <w:right w:val="single" w:sz="8" w:color="auto"/>
            </w:tcBorders>
          </w:tcPr>
          <w:p>
            <w:pPr>
              <w:spacing w:after="0"/>
              <w:rPr>
                <w:sz w:val="23"/>
                <w:szCs w:val="23"/>
                <w:color w:val="auto"/>
              </w:rPr>
            </w:pPr>
          </w:p>
        </w:tc>
        <w:tc>
          <w:tcPr>
            <w:tcW w:w="1280" w:type="dxa"/>
            <w:vAlign w:val="bottom"/>
            <w:tcBorders>
              <w:right w:val="single" w:sz="8" w:color="auto"/>
            </w:tcBorders>
          </w:tcPr>
          <w:p>
            <w:pPr>
              <w:spacing w:after="0"/>
              <w:rPr>
                <w:sz w:val="23"/>
                <w:szCs w:val="23"/>
                <w:color w:val="auto"/>
              </w:rPr>
            </w:pPr>
          </w:p>
        </w:tc>
      </w:tr>
      <w:tr>
        <w:trPr>
          <w:trHeight w:val="270"/>
        </w:trPr>
        <w:tc>
          <w:tcPr>
            <w:tcW w:w="780" w:type="dxa"/>
            <w:vAlign w:val="bottom"/>
            <w:tcBorders>
              <w:left w:val="single" w:sz="8" w:color="auto"/>
              <w:right w:val="single" w:sz="8" w:color="auto"/>
            </w:tcBorders>
          </w:tcPr>
          <w:p>
            <w:pPr>
              <w:spacing w:after="0"/>
              <w:rPr>
                <w:sz w:val="23"/>
                <w:szCs w:val="23"/>
                <w:color w:val="auto"/>
              </w:rPr>
            </w:pP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6"/>
              </w:rPr>
              <w:t>2015-2017 PA</w:t>
            </w:r>
          </w:p>
        </w:tc>
        <w:tc>
          <w:tcPr>
            <w:tcW w:w="860" w:type="dxa"/>
            <w:vAlign w:val="bottom"/>
          </w:tcPr>
          <w:p>
            <w:pPr>
              <w:jc w:val="right"/>
              <w:spacing w:after="0"/>
              <w:rPr>
                <w:sz w:val="20"/>
                <w:szCs w:val="20"/>
                <w:color w:val="auto"/>
              </w:rPr>
            </w:pPr>
            <w:r>
              <w:rPr>
                <w:rFonts w:ascii="Arial" w:cs="Arial" w:eastAsia="Arial" w:hAnsi="Arial"/>
                <w:sz w:val="13"/>
                <w:szCs w:val="13"/>
                <w:color w:val="auto"/>
              </w:rPr>
              <w:t>21,326</w:t>
            </w:r>
          </w:p>
        </w:tc>
        <w:tc>
          <w:tcPr>
            <w:tcW w:w="200" w:type="dxa"/>
            <w:vAlign w:val="bottom"/>
            <w:tcBorders>
              <w:right w:val="single" w:sz="8" w:color="auto"/>
            </w:tcBorders>
          </w:tcPr>
          <w:p>
            <w:pPr>
              <w:ind w:left="40"/>
              <w:spacing w:after="0"/>
              <w:rPr>
                <w:sz w:val="20"/>
                <w:szCs w:val="20"/>
                <w:color w:val="auto"/>
              </w:rPr>
            </w:pPr>
            <w:r>
              <w:rPr>
                <w:rFonts w:ascii="Arial" w:cs="Arial" w:eastAsia="Arial" w:hAnsi="Arial"/>
                <w:sz w:val="9"/>
                <w:szCs w:val="9"/>
                <w:color w:val="auto"/>
              </w:rPr>
              <w:t>6</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8"/>
              </w:rPr>
              <w:t>$1,801,194</w:t>
            </w:r>
          </w:p>
        </w:tc>
        <w:tc>
          <w:tcPr>
            <w:tcW w:w="800" w:type="dxa"/>
            <w:vAlign w:val="bottom"/>
          </w:tcPr>
          <w:p>
            <w:pPr>
              <w:spacing w:after="0"/>
              <w:rPr>
                <w:sz w:val="23"/>
                <w:szCs w:val="23"/>
                <w:color w:val="auto"/>
              </w:rPr>
            </w:pPr>
          </w:p>
        </w:tc>
        <w:tc>
          <w:tcPr>
            <w:tcW w:w="220" w:type="dxa"/>
            <w:vAlign w:val="bottom"/>
            <w:tcBorders>
              <w:right w:val="single" w:sz="8" w:color="auto"/>
            </w:tcBorders>
          </w:tcPr>
          <w:p>
            <w:pPr>
              <w:spacing w:after="0"/>
              <w:rPr>
                <w:sz w:val="23"/>
                <w:szCs w:val="23"/>
                <w:color w:val="auto"/>
              </w:rPr>
            </w:pPr>
          </w:p>
        </w:tc>
        <w:tc>
          <w:tcPr>
            <w:tcW w:w="1280" w:type="dxa"/>
            <w:vAlign w:val="bottom"/>
            <w:tcBorders>
              <w:right w:val="single" w:sz="8" w:color="auto"/>
            </w:tcBorders>
          </w:tcPr>
          <w:p>
            <w:pPr>
              <w:spacing w:after="0"/>
              <w:rPr>
                <w:sz w:val="23"/>
                <w:szCs w:val="23"/>
                <w:color w:val="auto"/>
              </w:rPr>
            </w:pPr>
          </w:p>
        </w:tc>
      </w:tr>
      <w:tr>
        <w:trPr>
          <w:trHeight w:val="270"/>
        </w:trPr>
        <w:tc>
          <w:tcPr>
            <w:tcW w:w="780" w:type="dxa"/>
            <w:vAlign w:val="bottom"/>
            <w:tcBorders>
              <w:left w:val="single" w:sz="8" w:color="auto"/>
              <w:right w:val="single" w:sz="8" w:color="auto"/>
            </w:tcBorders>
          </w:tcPr>
          <w:p>
            <w:pPr>
              <w:spacing w:after="0"/>
              <w:rPr>
                <w:sz w:val="23"/>
                <w:szCs w:val="23"/>
                <w:color w:val="auto"/>
              </w:rPr>
            </w:pP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2008 RSU Award</w:t>
            </w:r>
          </w:p>
        </w:tc>
        <w:tc>
          <w:tcPr>
            <w:tcW w:w="860" w:type="dxa"/>
            <w:vAlign w:val="bottom"/>
          </w:tcPr>
          <w:p>
            <w:pPr>
              <w:jc w:val="right"/>
              <w:spacing w:after="0"/>
              <w:rPr>
                <w:sz w:val="20"/>
                <w:szCs w:val="20"/>
                <w:color w:val="auto"/>
              </w:rPr>
            </w:pPr>
            <w:r>
              <w:rPr>
                <w:rFonts w:ascii="Arial" w:cs="Arial" w:eastAsia="Arial" w:hAnsi="Arial"/>
                <w:sz w:val="13"/>
                <w:szCs w:val="13"/>
                <w:color w:val="auto"/>
              </w:rPr>
              <w:t>20,000</w:t>
            </w:r>
          </w:p>
        </w:tc>
        <w:tc>
          <w:tcPr>
            <w:tcW w:w="200" w:type="dxa"/>
            <w:vAlign w:val="bottom"/>
            <w:tcBorders>
              <w:right w:val="single" w:sz="8" w:color="auto"/>
            </w:tcBorders>
          </w:tcPr>
          <w:p>
            <w:pPr>
              <w:ind w:left="40"/>
              <w:spacing w:after="0"/>
              <w:rPr>
                <w:sz w:val="20"/>
                <w:szCs w:val="20"/>
                <w:color w:val="auto"/>
              </w:rPr>
            </w:pPr>
            <w:r>
              <w:rPr>
                <w:rFonts w:ascii="Arial" w:cs="Arial" w:eastAsia="Arial" w:hAnsi="Arial"/>
                <w:sz w:val="9"/>
                <w:szCs w:val="9"/>
                <w:color w:val="auto"/>
              </w:rPr>
              <w:t>7</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8"/>
              </w:rPr>
              <w:t>$1,689,200</w:t>
            </w:r>
          </w:p>
        </w:tc>
        <w:tc>
          <w:tcPr>
            <w:tcW w:w="800" w:type="dxa"/>
            <w:vAlign w:val="bottom"/>
          </w:tcPr>
          <w:p>
            <w:pPr>
              <w:spacing w:after="0"/>
              <w:rPr>
                <w:sz w:val="23"/>
                <w:szCs w:val="23"/>
                <w:color w:val="auto"/>
              </w:rPr>
            </w:pPr>
          </w:p>
        </w:tc>
        <w:tc>
          <w:tcPr>
            <w:tcW w:w="220" w:type="dxa"/>
            <w:vAlign w:val="bottom"/>
            <w:tcBorders>
              <w:right w:val="single" w:sz="8" w:color="auto"/>
            </w:tcBorders>
          </w:tcPr>
          <w:p>
            <w:pPr>
              <w:spacing w:after="0"/>
              <w:rPr>
                <w:sz w:val="23"/>
                <w:szCs w:val="23"/>
                <w:color w:val="auto"/>
              </w:rPr>
            </w:pPr>
          </w:p>
        </w:tc>
        <w:tc>
          <w:tcPr>
            <w:tcW w:w="1280" w:type="dxa"/>
            <w:vAlign w:val="bottom"/>
            <w:tcBorders>
              <w:right w:val="single" w:sz="8" w:color="auto"/>
            </w:tcBorders>
          </w:tcPr>
          <w:p>
            <w:pPr>
              <w:spacing w:after="0"/>
              <w:rPr>
                <w:sz w:val="23"/>
                <w:szCs w:val="23"/>
                <w:color w:val="auto"/>
              </w:rPr>
            </w:pPr>
          </w:p>
        </w:tc>
      </w:tr>
      <w:tr>
        <w:trPr>
          <w:trHeight w:val="280"/>
        </w:trPr>
        <w:tc>
          <w:tcPr>
            <w:tcW w:w="780" w:type="dxa"/>
            <w:vAlign w:val="bottom"/>
            <w:tcBorders>
              <w:left w:val="single" w:sz="8" w:color="auto"/>
              <w:bottom w:val="single" w:sz="8" w:color="auto"/>
              <w:right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7"/>
              </w:rPr>
              <w:t>2017 RSU Award</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34,615</w:t>
            </w:r>
          </w:p>
        </w:tc>
        <w:tc>
          <w:tcPr>
            <w:tcW w:w="2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9"/>
                <w:szCs w:val="9"/>
                <w:color w:val="auto"/>
              </w:rPr>
              <w:t>8</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8"/>
              </w:rPr>
              <w:t>$2,923,583</w:t>
            </w: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r>
      <w:tr>
        <w:trPr>
          <w:trHeight w:val="156"/>
        </w:trPr>
        <w:tc>
          <w:tcPr>
            <w:tcW w:w="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Mr. Rice</w:t>
            </w:r>
          </w:p>
        </w:tc>
        <w:tc>
          <w:tcPr>
            <w:tcW w:w="1160" w:type="dxa"/>
            <w:vAlign w:val="bottom"/>
            <w:tcBorders>
              <w:right w:val="single" w:sz="8" w:color="auto"/>
            </w:tcBorders>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1280" w:type="dxa"/>
            <w:vAlign w:val="bottom"/>
            <w:tcBorders>
              <w:right w:val="single" w:sz="8" w:color="auto"/>
            </w:tcBorders>
          </w:tcPr>
          <w:p>
            <w:pPr>
              <w:spacing w:after="0"/>
              <w:rPr>
                <w:sz w:val="13"/>
                <w:szCs w:val="13"/>
                <w:color w:val="auto"/>
              </w:rPr>
            </w:pPr>
          </w:p>
        </w:tc>
      </w:tr>
      <w:tr>
        <w:trPr>
          <w:trHeight w:val="152"/>
        </w:trPr>
        <w:tc>
          <w:tcPr>
            <w:tcW w:w="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(retired)</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2017-2019 SVA</w:t>
            </w:r>
          </w:p>
        </w:tc>
        <w:tc>
          <w:tcPr>
            <w:tcW w:w="86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62,838</w:t>
            </w:r>
          </w:p>
        </w:tc>
        <w:tc>
          <w:tcPr>
            <w:tcW w:w="220" w:type="dxa"/>
            <w:vAlign w:val="bottom"/>
            <w:tcBorders>
              <w:right w:val="single" w:sz="8" w:color="auto"/>
            </w:tcBorders>
          </w:tcPr>
          <w:p>
            <w:pPr>
              <w:jc w:val="right"/>
              <w:ind w:right="75"/>
              <w:spacing w:after="0"/>
              <w:rPr>
                <w:sz w:val="20"/>
                <w:szCs w:val="20"/>
                <w:color w:val="auto"/>
              </w:rPr>
            </w:pPr>
            <w:r>
              <w:rPr>
                <w:rFonts w:ascii="Arial" w:cs="Arial" w:eastAsia="Arial" w:hAnsi="Arial"/>
                <w:sz w:val="9"/>
                <w:szCs w:val="9"/>
                <w:color w:val="auto"/>
              </w:rPr>
              <w:t>2</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$5,307,297</w:t>
            </w:r>
          </w:p>
        </w:tc>
      </w:tr>
      <w:tr>
        <w:trPr>
          <w:trHeight w:val="270"/>
        </w:trPr>
        <w:tc>
          <w:tcPr>
            <w:tcW w:w="780" w:type="dxa"/>
            <w:vAlign w:val="bottom"/>
            <w:tcBorders>
              <w:left w:val="single" w:sz="8" w:color="auto"/>
              <w:right w:val="single" w:sz="8" w:color="auto"/>
            </w:tcBorders>
          </w:tcPr>
          <w:p>
            <w:pPr>
              <w:spacing w:after="0"/>
              <w:rPr>
                <w:sz w:val="23"/>
                <w:szCs w:val="23"/>
                <w:color w:val="auto"/>
              </w:rPr>
            </w:pP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2016-2018 SVA</w:t>
            </w:r>
          </w:p>
        </w:tc>
        <w:tc>
          <w:tcPr>
            <w:tcW w:w="860" w:type="dxa"/>
            <w:vAlign w:val="bottom"/>
          </w:tcPr>
          <w:p>
            <w:pPr>
              <w:spacing w:after="0"/>
              <w:rPr>
                <w:sz w:val="23"/>
                <w:szCs w:val="23"/>
                <w:color w:val="auto"/>
              </w:rPr>
            </w:pPr>
          </w:p>
        </w:tc>
        <w:tc>
          <w:tcPr>
            <w:tcW w:w="200" w:type="dxa"/>
            <w:vAlign w:val="bottom"/>
            <w:tcBorders>
              <w:right w:val="single" w:sz="8" w:color="auto"/>
            </w:tcBorders>
          </w:tcPr>
          <w:p>
            <w:pPr>
              <w:spacing w:after="0"/>
              <w:rPr>
                <w:sz w:val="23"/>
                <w:szCs w:val="23"/>
                <w:color w:val="auto"/>
              </w:rPr>
            </w:pPr>
          </w:p>
        </w:tc>
        <w:tc>
          <w:tcPr>
            <w:tcW w:w="920" w:type="dxa"/>
            <w:vAlign w:val="bottom"/>
            <w:tcBorders>
              <w:right w:val="single" w:sz="8" w:color="auto"/>
            </w:tcBorders>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99,830</w:t>
            </w:r>
          </w:p>
        </w:tc>
        <w:tc>
          <w:tcPr>
            <w:tcW w:w="220" w:type="dxa"/>
            <w:vAlign w:val="bottom"/>
            <w:tcBorders>
              <w:right w:val="single" w:sz="8" w:color="auto"/>
            </w:tcBorders>
          </w:tcPr>
          <w:p>
            <w:pPr>
              <w:jc w:val="right"/>
              <w:ind w:right="75"/>
              <w:spacing w:after="0"/>
              <w:rPr>
                <w:sz w:val="20"/>
                <w:szCs w:val="20"/>
                <w:color w:val="auto"/>
              </w:rPr>
            </w:pPr>
            <w:r>
              <w:rPr>
                <w:rFonts w:ascii="Arial" w:cs="Arial" w:eastAsia="Arial" w:hAnsi="Arial"/>
                <w:sz w:val="9"/>
                <w:szCs w:val="9"/>
                <w:color w:val="auto"/>
              </w:rPr>
              <w:t>3</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$8,431,642</w:t>
            </w:r>
          </w:p>
        </w:tc>
      </w:tr>
      <w:tr>
        <w:trPr>
          <w:trHeight w:val="270"/>
        </w:trPr>
        <w:tc>
          <w:tcPr>
            <w:tcW w:w="780" w:type="dxa"/>
            <w:vAlign w:val="bottom"/>
            <w:tcBorders>
              <w:left w:val="single" w:sz="8" w:color="auto"/>
              <w:right w:val="single" w:sz="8" w:color="auto"/>
            </w:tcBorders>
          </w:tcPr>
          <w:p>
            <w:pPr>
              <w:spacing w:after="0"/>
              <w:rPr>
                <w:sz w:val="23"/>
                <w:szCs w:val="23"/>
                <w:color w:val="auto"/>
              </w:rPr>
            </w:pP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6"/>
              </w:rPr>
              <w:t>2017-2019 PA</w:t>
            </w:r>
          </w:p>
        </w:tc>
        <w:tc>
          <w:tcPr>
            <w:tcW w:w="860" w:type="dxa"/>
            <w:vAlign w:val="bottom"/>
          </w:tcPr>
          <w:p>
            <w:pPr>
              <w:spacing w:after="0"/>
              <w:rPr>
                <w:sz w:val="23"/>
                <w:szCs w:val="23"/>
                <w:color w:val="auto"/>
              </w:rPr>
            </w:pPr>
          </w:p>
        </w:tc>
        <w:tc>
          <w:tcPr>
            <w:tcW w:w="200" w:type="dxa"/>
            <w:vAlign w:val="bottom"/>
            <w:tcBorders>
              <w:right w:val="single" w:sz="8" w:color="auto"/>
            </w:tcBorders>
          </w:tcPr>
          <w:p>
            <w:pPr>
              <w:spacing w:after="0"/>
              <w:rPr>
                <w:sz w:val="23"/>
                <w:szCs w:val="23"/>
                <w:color w:val="auto"/>
              </w:rPr>
            </w:pPr>
          </w:p>
        </w:tc>
        <w:tc>
          <w:tcPr>
            <w:tcW w:w="920" w:type="dxa"/>
            <w:vAlign w:val="bottom"/>
            <w:tcBorders>
              <w:right w:val="single" w:sz="8" w:color="auto"/>
            </w:tcBorders>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31,004</w:t>
            </w:r>
          </w:p>
        </w:tc>
        <w:tc>
          <w:tcPr>
            <w:tcW w:w="220" w:type="dxa"/>
            <w:vAlign w:val="bottom"/>
            <w:tcBorders>
              <w:right w:val="single" w:sz="8" w:color="auto"/>
            </w:tcBorders>
          </w:tcPr>
          <w:p>
            <w:pPr>
              <w:jc w:val="right"/>
              <w:ind w:right="75"/>
              <w:spacing w:after="0"/>
              <w:rPr>
                <w:sz w:val="20"/>
                <w:szCs w:val="20"/>
                <w:color w:val="auto"/>
              </w:rPr>
            </w:pPr>
            <w:r>
              <w:rPr>
                <w:rFonts w:ascii="Arial" w:cs="Arial" w:eastAsia="Arial" w:hAnsi="Arial"/>
                <w:sz w:val="9"/>
                <w:szCs w:val="9"/>
                <w:color w:val="auto"/>
              </w:rPr>
              <w:t>4</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$2,618,598</w:t>
            </w:r>
          </w:p>
        </w:tc>
      </w:tr>
      <w:tr>
        <w:trPr>
          <w:trHeight w:val="270"/>
        </w:trPr>
        <w:tc>
          <w:tcPr>
            <w:tcW w:w="780" w:type="dxa"/>
            <w:vAlign w:val="bottom"/>
            <w:tcBorders>
              <w:left w:val="single" w:sz="8" w:color="auto"/>
              <w:right w:val="single" w:sz="8" w:color="auto"/>
            </w:tcBorders>
          </w:tcPr>
          <w:p>
            <w:pPr>
              <w:spacing w:after="0"/>
              <w:rPr>
                <w:sz w:val="23"/>
                <w:szCs w:val="23"/>
                <w:color w:val="auto"/>
              </w:rPr>
            </w:pP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6"/>
              </w:rPr>
              <w:t>2016-2018 PA</w:t>
            </w:r>
          </w:p>
        </w:tc>
        <w:tc>
          <w:tcPr>
            <w:tcW w:w="860" w:type="dxa"/>
            <w:vAlign w:val="bottom"/>
          </w:tcPr>
          <w:p>
            <w:pPr>
              <w:jc w:val="right"/>
              <w:spacing w:after="0"/>
              <w:rPr>
                <w:sz w:val="20"/>
                <w:szCs w:val="20"/>
                <w:color w:val="auto"/>
              </w:rPr>
            </w:pPr>
            <w:r>
              <w:rPr>
                <w:rFonts w:ascii="Arial" w:cs="Arial" w:eastAsia="Arial" w:hAnsi="Arial"/>
                <w:sz w:val="13"/>
                <w:szCs w:val="13"/>
                <w:color w:val="auto"/>
              </w:rPr>
              <w:t>21,111</w:t>
            </w:r>
          </w:p>
        </w:tc>
        <w:tc>
          <w:tcPr>
            <w:tcW w:w="200" w:type="dxa"/>
            <w:vAlign w:val="bottom"/>
            <w:tcBorders>
              <w:right w:val="single" w:sz="8" w:color="auto"/>
            </w:tcBorders>
          </w:tcPr>
          <w:p>
            <w:pPr>
              <w:ind w:left="40"/>
              <w:spacing w:after="0"/>
              <w:rPr>
                <w:sz w:val="20"/>
                <w:szCs w:val="20"/>
                <w:color w:val="auto"/>
              </w:rPr>
            </w:pPr>
            <w:r>
              <w:rPr>
                <w:rFonts w:ascii="Arial" w:cs="Arial" w:eastAsia="Arial" w:hAnsi="Arial"/>
                <w:sz w:val="9"/>
                <w:szCs w:val="9"/>
                <w:color w:val="auto"/>
              </w:rPr>
              <w:t>5</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8"/>
              </w:rPr>
              <w:t>$1,783,035</w:t>
            </w:r>
          </w:p>
        </w:tc>
        <w:tc>
          <w:tcPr>
            <w:tcW w:w="800" w:type="dxa"/>
            <w:vAlign w:val="bottom"/>
          </w:tcPr>
          <w:p>
            <w:pPr>
              <w:spacing w:after="0"/>
              <w:rPr>
                <w:sz w:val="23"/>
                <w:szCs w:val="23"/>
                <w:color w:val="auto"/>
              </w:rPr>
            </w:pPr>
          </w:p>
        </w:tc>
        <w:tc>
          <w:tcPr>
            <w:tcW w:w="220" w:type="dxa"/>
            <w:vAlign w:val="bottom"/>
            <w:tcBorders>
              <w:right w:val="single" w:sz="8" w:color="auto"/>
            </w:tcBorders>
          </w:tcPr>
          <w:p>
            <w:pPr>
              <w:spacing w:after="0"/>
              <w:rPr>
                <w:sz w:val="23"/>
                <w:szCs w:val="23"/>
                <w:color w:val="auto"/>
              </w:rPr>
            </w:pPr>
          </w:p>
        </w:tc>
        <w:tc>
          <w:tcPr>
            <w:tcW w:w="1280" w:type="dxa"/>
            <w:vAlign w:val="bottom"/>
            <w:tcBorders>
              <w:right w:val="single" w:sz="8" w:color="auto"/>
            </w:tcBorders>
          </w:tcPr>
          <w:p>
            <w:pPr>
              <w:spacing w:after="0"/>
              <w:rPr>
                <w:sz w:val="23"/>
                <w:szCs w:val="23"/>
                <w:color w:val="auto"/>
              </w:rPr>
            </w:pPr>
          </w:p>
        </w:tc>
      </w:tr>
      <w:tr>
        <w:trPr>
          <w:trHeight w:val="280"/>
        </w:trPr>
        <w:tc>
          <w:tcPr>
            <w:tcW w:w="780" w:type="dxa"/>
            <w:vAlign w:val="bottom"/>
            <w:tcBorders>
              <w:left w:val="single" w:sz="8" w:color="auto"/>
              <w:bottom w:val="single" w:sz="8" w:color="auto"/>
              <w:right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6"/>
              </w:rPr>
              <w:t>2015-2017 PA</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40,518</w:t>
            </w:r>
          </w:p>
        </w:tc>
        <w:tc>
          <w:tcPr>
            <w:tcW w:w="2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9"/>
                <w:szCs w:val="9"/>
                <w:color w:val="auto"/>
              </w:rPr>
              <w:t>6</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8"/>
              </w:rPr>
              <w:t>$3,422,150</w:t>
            </w: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r>
      <w:tr>
        <w:trPr>
          <w:trHeight w:val="156"/>
        </w:trPr>
        <w:tc>
          <w:tcPr>
            <w:tcW w:w="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Dr.</w:t>
            </w:r>
          </w:p>
        </w:tc>
        <w:tc>
          <w:tcPr>
            <w:tcW w:w="1160" w:type="dxa"/>
            <w:vAlign w:val="bottom"/>
            <w:tcBorders>
              <w:right w:val="single" w:sz="8" w:color="auto"/>
            </w:tcBorders>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1280" w:type="dxa"/>
            <w:vAlign w:val="bottom"/>
            <w:tcBorders>
              <w:right w:val="single" w:sz="8" w:color="auto"/>
            </w:tcBorders>
          </w:tcPr>
          <w:p>
            <w:pPr>
              <w:spacing w:after="0"/>
              <w:rPr>
                <w:sz w:val="13"/>
                <w:szCs w:val="13"/>
                <w:color w:val="auto"/>
              </w:rPr>
            </w:pPr>
          </w:p>
        </w:tc>
      </w:tr>
      <w:tr>
        <w:trPr>
          <w:trHeight w:val="152"/>
        </w:trPr>
        <w:tc>
          <w:tcPr>
            <w:tcW w:w="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Lundberg</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2017-2019 SVA</w:t>
            </w:r>
          </w:p>
        </w:tc>
        <w:tc>
          <w:tcPr>
            <w:tcW w:w="86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59,532</w:t>
            </w:r>
          </w:p>
        </w:tc>
        <w:tc>
          <w:tcPr>
            <w:tcW w:w="220" w:type="dxa"/>
            <w:vAlign w:val="bottom"/>
            <w:tcBorders>
              <w:right w:val="single" w:sz="8" w:color="auto"/>
            </w:tcBorders>
          </w:tcPr>
          <w:p>
            <w:pPr>
              <w:jc w:val="right"/>
              <w:ind w:right="75"/>
              <w:spacing w:after="0"/>
              <w:rPr>
                <w:sz w:val="20"/>
                <w:szCs w:val="20"/>
                <w:color w:val="auto"/>
              </w:rPr>
            </w:pPr>
            <w:r>
              <w:rPr>
                <w:rFonts w:ascii="Arial" w:cs="Arial" w:eastAsia="Arial" w:hAnsi="Arial"/>
                <w:sz w:val="9"/>
                <w:szCs w:val="9"/>
                <w:color w:val="auto"/>
              </w:rPr>
              <w:t>2</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$5,028,073</w:t>
            </w:r>
          </w:p>
        </w:tc>
      </w:tr>
      <w:tr>
        <w:trPr>
          <w:trHeight w:val="270"/>
        </w:trPr>
        <w:tc>
          <w:tcPr>
            <w:tcW w:w="780" w:type="dxa"/>
            <w:vAlign w:val="bottom"/>
            <w:tcBorders>
              <w:left w:val="single" w:sz="8" w:color="auto"/>
              <w:right w:val="single" w:sz="8" w:color="auto"/>
            </w:tcBorders>
          </w:tcPr>
          <w:p>
            <w:pPr>
              <w:spacing w:after="0"/>
              <w:rPr>
                <w:sz w:val="23"/>
                <w:szCs w:val="23"/>
                <w:color w:val="auto"/>
              </w:rPr>
            </w:pP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2016-2018 SVA</w:t>
            </w:r>
          </w:p>
        </w:tc>
        <w:tc>
          <w:tcPr>
            <w:tcW w:w="860" w:type="dxa"/>
            <w:vAlign w:val="bottom"/>
          </w:tcPr>
          <w:p>
            <w:pPr>
              <w:spacing w:after="0"/>
              <w:rPr>
                <w:sz w:val="23"/>
                <w:szCs w:val="23"/>
                <w:color w:val="auto"/>
              </w:rPr>
            </w:pPr>
          </w:p>
        </w:tc>
        <w:tc>
          <w:tcPr>
            <w:tcW w:w="200" w:type="dxa"/>
            <w:vAlign w:val="bottom"/>
            <w:tcBorders>
              <w:right w:val="single" w:sz="8" w:color="auto"/>
            </w:tcBorders>
          </w:tcPr>
          <w:p>
            <w:pPr>
              <w:spacing w:after="0"/>
              <w:rPr>
                <w:sz w:val="23"/>
                <w:szCs w:val="23"/>
                <w:color w:val="auto"/>
              </w:rPr>
            </w:pPr>
          </w:p>
        </w:tc>
        <w:tc>
          <w:tcPr>
            <w:tcW w:w="920" w:type="dxa"/>
            <w:vAlign w:val="bottom"/>
            <w:tcBorders>
              <w:right w:val="single" w:sz="8" w:color="auto"/>
            </w:tcBorders>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94,576</w:t>
            </w:r>
          </w:p>
        </w:tc>
        <w:tc>
          <w:tcPr>
            <w:tcW w:w="220" w:type="dxa"/>
            <w:vAlign w:val="bottom"/>
            <w:tcBorders>
              <w:right w:val="single" w:sz="8" w:color="auto"/>
            </w:tcBorders>
          </w:tcPr>
          <w:p>
            <w:pPr>
              <w:jc w:val="right"/>
              <w:ind w:right="75"/>
              <w:spacing w:after="0"/>
              <w:rPr>
                <w:sz w:val="20"/>
                <w:szCs w:val="20"/>
                <w:color w:val="auto"/>
              </w:rPr>
            </w:pPr>
            <w:r>
              <w:rPr>
                <w:rFonts w:ascii="Arial" w:cs="Arial" w:eastAsia="Arial" w:hAnsi="Arial"/>
                <w:sz w:val="9"/>
                <w:szCs w:val="9"/>
                <w:color w:val="auto"/>
              </w:rPr>
              <w:t>3</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$7,987,889</w:t>
            </w:r>
          </w:p>
        </w:tc>
      </w:tr>
      <w:tr>
        <w:trPr>
          <w:trHeight w:val="270"/>
        </w:trPr>
        <w:tc>
          <w:tcPr>
            <w:tcW w:w="780" w:type="dxa"/>
            <w:vAlign w:val="bottom"/>
            <w:tcBorders>
              <w:left w:val="single" w:sz="8" w:color="auto"/>
              <w:right w:val="single" w:sz="8" w:color="auto"/>
            </w:tcBorders>
          </w:tcPr>
          <w:p>
            <w:pPr>
              <w:spacing w:after="0"/>
              <w:rPr>
                <w:sz w:val="23"/>
                <w:szCs w:val="23"/>
                <w:color w:val="auto"/>
              </w:rPr>
            </w:pP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6"/>
              </w:rPr>
              <w:t>2017-2019 PA</w:t>
            </w:r>
          </w:p>
        </w:tc>
        <w:tc>
          <w:tcPr>
            <w:tcW w:w="860" w:type="dxa"/>
            <w:vAlign w:val="bottom"/>
          </w:tcPr>
          <w:p>
            <w:pPr>
              <w:spacing w:after="0"/>
              <w:rPr>
                <w:sz w:val="23"/>
                <w:szCs w:val="23"/>
                <w:color w:val="auto"/>
              </w:rPr>
            </w:pPr>
          </w:p>
        </w:tc>
        <w:tc>
          <w:tcPr>
            <w:tcW w:w="200" w:type="dxa"/>
            <w:vAlign w:val="bottom"/>
            <w:tcBorders>
              <w:right w:val="single" w:sz="8" w:color="auto"/>
            </w:tcBorders>
          </w:tcPr>
          <w:p>
            <w:pPr>
              <w:spacing w:after="0"/>
              <w:rPr>
                <w:sz w:val="23"/>
                <w:szCs w:val="23"/>
                <w:color w:val="auto"/>
              </w:rPr>
            </w:pPr>
          </w:p>
        </w:tc>
        <w:tc>
          <w:tcPr>
            <w:tcW w:w="920" w:type="dxa"/>
            <w:vAlign w:val="bottom"/>
            <w:tcBorders>
              <w:right w:val="single" w:sz="8" w:color="auto"/>
            </w:tcBorders>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29,372</w:t>
            </w:r>
          </w:p>
        </w:tc>
        <w:tc>
          <w:tcPr>
            <w:tcW w:w="220" w:type="dxa"/>
            <w:vAlign w:val="bottom"/>
            <w:tcBorders>
              <w:right w:val="single" w:sz="8" w:color="auto"/>
            </w:tcBorders>
          </w:tcPr>
          <w:p>
            <w:pPr>
              <w:jc w:val="right"/>
              <w:ind w:right="75"/>
              <w:spacing w:after="0"/>
              <w:rPr>
                <w:sz w:val="20"/>
                <w:szCs w:val="20"/>
                <w:color w:val="auto"/>
              </w:rPr>
            </w:pPr>
            <w:r>
              <w:rPr>
                <w:rFonts w:ascii="Arial" w:cs="Arial" w:eastAsia="Arial" w:hAnsi="Arial"/>
                <w:sz w:val="9"/>
                <w:szCs w:val="9"/>
                <w:color w:val="auto"/>
              </w:rPr>
              <w:t>4</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$2,480,759</w:t>
            </w:r>
          </w:p>
        </w:tc>
      </w:tr>
      <w:tr>
        <w:trPr>
          <w:trHeight w:val="270"/>
        </w:trPr>
        <w:tc>
          <w:tcPr>
            <w:tcW w:w="780" w:type="dxa"/>
            <w:vAlign w:val="bottom"/>
            <w:tcBorders>
              <w:left w:val="single" w:sz="8" w:color="auto"/>
              <w:right w:val="single" w:sz="8" w:color="auto"/>
            </w:tcBorders>
          </w:tcPr>
          <w:p>
            <w:pPr>
              <w:spacing w:after="0"/>
              <w:rPr>
                <w:sz w:val="23"/>
                <w:szCs w:val="23"/>
                <w:color w:val="auto"/>
              </w:rPr>
            </w:pP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6"/>
              </w:rPr>
              <w:t>2016-2018 PA</w:t>
            </w:r>
          </w:p>
        </w:tc>
        <w:tc>
          <w:tcPr>
            <w:tcW w:w="860" w:type="dxa"/>
            <w:vAlign w:val="bottom"/>
          </w:tcPr>
          <w:p>
            <w:pPr>
              <w:jc w:val="right"/>
              <w:spacing w:after="0"/>
              <w:rPr>
                <w:sz w:val="20"/>
                <w:szCs w:val="20"/>
                <w:color w:val="auto"/>
              </w:rPr>
            </w:pPr>
            <w:r>
              <w:rPr>
                <w:rFonts w:ascii="Arial" w:cs="Arial" w:eastAsia="Arial" w:hAnsi="Arial"/>
                <w:sz w:val="13"/>
                <w:szCs w:val="13"/>
                <w:color w:val="auto"/>
              </w:rPr>
              <w:t>20,000</w:t>
            </w:r>
          </w:p>
        </w:tc>
        <w:tc>
          <w:tcPr>
            <w:tcW w:w="200" w:type="dxa"/>
            <w:vAlign w:val="bottom"/>
            <w:tcBorders>
              <w:right w:val="single" w:sz="8" w:color="auto"/>
            </w:tcBorders>
          </w:tcPr>
          <w:p>
            <w:pPr>
              <w:ind w:left="40"/>
              <w:spacing w:after="0"/>
              <w:rPr>
                <w:sz w:val="20"/>
                <w:szCs w:val="20"/>
                <w:color w:val="auto"/>
              </w:rPr>
            </w:pPr>
            <w:r>
              <w:rPr>
                <w:rFonts w:ascii="Arial" w:cs="Arial" w:eastAsia="Arial" w:hAnsi="Arial"/>
                <w:sz w:val="7"/>
                <w:szCs w:val="7"/>
                <w:color w:val="auto"/>
              </w:rPr>
              <w:t>5</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8"/>
              </w:rPr>
              <w:t>$1,689,200</w:t>
            </w:r>
          </w:p>
        </w:tc>
        <w:tc>
          <w:tcPr>
            <w:tcW w:w="800" w:type="dxa"/>
            <w:vAlign w:val="bottom"/>
          </w:tcPr>
          <w:p>
            <w:pPr>
              <w:spacing w:after="0"/>
              <w:rPr>
                <w:sz w:val="23"/>
                <w:szCs w:val="23"/>
                <w:color w:val="auto"/>
              </w:rPr>
            </w:pPr>
          </w:p>
        </w:tc>
        <w:tc>
          <w:tcPr>
            <w:tcW w:w="220" w:type="dxa"/>
            <w:vAlign w:val="bottom"/>
            <w:tcBorders>
              <w:right w:val="single" w:sz="8" w:color="auto"/>
            </w:tcBorders>
          </w:tcPr>
          <w:p>
            <w:pPr>
              <w:spacing w:after="0"/>
              <w:rPr>
                <w:sz w:val="23"/>
                <w:szCs w:val="23"/>
                <w:color w:val="auto"/>
              </w:rPr>
            </w:pPr>
          </w:p>
        </w:tc>
        <w:tc>
          <w:tcPr>
            <w:tcW w:w="1280" w:type="dxa"/>
            <w:vAlign w:val="bottom"/>
            <w:tcBorders>
              <w:right w:val="single" w:sz="8" w:color="auto"/>
            </w:tcBorders>
          </w:tcPr>
          <w:p>
            <w:pPr>
              <w:spacing w:after="0"/>
              <w:rPr>
                <w:sz w:val="23"/>
                <w:szCs w:val="23"/>
                <w:color w:val="auto"/>
              </w:rPr>
            </w:pPr>
          </w:p>
        </w:tc>
      </w:tr>
      <w:tr>
        <w:trPr>
          <w:trHeight w:val="280"/>
        </w:trPr>
        <w:tc>
          <w:tcPr>
            <w:tcW w:w="780" w:type="dxa"/>
            <w:vAlign w:val="bottom"/>
            <w:tcBorders>
              <w:left w:val="single" w:sz="8" w:color="auto"/>
              <w:bottom w:val="single" w:sz="8" w:color="auto"/>
              <w:right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6"/>
              </w:rPr>
              <w:t>2015-2017 PA</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36,252</w:t>
            </w:r>
          </w:p>
        </w:tc>
        <w:tc>
          <w:tcPr>
            <w:tcW w:w="2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9"/>
                <w:szCs w:val="9"/>
                <w:color w:val="auto"/>
              </w:rPr>
              <w:t>6</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8"/>
              </w:rPr>
              <w:t>$3,061,844</w:t>
            </w: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r>
      <w:tr>
        <w:trPr>
          <w:trHeight w:val="156"/>
        </w:trPr>
        <w:tc>
          <w:tcPr>
            <w:tcW w:w="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Mr.</w:t>
            </w:r>
          </w:p>
        </w:tc>
        <w:tc>
          <w:tcPr>
            <w:tcW w:w="1160" w:type="dxa"/>
            <w:vAlign w:val="bottom"/>
            <w:tcBorders>
              <w:right w:val="single" w:sz="8" w:color="auto"/>
            </w:tcBorders>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1280" w:type="dxa"/>
            <w:vAlign w:val="bottom"/>
            <w:tcBorders>
              <w:right w:val="single" w:sz="8" w:color="auto"/>
            </w:tcBorders>
          </w:tcPr>
          <w:p>
            <w:pPr>
              <w:spacing w:after="0"/>
              <w:rPr>
                <w:sz w:val="13"/>
                <w:szCs w:val="13"/>
                <w:color w:val="auto"/>
              </w:rPr>
            </w:pPr>
          </w:p>
        </w:tc>
      </w:tr>
      <w:tr>
        <w:trPr>
          <w:trHeight w:val="152"/>
        </w:trPr>
        <w:tc>
          <w:tcPr>
            <w:tcW w:w="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Harrington</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2017-2019 SVA</w:t>
            </w:r>
          </w:p>
        </w:tc>
        <w:tc>
          <w:tcPr>
            <w:tcW w:w="86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38,034</w:t>
            </w:r>
          </w:p>
        </w:tc>
        <w:tc>
          <w:tcPr>
            <w:tcW w:w="220" w:type="dxa"/>
            <w:vAlign w:val="bottom"/>
            <w:tcBorders>
              <w:right w:val="single" w:sz="8" w:color="auto"/>
            </w:tcBorders>
          </w:tcPr>
          <w:p>
            <w:pPr>
              <w:jc w:val="right"/>
              <w:ind w:right="75"/>
              <w:spacing w:after="0"/>
              <w:rPr>
                <w:sz w:val="20"/>
                <w:szCs w:val="20"/>
                <w:color w:val="auto"/>
              </w:rPr>
            </w:pPr>
            <w:r>
              <w:rPr>
                <w:rFonts w:ascii="Arial" w:cs="Arial" w:eastAsia="Arial" w:hAnsi="Arial"/>
                <w:sz w:val="9"/>
                <w:szCs w:val="9"/>
                <w:color w:val="auto"/>
              </w:rPr>
              <w:t>2</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$3,212,352</w:t>
            </w:r>
          </w:p>
        </w:tc>
      </w:tr>
      <w:tr>
        <w:trPr>
          <w:trHeight w:val="270"/>
        </w:trPr>
        <w:tc>
          <w:tcPr>
            <w:tcW w:w="780" w:type="dxa"/>
            <w:vAlign w:val="bottom"/>
            <w:tcBorders>
              <w:left w:val="single" w:sz="8" w:color="auto"/>
              <w:right w:val="single" w:sz="8" w:color="auto"/>
            </w:tcBorders>
          </w:tcPr>
          <w:p>
            <w:pPr>
              <w:spacing w:after="0"/>
              <w:rPr>
                <w:sz w:val="23"/>
                <w:szCs w:val="23"/>
                <w:color w:val="auto"/>
              </w:rPr>
            </w:pP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2016-2018 SVA</w:t>
            </w:r>
          </w:p>
        </w:tc>
        <w:tc>
          <w:tcPr>
            <w:tcW w:w="860" w:type="dxa"/>
            <w:vAlign w:val="bottom"/>
          </w:tcPr>
          <w:p>
            <w:pPr>
              <w:spacing w:after="0"/>
              <w:rPr>
                <w:sz w:val="23"/>
                <w:szCs w:val="23"/>
                <w:color w:val="auto"/>
              </w:rPr>
            </w:pPr>
          </w:p>
        </w:tc>
        <w:tc>
          <w:tcPr>
            <w:tcW w:w="200" w:type="dxa"/>
            <w:vAlign w:val="bottom"/>
            <w:tcBorders>
              <w:right w:val="single" w:sz="8" w:color="auto"/>
            </w:tcBorders>
          </w:tcPr>
          <w:p>
            <w:pPr>
              <w:spacing w:after="0"/>
              <w:rPr>
                <w:sz w:val="23"/>
                <w:szCs w:val="23"/>
                <w:color w:val="auto"/>
              </w:rPr>
            </w:pPr>
          </w:p>
        </w:tc>
        <w:tc>
          <w:tcPr>
            <w:tcW w:w="920" w:type="dxa"/>
            <w:vAlign w:val="bottom"/>
            <w:tcBorders>
              <w:right w:val="single" w:sz="8" w:color="auto"/>
            </w:tcBorders>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60,423</w:t>
            </w:r>
          </w:p>
        </w:tc>
        <w:tc>
          <w:tcPr>
            <w:tcW w:w="220" w:type="dxa"/>
            <w:vAlign w:val="bottom"/>
            <w:tcBorders>
              <w:right w:val="single" w:sz="8" w:color="auto"/>
            </w:tcBorders>
          </w:tcPr>
          <w:p>
            <w:pPr>
              <w:jc w:val="right"/>
              <w:ind w:right="75"/>
              <w:spacing w:after="0"/>
              <w:rPr>
                <w:sz w:val="20"/>
                <w:szCs w:val="20"/>
                <w:color w:val="auto"/>
              </w:rPr>
            </w:pPr>
            <w:r>
              <w:rPr>
                <w:rFonts w:ascii="Arial" w:cs="Arial" w:eastAsia="Arial" w:hAnsi="Arial"/>
                <w:sz w:val="9"/>
                <w:szCs w:val="9"/>
                <w:color w:val="auto"/>
              </w:rPr>
              <w:t>3</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$5,103,327</w:t>
            </w:r>
          </w:p>
        </w:tc>
      </w:tr>
      <w:tr>
        <w:trPr>
          <w:trHeight w:val="270"/>
        </w:trPr>
        <w:tc>
          <w:tcPr>
            <w:tcW w:w="780" w:type="dxa"/>
            <w:vAlign w:val="bottom"/>
            <w:tcBorders>
              <w:left w:val="single" w:sz="8" w:color="auto"/>
              <w:right w:val="single" w:sz="8" w:color="auto"/>
            </w:tcBorders>
          </w:tcPr>
          <w:p>
            <w:pPr>
              <w:spacing w:after="0"/>
              <w:rPr>
                <w:sz w:val="23"/>
                <w:szCs w:val="23"/>
                <w:color w:val="auto"/>
              </w:rPr>
            </w:pP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6"/>
              </w:rPr>
              <w:t>2017-2019 PA</w:t>
            </w:r>
          </w:p>
        </w:tc>
        <w:tc>
          <w:tcPr>
            <w:tcW w:w="860" w:type="dxa"/>
            <w:vAlign w:val="bottom"/>
          </w:tcPr>
          <w:p>
            <w:pPr>
              <w:spacing w:after="0"/>
              <w:rPr>
                <w:sz w:val="23"/>
                <w:szCs w:val="23"/>
                <w:color w:val="auto"/>
              </w:rPr>
            </w:pPr>
          </w:p>
        </w:tc>
        <w:tc>
          <w:tcPr>
            <w:tcW w:w="200" w:type="dxa"/>
            <w:vAlign w:val="bottom"/>
            <w:tcBorders>
              <w:right w:val="single" w:sz="8" w:color="auto"/>
            </w:tcBorders>
          </w:tcPr>
          <w:p>
            <w:pPr>
              <w:spacing w:after="0"/>
              <w:rPr>
                <w:sz w:val="23"/>
                <w:szCs w:val="23"/>
                <w:color w:val="auto"/>
              </w:rPr>
            </w:pPr>
          </w:p>
        </w:tc>
        <w:tc>
          <w:tcPr>
            <w:tcW w:w="920" w:type="dxa"/>
            <w:vAlign w:val="bottom"/>
            <w:tcBorders>
              <w:right w:val="single" w:sz="8" w:color="auto"/>
            </w:tcBorders>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18,765</w:t>
            </w:r>
          </w:p>
        </w:tc>
        <w:tc>
          <w:tcPr>
            <w:tcW w:w="220" w:type="dxa"/>
            <w:vAlign w:val="bottom"/>
            <w:tcBorders>
              <w:right w:val="single" w:sz="8" w:color="auto"/>
            </w:tcBorders>
          </w:tcPr>
          <w:p>
            <w:pPr>
              <w:jc w:val="right"/>
              <w:ind w:right="75"/>
              <w:spacing w:after="0"/>
              <w:rPr>
                <w:sz w:val="20"/>
                <w:szCs w:val="20"/>
                <w:color w:val="auto"/>
              </w:rPr>
            </w:pPr>
            <w:r>
              <w:rPr>
                <w:rFonts w:ascii="Arial" w:cs="Arial" w:eastAsia="Arial" w:hAnsi="Arial"/>
                <w:sz w:val="9"/>
                <w:szCs w:val="9"/>
                <w:color w:val="auto"/>
              </w:rPr>
              <w:t>4</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$1,584,892</w:t>
            </w:r>
          </w:p>
        </w:tc>
      </w:tr>
      <w:tr>
        <w:trPr>
          <w:trHeight w:val="270"/>
        </w:trPr>
        <w:tc>
          <w:tcPr>
            <w:tcW w:w="780" w:type="dxa"/>
            <w:vAlign w:val="bottom"/>
            <w:tcBorders>
              <w:left w:val="single" w:sz="8" w:color="auto"/>
              <w:right w:val="single" w:sz="8" w:color="auto"/>
            </w:tcBorders>
          </w:tcPr>
          <w:p>
            <w:pPr>
              <w:spacing w:after="0"/>
              <w:rPr>
                <w:sz w:val="23"/>
                <w:szCs w:val="23"/>
                <w:color w:val="auto"/>
              </w:rPr>
            </w:pP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6"/>
              </w:rPr>
              <w:t>2016-2018 PA</w:t>
            </w:r>
          </w:p>
        </w:tc>
        <w:tc>
          <w:tcPr>
            <w:tcW w:w="860" w:type="dxa"/>
            <w:vAlign w:val="bottom"/>
          </w:tcPr>
          <w:p>
            <w:pPr>
              <w:jc w:val="right"/>
              <w:spacing w:after="0"/>
              <w:rPr>
                <w:sz w:val="20"/>
                <w:szCs w:val="20"/>
                <w:color w:val="auto"/>
              </w:rPr>
            </w:pPr>
            <w:r>
              <w:rPr>
                <w:rFonts w:ascii="Arial" w:cs="Arial" w:eastAsia="Arial" w:hAnsi="Arial"/>
                <w:sz w:val="13"/>
                <w:szCs w:val="13"/>
                <w:color w:val="auto"/>
              </w:rPr>
              <w:t>12,778</w:t>
            </w:r>
          </w:p>
        </w:tc>
        <w:tc>
          <w:tcPr>
            <w:tcW w:w="200" w:type="dxa"/>
            <w:vAlign w:val="bottom"/>
            <w:tcBorders>
              <w:right w:val="single" w:sz="8" w:color="auto"/>
            </w:tcBorders>
          </w:tcPr>
          <w:p>
            <w:pPr>
              <w:ind w:left="40"/>
              <w:spacing w:after="0"/>
              <w:rPr>
                <w:sz w:val="20"/>
                <w:szCs w:val="20"/>
                <w:color w:val="auto"/>
              </w:rPr>
            </w:pPr>
            <w:r>
              <w:rPr>
                <w:rFonts w:ascii="Arial" w:cs="Arial" w:eastAsia="Arial" w:hAnsi="Arial"/>
                <w:sz w:val="9"/>
                <w:szCs w:val="9"/>
                <w:color w:val="auto"/>
              </w:rPr>
              <w:t>5</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8"/>
              </w:rPr>
              <w:t>$1,079,230</w:t>
            </w:r>
          </w:p>
        </w:tc>
        <w:tc>
          <w:tcPr>
            <w:tcW w:w="800" w:type="dxa"/>
            <w:vAlign w:val="bottom"/>
          </w:tcPr>
          <w:p>
            <w:pPr>
              <w:spacing w:after="0"/>
              <w:rPr>
                <w:sz w:val="23"/>
                <w:szCs w:val="23"/>
                <w:color w:val="auto"/>
              </w:rPr>
            </w:pPr>
          </w:p>
        </w:tc>
        <w:tc>
          <w:tcPr>
            <w:tcW w:w="220" w:type="dxa"/>
            <w:vAlign w:val="bottom"/>
            <w:tcBorders>
              <w:right w:val="single" w:sz="8" w:color="auto"/>
            </w:tcBorders>
          </w:tcPr>
          <w:p>
            <w:pPr>
              <w:spacing w:after="0"/>
              <w:rPr>
                <w:sz w:val="23"/>
                <w:szCs w:val="23"/>
                <w:color w:val="auto"/>
              </w:rPr>
            </w:pPr>
          </w:p>
        </w:tc>
        <w:tc>
          <w:tcPr>
            <w:tcW w:w="1280" w:type="dxa"/>
            <w:vAlign w:val="bottom"/>
            <w:tcBorders>
              <w:right w:val="single" w:sz="8" w:color="auto"/>
            </w:tcBorders>
          </w:tcPr>
          <w:p>
            <w:pPr>
              <w:spacing w:after="0"/>
              <w:rPr>
                <w:sz w:val="23"/>
                <w:szCs w:val="23"/>
                <w:color w:val="auto"/>
              </w:rPr>
            </w:pPr>
          </w:p>
        </w:tc>
      </w:tr>
      <w:tr>
        <w:trPr>
          <w:trHeight w:val="280"/>
        </w:trPr>
        <w:tc>
          <w:tcPr>
            <w:tcW w:w="780" w:type="dxa"/>
            <w:vAlign w:val="bottom"/>
            <w:tcBorders>
              <w:left w:val="single" w:sz="8" w:color="auto"/>
              <w:bottom w:val="single" w:sz="8" w:color="auto"/>
              <w:right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6"/>
              </w:rPr>
              <w:t>2015-2017 PA</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24,524</w:t>
            </w:r>
          </w:p>
        </w:tc>
        <w:tc>
          <w:tcPr>
            <w:tcW w:w="2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9"/>
                <w:szCs w:val="9"/>
                <w:color w:val="auto"/>
              </w:rPr>
              <w:t>6</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8"/>
              </w:rPr>
              <w:t>$2,071,297</w:t>
            </w: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r>
    </w:tbl>
    <w:p>
      <w:pPr>
        <w:spacing w:after="0" w:line="215" w:lineRule="exact"/>
        <w:rPr>
          <w:sz w:val="20"/>
          <w:szCs w:val="20"/>
          <w:color w:val="auto"/>
        </w:rPr>
      </w:pPr>
    </w:p>
    <w:p>
      <w:pPr>
        <w:ind w:left="120" w:right="160" w:hanging="4"/>
        <w:spacing w:after="0" w:line="225" w:lineRule="auto"/>
        <w:tabs>
          <w:tab w:leader="none" w:pos="210" w:val="left"/>
        </w:tabs>
        <w:numPr>
          <w:ilvl w:val="0"/>
          <w:numId w:val="73"/>
        </w:numPr>
        <w:rPr>
          <w:rFonts w:ascii="Arial" w:cs="Arial" w:eastAsia="Arial" w:hAnsi="Arial"/>
          <w:sz w:val="22"/>
          <w:szCs w:val="22"/>
          <w:color w:val="auto"/>
          <w:vertAlign w:val="superscript"/>
        </w:rPr>
      </w:pPr>
      <w:r>
        <w:rPr>
          <w:rFonts w:ascii="Arial" w:cs="Arial" w:eastAsia="Arial" w:hAnsi="Arial"/>
          <w:sz w:val="18"/>
          <w:szCs w:val="18"/>
          <w:color w:val="auto"/>
        </w:rPr>
        <w:t>The chart no longer includes stock option awards because the company has not awarded stock options to employees since 2006 and there are no outstanding stock option awards.</w:t>
      </w:r>
    </w:p>
    <w:p>
      <w:pPr>
        <w:spacing w:after="0" w:line="217" w:lineRule="exact"/>
        <w:rPr>
          <w:sz w:val="20"/>
          <w:szCs w:val="20"/>
          <w:color w:val="auto"/>
        </w:rPr>
      </w:pPr>
    </w:p>
    <w:p>
      <w:pPr>
        <w:jc w:val="both"/>
        <w:ind w:left="120" w:right="60" w:hanging="4"/>
        <w:spacing w:after="0" w:line="233" w:lineRule="auto"/>
        <w:tabs>
          <w:tab w:leader="none" w:pos="380" w:val="left"/>
        </w:tabs>
        <w:numPr>
          <w:ilvl w:val="0"/>
          <w:numId w:val="74"/>
        </w:numPr>
        <w:rPr>
          <w:rFonts w:ascii="Arial" w:cs="Arial" w:eastAsia="Arial" w:hAnsi="Arial"/>
          <w:sz w:val="22"/>
          <w:szCs w:val="22"/>
          <w:color w:val="auto"/>
          <w:vertAlign w:val="superscript"/>
        </w:rPr>
      </w:pPr>
      <w:r>
        <w:rPr>
          <w:rFonts w:ascii="Arial" w:cs="Arial" w:eastAsia="Arial" w:hAnsi="Arial"/>
          <w:sz w:val="18"/>
          <w:szCs w:val="18"/>
          <w:color w:val="auto"/>
        </w:rPr>
        <w:t>Shareholder value awards granted for the 2017-2019 performance period will vest on December 31, 2019. The number of shares reported reflects the maximum payout, which will be made if the average closing stock price in November and December 2018 is over $101.79. Actual payouts may vary from 0 to 180 percent of target. Net shares from any payout must be held by executive officers for a minimum of one year.</w:t>
      </w:r>
    </w:p>
    <w:p>
      <w:pPr>
        <w:ind w:left="120"/>
        <w:spacing w:after="0"/>
        <w:rPr>
          <w:rFonts w:ascii="Arial" w:cs="Arial" w:eastAsia="Arial" w:hAnsi="Arial"/>
          <w:sz w:val="22"/>
          <w:szCs w:val="22"/>
          <w:color w:val="auto"/>
          <w:vertAlign w:val="superscript"/>
        </w:rPr>
      </w:pPr>
      <w:r>
        <w:rPr>
          <w:rFonts w:ascii="Arial" w:cs="Arial" w:eastAsia="Arial" w:hAnsi="Arial"/>
          <w:sz w:val="18"/>
          <w:szCs w:val="18"/>
          <w:color w:val="auto"/>
        </w:rPr>
        <w:t>Had the performance period ended December 31, 2017, the payout would have been at target.</w:t>
      </w:r>
    </w:p>
    <w:p>
      <w:pPr>
        <w:spacing w:after="0" w:line="225" w:lineRule="exact"/>
        <w:rPr>
          <w:sz w:val="20"/>
          <w:szCs w:val="20"/>
          <w:color w:val="auto"/>
        </w:rPr>
      </w:pPr>
    </w:p>
    <w:p>
      <w:pPr>
        <w:ind w:left="120" w:right="100" w:hanging="4"/>
        <w:spacing w:after="0" w:line="237" w:lineRule="auto"/>
        <w:tabs>
          <w:tab w:leader="none" w:pos="230" w:val="left"/>
        </w:tabs>
        <w:numPr>
          <w:ilvl w:val="0"/>
          <w:numId w:val="75"/>
        </w:numPr>
        <w:rPr>
          <w:rFonts w:ascii="Arial" w:cs="Arial" w:eastAsia="Arial" w:hAnsi="Arial"/>
          <w:sz w:val="22"/>
          <w:szCs w:val="22"/>
          <w:color w:val="auto"/>
          <w:vertAlign w:val="superscript"/>
        </w:rPr>
      </w:pPr>
      <w:r>
        <w:rPr>
          <w:rFonts w:ascii="Arial" w:cs="Arial" w:eastAsia="Arial" w:hAnsi="Arial"/>
          <w:sz w:val="18"/>
          <w:szCs w:val="18"/>
          <w:color w:val="auto"/>
        </w:rPr>
        <w:t>Shareholder value awards granted for the 2016-2018 performance period will vest on December 31, 2018. The number of shares reported reflects the maximum payout, which will be made if the average closing stock price in November and December 2018 is over $119.58. Actual payouts may vary from 0 to 180 percent of target. Net shares from any payout must be held by executive officers for a minimum of one year. Had the performance period ended December 31, 2017, the payout would have been 50 percent of target.</w:t>
      </w:r>
    </w:p>
    <w:p>
      <w:pPr>
        <w:spacing w:after="0" w:line="217" w:lineRule="exact"/>
        <w:rPr>
          <w:sz w:val="20"/>
          <w:szCs w:val="20"/>
          <w:color w:val="auto"/>
        </w:rPr>
      </w:pPr>
    </w:p>
    <w:p>
      <w:pPr>
        <w:ind w:left="120" w:right="180" w:hanging="4"/>
        <w:spacing w:after="0" w:line="237" w:lineRule="auto"/>
        <w:tabs>
          <w:tab w:leader="none" w:pos="300" w:val="left"/>
        </w:tabs>
        <w:numPr>
          <w:ilvl w:val="0"/>
          <w:numId w:val="76"/>
        </w:numPr>
        <w:rPr>
          <w:rFonts w:ascii="Arial" w:cs="Arial" w:eastAsia="Arial" w:hAnsi="Arial"/>
          <w:sz w:val="22"/>
          <w:szCs w:val="22"/>
          <w:color w:val="auto"/>
          <w:vertAlign w:val="superscript"/>
        </w:rPr>
      </w:pPr>
      <w:r>
        <w:rPr>
          <w:rFonts w:ascii="Arial" w:cs="Arial" w:eastAsia="Arial" w:hAnsi="Arial"/>
          <w:sz w:val="18"/>
          <w:szCs w:val="18"/>
          <w:color w:val="auto"/>
        </w:rPr>
        <w:t>This number represents the maximum value of performance award shares that could pay out for the 2017-2018 performance period, provided performance goals are met. Once the combined cumulative EPS result and associated payout level is determined at the end of the performance period, the associated number of shares are restricted stock units vesting in February 2020. Actual payouts may vary from 0 to 150 percent of target. The</w:t>
      </w:r>
    </w:p>
    <w:p>
      <w:pPr>
        <w:sectPr>
          <w:pgSz w:w="11900" w:h="16838" w:orient="portrait"/>
          <w:cols w:equalWidth="0" w:num="1">
            <w:col w:w="11420"/>
          </w:cols>
          <w:pgMar w:left="240" w:top="792" w:right="239" w:bottom="1440" w:gutter="0" w:footer="0" w:header="0"/>
        </w:sectPr>
      </w:pPr>
    </w:p>
    <w:p>
      <w:pPr>
        <w:spacing w:after="0" w:line="244" w:lineRule="exact"/>
        <w:rPr>
          <w:sz w:val="20"/>
          <w:szCs w:val="20"/>
          <w:color w:val="auto"/>
        </w:rPr>
      </w:pPr>
    </w:p>
    <w:p>
      <w:pPr>
        <w:ind w:left="11100"/>
        <w:spacing w:after="0"/>
        <w:rPr>
          <w:sz w:val="20"/>
          <w:szCs w:val="20"/>
          <w:color w:val="auto"/>
        </w:rPr>
      </w:pPr>
      <w:r>
        <w:rPr>
          <w:rFonts w:ascii="Arial" w:cs="Arial" w:eastAsia="Arial" w:hAnsi="Arial"/>
          <w:sz w:val="17"/>
          <w:szCs w:val="17"/>
          <w:color w:val="auto"/>
        </w:rPr>
        <w:t>P53</w:t>
      </w:r>
    </w:p>
    <w:p>
      <w:pPr>
        <w:sectPr>
          <w:pgSz w:w="11900" w:h="16838" w:orient="portrait"/>
          <w:cols w:equalWidth="0" w:num="1">
            <w:col w:w="11420"/>
          </w:cols>
          <w:pgMar w:left="240" w:top="792" w:right="239" w:bottom="1440" w:gutter="0" w:footer="0" w:header="0"/>
          <w:type w:val="continuous"/>
        </w:sectPr>
      </w:pPr>
    </w:p>
    <w:bookmarkStart w:id="57" w:name="page58"/>
    <w:bookmarkEnd w:id="57"/>
    <w:p>
      <w:pPr>
        <w:ind w:left="120"/>
        <w:spacing w:after="0"/>
        <w:rPr>
          <w:sz w:val="20"/>
          <w:szCs w:val="20"/>
          <w:color w:val="auto"/>
        </w:rPr>
      </w:pPr>
      <w:r>
        <w:rPr>
          <w:rFonts w:ascii="Arial" w:cs="Arial" w:eastAsia="Arial" w:hAnsi="Arial"/>
          <w:sz w:val="18"/>
          <w:szCs w:val="18"/>
          <w:color w:val="auto"/>
        </w:rPr>
        <w:t>number of shares recorded in the table reflects the payout if the combined cumulative EPS for 2017 and 2018 is at least $8.51.</w:t>
      </w:r>
    </w:p>
    <w:p>
      <w:pPr>
        <w:spacing w:after="0" w:line="225" w:lineRule="exact"/>
        <w:rPr>
          <w:sz w:val="20"/>
          <w:szCs w:val="20"/>
          <w:color w:val="auto"/>
        </w:rPr>
      </w:pPr>
    </w:p>
    <w:p>
      <w:pPr>
        <w:ind w:left="120" w:right="480" w:hanging="4"/>
        <w:spacing w:after="0" w:line="225" w:lineRule="auto"/>
        <w:tabs>
          <w:tab w:leader="none" w:pos="300" w:val="left"/>
        </w:tabs>
        <w:numPr>
          <w:ilvl w:val="0"/>
          <w:numId w:val="77"/>
        </w:numPr>
        <w:rPr>
          <w:rFonts w:ascii="Arial" w:cs="Arial" w:eastAsia="Arial" w:hAnsi="Arial"/>
          <w:sz w:val="22"/>
          <w:szCs w:val="22"/>
          <w:color w:val="auto"/>
          <w:vertAlign w:val="superscript"/>
        </w:rPr>
      </w:pPr>
      <w:r>
        <w:rPr>
          <w:rFonts w:ascii="Arial" w:cs="Arial" w:eastAsia="Arial" w:hAnsi="Arial"/>
          <w:sz w:val="18"/>
          <w:szCs w:val="18"/>
          <w:color w:val="auto"/>
        </w:rPr>
        <w:t>The performance period ending 2017 for the 2016-2018 performance award resulted in a restricted stock unit for 150 percent of target shares. The restricted stock units will vest in February 2019.</w:t>
      </w:r>
    </w:p>
    <w:p>
      <w:pPr>
        <w:spacing w:after="0" w:line="181" w:lineRule="exact"/>
        <w:rPr>
          <w:sz w:val="20"/>
          <w:szCs w:val="20"/>
          <w:color w:val="auto"/>
        </w:rPr>
      </w:pPr>
    </w:p>
    <w:p>
      <w:pPr>
        <w:ind w:left="300" w:hanging="184"/>
        <w:spacing w:after="0"/>
        <w:tabs>
          <w:tab w:leader="none" w:pos="300" w:val="left"/>
        </w:tabs>
        <w:numPr>
          <w:ilvl w:val="0"/>
          <w:numId w:val="78"/>
        </w:numPr>
        <w:rPr>
          <w:rFonts w:ascii="Arial" w:cs="Arial" w:eastAsia="Arial" w:hAnsi="Arial"/>
          <w:sz w:val="22"/>
          <w:szCs w:val="22"/>
          <w:color w:val="auto"/>
          <w:vertAlign w:val="superscript"/>
        </w:rPr>
      </w:pPr>
      <w:r>
        <w:rPr>
          <w:rFonts w:ascii="Arial" w:cs="Arial" w:eastAsia="Arial" w:hAnsi="Arial"/>
          <w:sz w:val="18"/>
          <w:szCs w:val="18"/>
          <w:color w:val="auto"/>
        </w:rPr>
        <w:t>Restricted stock units vested in February 2018 from the 2015-2017 performance award.</w:t>
      </w:r>
    </w:p>
    <w:p>
      <w:pPr>
        <w:spacing w:after="0" w:line="215" w:lineRule="exact"/>
        <w:rPr>
          <w:sz w:val="20"/>
          <w:szCs w:val="20"/>
          <w:color w:val="auto"/>
        </w:rPr>
      </w:pPr>
    </w:p>
    <w:p>
      <w:pPr>
        <w:ind w:left="120" w:right="180" w:hanging="4"/>
        <w:spacing w:after="0" w:line="225" w:lineRule="auto"/>
        <w:tabs>
          <w:tab w:leader="none" w:pos="210" w:val="left"/>
        </w:tabs>
        <w:numPr>
          <w:ilvl w:val="0"/>
          <w:numId w:val="79"/>
        </w:numPr>
        <w:rPr>
          <w:rFonts w:ascii="Arial" w:cs="Arial" w:eastAsia="Arial" w:hAnsi="Arial"/>
          <w:sz w:val="22"/>
          <w:szCs w:val="22"/>
          <w:color w:val="auto"/>
          <w:vertAlign w:val="superscript"/>
        </w:rPr>
      </w:pPr>
      <w:r>
        <w:rPr>
          <w:rFonts w:ascii="Arial" w:cs="Arial" w:eastAsia="Arial" w:hAnsi="Arial"/>
          <w:sz w:val="18"/>
          <w:szCs w:val="18"/>
          <w:color w:val="auto"/>
        </w:rPr>
        <w:t>This grant was made in 2008 before Mr. Conterno became an executive officer. This award was granted outside of the normal annual cycle and will vest on May 1, 2018.</w:t>
      </w:r>
    </w:p>
    <w:p>
      <w:pPr>
        <w:spacing w:after="0" w:line="217" w:lineRule="exact"/>
        <w:rPr>
          <w:sz w:val="20"/>
          <w:szCs w:val="20"/>
          <w:color w:val="auto"/>
        </w:rPr>
      </w:pPr>
    </w:p>
    <w:p>
      <w:pPr>
        <w:jc w:val="both"/>
        <w:ind w:left="120" w:right="140" w:hanging="4"/>
        <w:spacing w:after="0" w:line="233" w:lineRule="auto"/>
        <w:tabs>
          <w:tab w:leader="none" w:pos="210" w:val="left"/>
        </w:tabs>
        <w:numPr>
          <w:ilvl w:val="0"/>
          <w:numId w:val="80"/>
        </w:numPr>
        <w:rPr>
          <w:rFonts w:ascii="Arial" w:cs="Arial" w:eastAsia="Arial" w:hAnsi="Arial"/>
          <w:sz w:val="22"/>
          <w:szCs w:val="22"/>
          <w:color w:val="auto"/>
          <w:vertAlign w:val="superscript"/>
        </w:rPr>
      </w:pPr>
      <w:r>
        <w:rPr>
          <w:rFonts w:ascii="Arial" w:cs="Arial" w:eastAsia="Arial" w:hAnsi="Arial"/>
          <w:sz w:val="18"/>
          <w:szCs w:val="18"/>
          <w:color w:val="auto"/>
        </w:rPr>
        <w:t>Mr. Conterno received a special retention grant in recognition of his leadership in delivering the company's strategy and providing continuity in a time of significant transition at the company. The award will vest on December 11, 2021, and it will be forfeited if Mr. Conterno resigns or retires from the company prior to that date.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Options Exercised and Stock Vested in 2017</w:t>
      </w:r>
    </w:p>
    <w:p>
      <w:pPr>
        <w:spacing w:after="0" w:line="147" w:lineRule="exact"/>
        <w:rPr>
          <w:sz w:val="20"/>
          <w:szCs w:val="20"/>
          <w:color w:val="auto"/>
        </w:rPr>
      </w:pPr>
    </w:p>
    <w:tbl>
      <w:tblPr>
        <w:tblLayout w:type="fixed"/>
        <w:tblInd w:w="10" w:type="dxa"/>
        <w:tblCellMar>
          <w:top w:w="0" w:type="dxa"/>
          <w:left w:w="0" w:type="dxa"/>
          <w:bottom w:w="0" w:type="dxa"/>
          <w:right w:w="0" w:type="dxa"/>
        </w:tblCellMar>
      </w:tblPr>
      <w:tr>
        <w:trPr>
          <w:trHeight w:val="284"/>
        </w:trPr>
        <w:tc>
          <w:tcPr>
            <w:tcW w:w="1400" w:type="dxa"/>
            <w:vAlign w:val="bottom"/>
            <w:tcBorders>
              <w:top w:val="single" w:sz="8" w:color="auto"/>
              <w:left w:val="single" w:sz="8" w:color="auto"/>
              <w:bottom w:val="single" w:sz="8" w:color="E5E5E5"/>
              <w:right w:val="single" w:sz="8" w:color="auto"/>
            </w:tcBorders>
            <w:shd w:val="clear" w:color="auto" w:fill="E5E5E5"/>
          </w:tcPr>
          <w:p>
            <w:pPr>
              <w:spacing w:after="0"/>
              <w:rPr>
                <w:sz w:val="24"/>
                <w:szCs w:val="24"/>
                <w:color w:val="auto"/>
              </w:rPr>
            </w:pPr>
          </w:p>
        </w:tc>
        <w:tc>
          <w:tcPr>
            <w:tcW w:w="3200" w:type="dxa"/>
            <w:vAlign w:val="bottom"/>
            <w:tcBorders>
              <w:top w:val="single" w:sz="8" w:color="auto"/>
              <w:bottom w:val="single" w:sz="8" w:color="auto"/>
              <w:right w:val="single" w:sz="8" w:color="auto"/>
            </w:tcBorders>
            <w:gridSpan w:val="2"/>
            <w:shd w:val="clear" w:color="auto" w:fill="E5E5E5"/>
          </w:tcPr>
          <w:p>
            <w:pPr>
              <w:ind w:left="1020"/>
              <w:spacing w:after="0"/>
              <w:rPr>
                <w:sz w:val="20"/>
                <w:szCs w:val="20"/>
                <w:color w:val="auto"/>
              </w:rPr>
            </w:pPr>
            <w:r>
              <w:rPr>
                <w:rFonts w:ascii="Arial" w:cs="Arial" w:eastAsia="Arial" w:hAnsi="Arial"/>
                <w:sz w:val="14"/>
                <w:szCs w:val="14"/>
                <w:b w:val="1"/>
                <w:bCs w:val="1"/>
                <w:color w:val="auto"/>
              </w:rPr>
              <w:t>Option Awards</w:t>
            </w:r>
            <w:r>
              <w:rPr>
                <w:rFonts w:ascii="Arial" w:cs="Arial" w:eastAsia="Arial" w:hAnsi="Arial"/>
                <w:sz w:val="22"/>
                <w:szCs w:val="22"/>
                <w:b w:val="1"/>
                <w:bCs w:val="1"/>
                <w:color w:val="auto"/>
                <w:vertAlign w:val="superscript"/>
              </w:rPr>
              <w:t>1</w:t>
            </w:r>
          </w:p>
        </w:tc>
        <w:tc>
          <w:tcPr>
            <w:tcW w:w="1200" w:type="dxa"/>
            <w:vAlign w:val="bottom"/>
            <w:tcBorders>
              <w:top w:val="single" w:sz="8" w:color="auto"/>
              <w:bottom w:val="single" w:sz="8" w:color="auto"/>
            </w:tcBorders>
            <w:shd w:val="clear" w:color="auto" w:fill="E5E5E5"/>
          </w:tcPr>
          <w:p>
            <w:pPr>
              <w:spacing w:after="0"/>
              <w:rPr>
                <w:sz w:val="24"/>
                <w:szCs w:val="24"/>
                <w:color w:val="auto"/>
              </w:rPr>
            </w:pPr>
          </w:p>
        </w:tc>
        <w:tc>
          <w:tcPr>
            <w:tcW w:w="2600" w:type="dxa"/>
            <w:vAlign w:val="bottom"/>
            <w:tcBorders>
              <w:top w:val="single" w:sz="8" w:color="auto"/>
              <w:bottom w:val="single" w:sz="8" w:color="auto"/>
              <w:right w:val="single" w:sz="8" w:color="auto"/>
            </w:tcBorders>
            <w:gridSpan w:val="3"/>
            <w:shd w:val="clear" w:color="auto" w:fill="E5E5E5"/>
          </w:tcPr>
          <w:p>
            <w:pPr>
              <w:jc w:val="right"/>
              <w:ind w:right="1364"/>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83"/>
        </w:trPr>
        <w:tc>
          <w:tcPr>
            <w:tcW w:w="1400" w:type="dxa"/>
            <w:vAlign w:val="bottom"/>
            <w:tcBorders>
              <w:left w:val="single" w:sz="8" w:color="auto"/>
              <w:right w:val="single" w:sz="8" w:color="auto"/>
            </w:tcBorders>
            <w:shd w:val="clear" w:color="auto" w:fill="E5E5E5"/>
          </w:tcPr>
          <w:p>
            <w:pPr>
              <w:spacing w:after="0"/>
              <w:rPr>
                <w:sz w:val="15"/>
                <w:szCs w:val="15"/>
                <w:color w:val="auto"/>
              </w:rPr>
            </w:pPr>
          </w:p>
        </w:tc>
        <w:tc>
          <w:tcPr>
            <w:tcW w:w="1680" w:type="dxa"/>
            <w:vAlign w:val="bottom"/>
            <w:tcBorders>
              <w:right w:val="single" w:sz="8" w:color="auto"/>
            </w:tcBorders>
            <w:shd w:val="clear" w:color="auto" w:fill="E5E5E5"/>
          </w:tcPr>
          <w:p>
            <w:pPr>
              <w:jc w:val="center"/>
              <w:spacing w:after="0"/>
              <w:rPr>
                <w:sz w:val="20"/>
                <w:szCs w:val="20"/>
                <w:color w:val="auto"/>
              </w:rPr>
            </w:pPr>
            <w:r>
              <w:rPr>
                <w:rFonts w:ascii="Arial" w:cs="Arial" w:eastAsia="Arial" w:hAnsi="Arial"/>
                <w:sz w:val="14"/>
                <w:szCs w:val="14"/>
                <w:b w:val="1"/>
                <w:bCs w:val="1"/>
                <w:color w:val="auto"/>
                <w:w w:val="96"/>
              </w:rPr>
              <w:t>Number of Shares</w:t>
            </w:r>
          </w:p>
        </w:tc>
        <w:tc>
          <w:tcPr>
            <w:tcW w:w="1520" w:type="dxa"/>
            <w:vAlign w:val="bottom"/>
            <w:tcBorders>
              <w:right w:val="single" w:sz="8" w:color="auto"/>
            </w:tcBorders>
            <w:shd w:val="clear" w:color="auto" w:fill="E5E5E5"/>
          </w:tcPr>
          <w:p>
            <w:pPr>
              <w:jc w:val="center"/>
              <w:ind w:right="69"/>
              <w:spacing w:after="0"/>
              <w:rPr>
                <w:sz w:val="20"/>
                <w:szCs w:val="20"/>
                <w:color w:val="auto"/>
              </w:rPr>
            </w:pPr>
            <w:r>
              <w:rPr>
                <w:rFonts w:ascii="Arial" w:cs="Arial" w:eastAsia="Arial" w:hAnsi="Arial"/>
                <w:sz w:val="14"/>
                <w:szCs w:val="14"/>
                <w:b w:val="1"/>
                <w:bCs w:val="1"/>
                <w:color w:val="auto"/>
                <w:w w:val="95"/>
              </w:rPr>
              <w:t>Value Realized</w:t>
            </w:r>
          </w:p>
        </w:tc>
        <w:tc>
          <w:tcPr>
            <w:tcW w:w="1780" w:type="dxa"/>
            <w:vAlign w:val="bottom"/>
            <w:tcBorders>
              <w:right w:val="single" w:sz="8" w:color="auto"/>
            </w:tcBorders>
            <w:gridSpan w:val="2"/>
            <w:shd w:val="clear" w:color="auto" w:fill="E5E5E5"/>
          </w:tcPr>
          <w:p>
            <w:pPr>
              <w:jc w:val="right"/>
              <w:ind w:right="213"/>
              <w:spacing w:after="0"/>
              <w:rPr>
                <w:sz w:val="20"/>
                <w:szCs w:val="20"/>
                <w:color w:val="auto"/>
              </w:rPr>
            </w:pPr>
            <w:r>
              <w:rPr>
                <w:rFonts w:ascii="Arial" w:cs="Arial" w:eastAsia="Arial" w:hAnsi="Arial"/>
                <w:sz w:val="14"/>
                <w:szCs w:val="14"/>
                <w:b w:val="1"/>
                <w:bCs w:val="1"/>
                <w:color w:val="auto"/>
              </w:rPr>
              <w:t>Number of Shares</w:t>
            </w:r>
          </w:p>
        </w:tc>
        <w:tc>
          <w:tcPr>
            <w:tcW w:w="2020" w:type="dxa"/>
            <w:vAlign w:val="bottom"/>
            <w:tcBorders>
              <w:right w:val="single" w:sz="8" w:color="auto"/>
            </w:tcBorders>
            <w:gridSpan w:val="2"/>
            <w:shd w:val="clear" w:color="auto" w:fill="DDDDDD"/>
          </w:tcPr>
          <w:p>
            <w:pPr>
              <w:ind w:left="520"/>
              <w:spacing w:after="0"/>
              <w:rPr>
                <w:sz w:val="20"/>
                <w:szCs w:val="20"/>
                <w:color w:val="auto"/>
              </w:rPr>
            </w:pPr>
            <w:r>
              <w:rPr>
                <w:rFonts w:ascii="Arial" w:cs="Arial" w:eastAsia="Arial" w:hAnsi="Arial"/>
                <w:sz w:val="14"/>
                <w:szCs w:val="14"/>
                <w:b w:val="1"/>
                <w:bCs w:val="1"/>
                <w:color w:val="auto"/>
                <w:highlight w:val="lightGray"/>
              </w:rPr>
              <w:t>Value Realized</w:t>
            </w:r>
          </w:p>
        </w:tc>
        <w:tc>
          <w:tcPr>
            <w:tcW w:w="0" w:type="dxa"/>
            <w:vAlign w:val="bottom"/>
          </w:tcPr>
          <w:p>
            <w:pPr>
              <w:spacing w:after="0"/>
              <w:rPr>
                <w:sz w:val="1"/>
                <w:szCs w:val="1"/>
                <w:color w:val="auto"/>
              </w:rPr>
            </w:pPr>
          </w:p>
        </w:tc>
      </w:tr>
      <w:tr>
        <w:trPr>
          <w:trHeight w:val="194"/>
        </w:trPr>
        <w:tc>
          <w:tcPr>
            <w:tcW w:w="1400" w:type="dxa"/>
            <w:vAlign w:val="bottom"/>
            <w:tcBorders>
              <w:left w:val="single" w:sz="8" w:color="auto"/>
              <w:bottom w:val="single" w:sz="8" w:color="E5E5E5"/>
              <w:right w:val="single" w:sz="8" w:color="auto"/>
            </w:tcBorders>
            <w:shd w:val="clear" w:color="auto" w:fill="E5E5E5"/>
          </w:tcPr>
          <w:p>
            <w:pPr>
              <w:ind w:left="520"/>
              <w:spacing w:after="0"/>
              <w:rPr>
                <w:sz w:val="20"/>
                <w:szCs w:val="20"/>
                <w:color w:val="auto"/>
              </w:rPr>
            </w:pPr>
            <w:r>
              <w:rPr>
                <w:rFonts w:ascii="Arial" w:cs="Arial" w:eastAsia="Arial" w:hAnsi="Arial"/>
                <w:sz w:val="14"/>
                <w:szCs w:val="14"/>
                <w:b w:val="1"/>
                <w:bCs w:val="1"/>
                <w:color w:val="auto"/>
              </w:rPr>
              <w:t>Name</w:t>
            </w:r>
          </w:p>
        </w:tc>
        <w:tc>
          <w:tcPr>
            <w:tcW w:w="1680" w:type="dxa"/>
            <w:vAlign w:val="bottom"/>
            <w:tcBorders>
              <w:bottom w:val="single" w:sz="8" w:color="E5E5E5"/>
              <w:right w:val="single" w:sz="8" w:color="auto"/>
            </w:tcBorders>
            <w:shd w:val="clear" w:color="auto" w:fill="E5E5E5"/>
          </w:tcPr>
          <w:p>
            <w:pPr>
              <w:jc w:val="center"/>
              <w:spacing w:after="0"/>
              <w:rPr>
                <w:sz w:val="20"/>
                <w:szCs w:val="20"/>
                <w:color w:val="auto"/>
              </w:rPr>
            </w:pPr>
            <w:r>
              <w:rPr>
                <w:rFonts w:ascii="Arial" w:cs="Arial" w:eastAsia="Arial" w:hAnsi="Arial"/>
                <w:sz w:val="14"/>
                <w:szCs w:val="14"/>
                <w:b w:val="1"/>
                <w:bCs w:val="1"/>
                <w:color w:val="auto"/>
                <w:w w:val="96"/>
              </w:rPr>
              <w:t>Acquired on Exercise (#)</w:t>
            </w:r>
          </w:p>
        </w:tc>
        <w:tc>
          <w:tcPr>
            <w:tcW w:w="1520" w:type="dxa"/>
            <w:vAlign w:val="bottom"/>
            <w:tcBorders>
              <w:bottom w:val="single" w:sz="8" w:color="E5E5E5"/>
              <w:right w:val="single" w:sz="8" w:color="auto"/>
            </w:tcBorders>
            <w:shd w:val="clear" w:color="auto" w:fill="E5E5E5"/>
          </w:tcPr>
          <w:p>
            <w:pPr>
              <w:jc w:val="center"/>
              <w:ind w:right="49"/>
              <w:spacing w:after="0"/>
              <w:rPr>
                <w:sz w:val="20"/>
                <w:szCs w:val="20"/>
                <w:color w:val="auto"/>
              </w:rPr>
            </w:pPr>
            <w:r>
              <w:rPr>
                <w:rFonts w:ascii="Arial" w:cs="Arial" w:eastAsia="Arial" w:hAnsi="Arial"/>
                <w:sz w:val="14"/>
                <w:szCs w:val="14"/>
                <w:b w:val="1"/>
                <w:bCs w:val="1"/>
                <w:color w:val="auto"/>
                <w:w w:val="96"/>
              </w:rPr>
              <w:t>on Exercise ($)</w:t>
            </w:r>
          </w:p>
        </w:tc>
        <w:tc>
          <w:tcPr>
            <w:tcW w:w="1780" w:type="dxa"/>
            <w:vAlign w:val="bottom"/>
            <w:tcBorders>
              <w:bottom w:val="single" w:sz="8" w:color="E5E5E5"/>
              <w:right w:val="single" w:sz="8" w:color="auto"/>
            </w:tcBorders>
            <w:gridSpan w:val="2"/>
            <w:shd w:val="clear" w:color="auto" w:fill="E5E5E5"/>
          </w:tcPr>
          <w:p>
            <w:pPr>
              <w:jc w:val="right"/>
              <w:ind w:right="33"/>
              <w:spacing w:after="0"/>
              <w:rPr>
                <w:sz w:val="20"/>
                <w:szCs w:val="20"/>
                <w:color w:val="auto"/>
              </w:rPr>
            </w:pPr>
            <w:r>
              <w:rPr>
                <w:rFonts w:ascii="Arial" w:cs="Arial" w:eastAsia="Arial" w:hAnsi="Arial"/>
                <w:sz w:val="14"/>
                <w:szCs w:val="14"/>
                <w:b w:val="1"/>
                <w:bCs w:val="1"/>
                <w:color w:val="auto"/>
              </w:rPr>
              <w:t>Acquired on Vesting (#)</w:t>
            </w:r>
          </w:p>
        </w:tc>
        <w:tc>
          <w:tcPr>
            <w:tcW w:w="1400" w:type="dxa"/>
            <w:vAlign w:val="bottom"/>
            <w:tcBorders>
              <w:bottom w:val="single" w:sz="8" w:color="DDDDDD"/>
            </w:tcBorders>
            <w:shd w:val="clear" w:color="auto" w:fill="DDDDDD"/>
          </w:tcPr>
          <w:p>
            <w:pPr>
              <w:ind w:left="520"/>
              <w:spacing w:after="0"/>
              <w:rPr>
                <w:sz w:val="20"/>
                <w:szCs w:val="20"/>
                <w:color w:val="auto"/>
              </w:rPr>
            </w:pPr>
            <w:r>
              <w:rPr>
                <w:rFonts w:ascii="Arial" w:cs="Arial" w:eastAsia="Arial" w:hAnsi="Arial"/>
                <w:sz w:val="14"/>
                <w:szCs w:val="14"/>
                <w:b w:val="1"/>
                <w:bCs w:val="1"/>
                <w:color w:val="auto"/>
                <w:highlight w:val="lightGray"/>
                <w:w w:val="92"/>
              </w:rPr>
              <w:t>on Vesting ($)</w:t>
            </w:r>
          </w:p>
        </w:tc>
        <w:tc>
          <w:tcPr>
            <w:tcW w:w="620" w:type="dxa"/>
            <w:vAlign w:val="bottom"/>
            <w:tcBorders>
              <w:bottom w:val="single" w:sz="8" w:color="DDDDDD"/>
              <w:right w:val="single" w:sz="8" w:color="auto"/>
            </w:tcBorders>
            <w:shd w:val="clear" w:color="auto" w:fill="DDDDDD"/>
          </w:tcPr>
          <w:p>
            <w:pPr>
              <w:jc w:val="right"/>
              <w:ind w:right="484"/>
              <w:spacing w:after="0"/>
              <w:rPr>
                <w:sz w:val="20"/>
                <w:szCs w:val="20"/>
                <w:color w:val="auto"/>
              </w:rPr>
            </w:pPr>
            <w:r>
              <w:rPr>
                <w:rFonts w:ascii="Arial" w:cs="Arial" w:eastAsia="Arial" w:hAnsi="Arial"/>
                <w:sz w:val="11"/>
                <w:szCs w:val="11"/>
                <w:b w:val="1"/>
                <w:bCs w:val="1"/>
                <w:color w:val="auto"/>
                <w:highlight w:val="lightGray"/>
                <w:w w:val="97"/>
              </w:rPr>
              <w:t>2</w:t>
            </w:r>
          </w:p>
        </w:tc>
        <w:tc>
          <w:tcPr>
            <w:tcW w:w="0" w:type="dxa"/>
            <w:vAlign w:val="bottom"/>
          </w:tcPr>
          <w:p>
            <w:pPr>
              <w:spacing w:after="0"/>
              <w:rPr>
                <w:sz w:val="1"/>
                <w:szCs w:val="1"/>
                <w:color w:val="auto"/>
              </w:rPr>
            </w:pPr>
          </w:p>
        </w:tc>
      </w:tr>
      <w:tr>
        <w:trPr>
          <w:trHeight w:val="290"/>
        </w:trPr>
        <w:tc>
          <w:tcPr>
            <w:tcW w:w="1400" w:type="dxa"/>
            <w:vAlign w:val="bottom"/>
            <w:tcBorders>
              <w:top w:val="single" w:sz="8" w:color="auto"/>
              <w:left w:val="single" w:sz="8" w:color="auto"/>
              <w:right w:val="single" w:sz="8" w:color="auto"/>
            </w:tcBorders>
          </w:tcPr>
          <w:p>
            <w:pPr>
              <w:spacing w:after="0"/>
              <w:rPr>
                <w:sz w:val="24"/>
                <w:szCs w:val="24"/>
                <w:color w:val="auto"/>
              </w:rPr>
            </w:pPr>
          </w:p>
        </w:tc>
        <w:tc>
          <w:tcPr>
            <w:tcW w:w="1680" w:type="dxa"/>
            <w:vAlign w:val="bottom"/>
            <w:tcBorders>
              <w:top w:val="single" w:sz="8" w:color="auto"/>
              <w:right w:val="single" w:sz="8" w:color="auto"/>
            </w:tcBorders>
          </w:tcPr>
          <w:p>
            <w:pPr>
              <w:spacing w:after="0"/>
              <w:rPr>
                <w:sz w:val="24"/>
                <w:szCs w:val="24"/>
                <w:color w:val="auto"/>
              </w:rPr>
            </w:pPr>
          </w:p>
        </w:tc>
        <w:tc>
          <w:tcPr>
            <w:tcW w:w="1520" w:type="dxa"/>
            <w:vAlign w:val="bottom"/>
            <w:tcBorders>
              <w:top w:val="single" w:sz="8" w:color="auto"/>
              <w:right w:val="single" w:sz="8" w:color="auto"/>
            </w:tcBorders>
          </w:tcPr>
          <w:p>
            <w:pPr>
              <w:spacing w:after="0"/>
              <w:rPr>
                <w:sz w:val="24"/>
                <w:szCs w:val="24"/>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10,244</w:t>
            </w:r>
          </w:p>
        </w:tc>
        <w:tc>
          <w:tcPr>
            <w:tcW w:w="580" w:type="dxa"/>
            <w:vAlign w:val="bottom"/>
            <w:tcBorders>
              <w:top w:val="single" w:sz="8" w:color="auto"/>
              <w:right w:val="single" w:sz="8" w:color="auto"/>
            </w:tcBorders>
          </w:tcPr>
          <w:p>
            <w:pPr>
              <w:jc w:val="right"/>
              <w:ind w:right="433"/>
              <w:spacing w:after="0"/>
              <w:rPr>
                <w:sz w:val="20"/>
                <w:szCs w:val="20"/>
                <w:color w:val="auto"/>
              </w:rPr>
            </w:pPr>
            <w:r>
              <w:rPr>
                <w:rFonts w:ascii="Arial" w:cs="Arial" w:eastAsia="Arial" w:hAnsi="Arial"/>
                <w:sz w:val="9"/>
                <w:szCs w:val="9"/>
                <w:color w:val="auto"/>
              </w:rPr>
              <w:t>3</w:t>
            </w:r>
          </w:p>
        </w:tc>
        <w:tc>
          <w:tcPr>
            <w:tcW w:w="1400" w:type="dxa"/>
            <w:vAlign w:val="bottom"/>
            <w:tcBorders>
              <w:top w:val="single" w:sz="8" w:color="auto"/>
            </w:tcBorders>
            <w:vMerge w:val="restart"/>
          </w:tcPr>
          <w:p>
            <w:pPr>
              <w:jc w:val="center"/>
              <w:ind w:left="529"/>
              <w:spacing w:after="0"/>
              <w:rPr>
                <w:sz w:val="20"/>
                <w:szCs w:val="20"/>
                <w:color w:val="auto"/>
              </w:rPr>
            </w:pPr>
            <w:r>
              <w:rPr>
                <w:rFonts w:ascii="Arial" w:cs="Arial" w:eastAsia="Arial" w:hAnsi="Arial"/>
                <w:sz w:val="14"/>
                <w:szCs w:val="14"/>
                <w:color w:val="auto"/>
              </w:rPr>
              <w:t>$789,095</w:t>
            </w:r>
          </w:p>
        </w:tc>
        <w:tc>
          <w:tcPr>
            <w:tcW w:w="62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1400" w:type="dxa"/>
            <w:vAlign w:val="bottom"/>
            <w:tcBorders>
              <w:left w:val="single" w:sz="8" w:color="auto"/>
              <w:right w:val="single" w:sz="8" w:color="auto"/>
            </w:tcBorders>
          </w:tcPr>
          <w:p>
            <w:pPr>
              <w:spacing w:after="0"/>
              <w:rPr>
                <w:sz w:val="6"/>
                <w:szCs w:val="6"/>
                <w:color w:val="auto"/>
              </w:rPr>
            </w:pPr>
          </w:p>
        </w:tc>
        <w:tc>
          <w:tcPr>
            <w:tcW w:w="1680" w:type="dxa"/>
            <w:vAlign w:val="bottom"/>
            <w:tcBorders>
              <w:right w:val="single" w:sz="8" w:color="auto"/>
            </w:tcBorders>
          </w:tcPr>
          <w:p>
            <w:pPr>
              <w:spacing w:after="0"/>
              <w:rPr>
                <w:sz w:val="6"/>
                <w:szCs w:val="6"/>
                <w:color w:val="auto"/>
              </w:rPr>
            </w:pPr>
          </w:p>
        </w:tc>
        <w:tc>
          <w:tcPr>
            <w:tcW w:w="1520" w:type="dxa"/>
            <w:vAlign w:val="bottom"/>
            <w:tcBorders>
              <w:right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580" w:type="dxa"/>
            <w:vAlign w:val="bottom"/>
            <w:tcBorders>
              <w:bottom w:val="single" w:sz="8" w:color="auto"/>
              <w:right w:val="single" w:sz="8" w:color="auto"/>
            </w:tcBorders>
          </w:tcPr>
          <w:p>
            <w:pPr>
              <w:spacing w:after="0"/>
              <w:rPr>
                <w:sz w:val="6"/>
                <w:szCs w:val="6"/>
                <w:color w:val="auto"/>
              </w:rPr>
            </w:pPr>
          </w:p>
        </w:tc>
        <w:tc>
          <w:tcPr>
            <w:tcW w:w="1400" w:type="dxa"/>
            <w:vAlign w:val="bottom"/>
            <w:tcBorders>
              <w:bottom w:val="single" w:sz="8" w:color="auto"/>
            </w:tcBorders>
            <w:vMerge w:val="continue"/>
          </w:tcPr>
          <w:p>
            <w:pPr>
              <w:spacing w:after="0"/>
              <w:rPr>
                <w:sz w:val="6"/>
                <w:szCs w:val="6"/>
                <w:color w:val="auto"/>
              </w:rPr>
            </w:pPr>
          </w:p>
        </w:tc>
        <w:tc>
          <w:tcPr>
            <w:tcW w:w="6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7"/>
        </w:trPr>
        <w:tc>
          <w:tcPr>
            <w:tcW w:w="1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Mr. Ricks</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1520" w:type="dxa"/>
            <w:vAlign w:val="bottom"/>
            <w:tcBorders>
              <w:right w:val="single" w:sz="8" w:color="auto"/>
            </w:tcBorders>
          </w:tcPr>
          <w:p>
            <w:pPr>
              <w:jc w:val="center"/>
              <w:ind w:right="49"/>
              <w:spacing w:after="0"/>
              <w:rPr>
                <w:sz w:val="20"/>
                <w:szCs w:val="20"/>
                <w:color w:val="auto"/>
              </w:rPr>
            </w:pPr>
            <w:r>
              <w:rPr>
                <w:rFonts w:ascii="Arial" w:cs="Arial" w:eastAsia="Arial" w:hAnsi="Arial"/>
                <w:sz w:val="14"/>
                <w:szCs w:val="14"/>
                <w:color w:val="auto"/>
              </w:rPr>
              <w:t>$0</w:t>
            </w:r>
          </w:p>
        </w:tc>
        <w:tc>
          <w:tcPr>
            <w:tcW w:w="1780" w:type="dxa"/>
            <w:vAlign w:val="bottom"/>
            <w:tcBorders>
              <w:bottom w:val="single" w:sz="8" w:color="auto"/>
              <w:right w:val="single" w:sz="8" w:color="auto"/>
            </w:tcBorders>
            <w:gridSpan w:val="2"/>
          </w:tcPr>
          <w:p>
            <w:pPr>
              <w:jc w:val="right"/>
              <w:ind w:right="433"/>
              <w:spacing w:after="0"/>
              <w:rPr>
                <w:sz w:val="20"/>
                <w:szCs w:val="20"/>
                <w:color w:val="auto"/>
              </w:rPr>
            </w:pPr>
            <w:r>
              <w:rPr>
                <w:rFonts w:ascii="Arial" w:cs="Arial" w:eastAsia="Arial" w:hAnsi="Arial"/>
                <w:sz w:val="14"/>
                <w:szCs w:val="14"/>
                <w:color w:val="auto"/>
              </w:rPr>
              <w:t xml:space="preserve">22,507 </w:t>
            </w:r>
            <w:r>
              <w:rPr>
                <w:rFonts w:ascii="Arial" w:cs="Arial" w:eastAsia="Arial" w:hAnsi="Arial"/>
                <w:sz w:val="17"/>
                <w:szCs w:val="17"/>
                <w:color w:val="auto"/>
                <w:vertAlign w:val="superscript"/>
              </w:rPr>
              <w:t>4</w:t>
            </w:r>
          </w:p>
        </w:tc>
        <w:tc>
          <w:tcPr>
            <w:tcW w:w="1400" w:type="dxa"/>
            <w:vAlign w:val="bottom"/>
            <w:tcBorders>
              <w:bottom w:val="single" w:sz="8" w:color="auto"/>
            </w:tcBorders>
          </w:tcPr>
          <w:p>
            <w:pPr>
              <w:jc w:val="center"/>
              <w:ind w:left="529"/>
              <w:spacing w:after="0"/>
              <w:rPr>
                <w:sz w:val="20"/>
                <w:szCs w:val="20"/>
                <w:color w:val="auto"/>
              </w:rPr>
            </w:pPr>
            <w:r>
              <w:rPr>
                <w:rFonts w:ascii="Arial" w:cs="Arial" w:eastAsia="Arial" w:hAnsi="Arial"/>
                <w:sz w:val="14"/>
                <w:szCs w:val="14"/>
                <w:color w:val="auto"/>
              </w:rPr>
              <w:t>$1,971,613</w:t>
            </w:r>
          </w:p>
        </w:tc>
        <w:tc>
          <w:tcPr>
            <w:tcW w:w="62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bottom w:val="single" w:sz="8" w:color="auto"/>
              <w:right w:val="single" w:sz="8" w:color="auto"/>
            </w:tcBorders>
          </w:tcPr>
          <w:p>
            <w:pPr>
              <w:spacing w:after="0"/>
              <w:rPr>
                <w:sz w:val="21"/>
                <w:szCs w:val="21"/>
                <w:color w:val="auto"/>
              </w:rPr>
            </w:pPr>
          </w:p>
        </w:tc>
        <w:tc>
          <w:tcPr>
            <w:tcW w:w="1680" w:type="dxa"/>
            <w:vAlign w:val="bottom"/>
            <w:tcBorders>
              <w:bottom w:val="single" w:sz="8" w:color="auto"/>
              <w:right w:val="single" w:sz="8" w:color="auto"/>
            </w:tcBorders>
          </w:tcPr>
          <w:p>
            <w:pPr>
              <w:spacing w:after="0"/>
              <w:rPr>
                <w:sz w:val="21"/>
                <w:szCs w:val="21"/>
                <w:color w:val="auto"/>
              </w:rPr>
            </w:pPr>
          </w:p>
        </w:tc>
        <w:tc>
          <w:tcPr>
            <w:tcW w:w="1520" w:type="dxa"/>
            <w:vAlign w:val="bottom"/>
            <w:tcBorders>
              <w:bottom w:val="single" w:sz="8" w:color="auto"/>
              <w:right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5,496</w:t>
            </w:r>
          </w:p>
        </w:tc>
        <w:tc>
          <w:tcPr>
            <w:tcW w:w="580" w:type="dxa"/>
            <w:vAlign w:val="bottom"/>
            <w:tcBorders>
              <w:bottom w:val="single" w:sz="8" w:color="auto"/>
              <w:right w:val="single" w:sz="8" w:color="auto"/>
            </w:tcBorders>
          </w:tcPr>
          <w:p>
            <w:pPr>
              <w:jc w:val="right"/>
              <w:ind w:right="433"/>
              <w:spacing w:after="0"/>
              <w:rPr>
                <w:sz w:val="20"/>
                <w:szCs w:val="20"/>
                <w:color w:val="auto"/>
              </w:rPr>
            </w:pPr>
            <w:r>
              <w:rPr>
                <w:rFonts w:ascii="Arial" w:cs="Arial" w:eastAsia="Arial" w:hAnsi="Arial"/>
                <w:sz w:val="9"/>
                <w:szCs w:val="9"/>
                <w:color w:val="auto"/>
              </w:rPr>
              <w:t>5</w:t>
            </w:r>
          </w:p>
        </w:tc>
        <w:tc>
          <w:tcPr>
            <w:tcW w:w="1400" w:type="dxa"/>
            <w:vAlign w:val="bottom"/>
            <w:tcBorders>
              <w:bottom w:val="single" w:sz="8" w:color="auto"/>
            </w:tcBorders>
          </w:tcPr>
          <w:p>
            <w:pPr>
              <w:jc w:val="center"/>
              <w:ind w:left="529"/>
              <w:spacing w:after="0"/>
              <w:rPr>
                <w:sz w:val="20"/>
                <w:szCs w:val="20"/>
                <w:color w:val="auto"/>
              </w:rPr>
            </w:pPr>
            <w:r>
              <w:rPr>
                <w:rFonts w:ascii="Arial" w:cs="Arial" w:eastAsia="Arial" w:hAnsi="Arial"/>
                <w:sz w:val="14"/>
                <w:szCs w:val="14"/>
                <w:color w:val="auto"/>
              </w:rPr>
              <w:t>$468,919</w:t>
            </w:r>
          </w:p>
        </w:tc>
        <w:tc>
          <w:tcPr>
            <w:tcW w:w="6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14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Mr. Conterno</w:t>
            </w: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0</w:t>
            </w:r>
          </w:p>
        </w:tc>
        <w:tc>
          <w:tcPr>
            <w:tcW w:w="1520" w:type="dxa"/>
            <w:vAlign w:val="bottom"/>
            <w:tcBorders>
              <w:right w:val="single" w:sz="8" w:color="auto"/>
            </w:tcBorders>
            <w:vMerge w:val="restart"/>
          </w:tcPr>
          <w:p>
            <w:pPr>
              <w:jc w:val="center"/>
              <w:ind w:right="49"/>
              <w:spacing w:after="0"/>
              <w:rPr>
                <w:sz w:val="20"/>
                <w:szCs w:val="20"/>
                <w:color w:val="auto"/>
              </w:rPr>
            </w:pPr>
            <w:r>
              <w:rPr>
                <w:rFonts w:ascii="Arial" w:cs="Arial" w:eastAsia="Arial" w:hAnsi="Arial"/>
                <w:sz w:val="14"/>
                <w:szCs w:val="14"/>
                <w:color w:val="auto"/>
              </w:rPr>
              <w:t>$0</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10,244</w:t>
            </w:r>
          </w:p>
        </w:tc>
        <w:tc>
          <w:tcPr>
            <w:tcW w:w="580" w:type="dxa"/>
            <w:vAlign w:val="bottom"/>
            <w:tcBorders>
              <w:bottom w:val="single" w:sz="8" w:color="auto"/>
              <w:right w:val="single" w:sz="8" w:color="auto"/>
            </w:tcBorders>
          </w:tcPr>
          <w:p>
            <w:pPr>
              <w:jc w:val="right"/>
              <w:ind w:right="433"/>
              <w:spacing w:after="0"/>
              <w:rPr>
                <w:sz w:val="20"/>
                <w:szCs w:val="20"/>
                <w:color w:val="auto"/>
              </w:rPr>
            </w:pPr>
            <w:r>
              <w:rPr>
                <w:rFonts w:ascii="Arial" w:cs="Arial" w:eastAsia="Arial" w:hAnsi="Arial"/>
                <w:sz w:val="9"/>
                <w:szCs w:val="9"/>
                <w:color w:val="auto"/>
              </w:rPr>
              <w:t>3</w:t>
            </w:r>
          </w:p>
        </w:tc>
        <w:tc>
          <w:tcPr>
            <w:tcW w:w="1400" w:type="dxa"/>
            <w:vAlign w:val="bottom"/>
            <w:tcBorders>
              <w:bottom w:val="single" w:sz="8" w:color="auto"/>
            </w:tcBorders>
          </w:tcPr>
          <w:p>
            <w:pPr>
              <w:jc w:val="center"/>
              <w:ind w:left="529"/>
              <w:spacing w:after="0"/>
              <w:rPr>
                <w:sz w:val="20"/>
                <w:szCs w:val="20"/>
                <w:color w:val="auto"/>
              </w:rPr>
            </w:pPr>
            <w:r>
              <w:rPr>
                <w:rFonts w:ascii="Arial" w:cs="Arial" w:eastAsia="Arial" w:hAnsi="Arial"/>
                <w:sz w:val="14"/>
                <w:szCs w:val="14"/>
                <w:color w:val="auto"/>
              </w:rPr>
              <w:t>$789,095</w:t>
            </w:r>
          </w:p>
        </w:tc>
        <w:tc>
          <w:tcPr>
            <w:tcW w:w="62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83"/>
        </w:trPr>
        <w:tc>
          <w:tcPr>
            <w:tcW w:w="1400" w:type="dxa"/>
            <w:vAlign w:val="bottom"/>
            <w:tcBorders>
              <w:left w:val="single" w:sz="8" w:color="auto"/>
              <w:right w:val="single" w:sz="8" w:color="auto"/>
            </w:tcBorders>
            <w:vMerge w:val="continue"/>
          </w:tcPr>
          <w:p>
            <w:pPr>
              <w:spacing w:after="0"/>
              <w:rPr>
                <w:sz w:val="7"/>
                <w:szCs w:val="7"/>
                <w:color w:val="auto"/>
              </w:rPr>
            </w:pPr>
          </w:p>
        </w:tc>
        <w:tc>
          <w:tcPr>
            <w:tcW w:w="1680" w:type="dxa"/>
            <w:vAlign w:val="bottom"/>
            <w:tcBorders>
              <w:right w:val="single" w:sz="8" w:color="auto"/>
            </w:tcBorders>
            <w:vMerge w:val="continue"/>
          </w:tcPr>
          <w:p>
            <w:pPr>
              <w:spacing w:after="0"/>
              <w:rPr>
                <w:sz w:val="7"/>
                <w:szCs w:val="7"/>
                <w:color w:val="auto"/>
              </w:rPr>
            </w:pPr>
          </w:p>
        </w:tc>
        <w:tc>
          <w:tcPr>
            <w:tcW w:w="1520" w:type="dxa"/>
            <w:vAlign w:val="bottom"/>
            <w:tcBorders>
              <w:right w:val="single" w:sz="8" w:color="auto"/>
            </w:tcBorders>
            <w:vMerge w:val="continue"/>
          </w:tcPr>
          <w:p>
            <w:pPr>
              <w:spacing w:after="0"/>
              <w:rPr>
                <w:sz w:val="7"/>
                <w:szCs w:val="7"/>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22,507</w:t>
            </w:r>
          </w:p>
        </w:tc>
        <w:tc>
          <w:tcPr>
            <w:tcW w:w="580" w:type="dxa"/>
            <w:vAlign w:val="bottom"/>
            <w:tcBorders>
              <w:right w:val="single" w:sz="8" w:color="auto"/>
            </w:tcBorders>
            <w:vMerge w:val="restart"/>
          </w:tcPr>
          <w:p>
            <w:pPr>
              <w:jc w:val="right"/>
              <w:ind w:right="433"/>
              <w:spacing w:after="0"/>
              <w:rPr>
                <w:sz w:val="20"/>
                <w:szCs w:val="20"/>
                <w:color w:val="auto"/>
              </w:rPr>
            </w:pPr>
            <w:r>
              <w:rPr>
                <w:rFonts w:ascii="Arial" w:cs="Arial" w:eastAsia="Arial" w:hAnsi="Arial"/>
                <w:sz w:val="9"/>
                <w:szCs w:val="9"/>
                <w:color w:val="auto"/>
              </w:rPr>
              <w:t>4</w:t>
            </w:r>
          </w:p>
        </w:tc>
        <w:tc>
          <w:tcPr>
            <w:tcW w:w="1400" w:type="dxa"/>
            <w:vAlign w:val="bottom"/>
            <w:vMerge w:val="restart"/>
          </w:tcPr>
          <w:p>
            <w:pPr>
              <w:jc w:val="center"/>
              <w:ind w:left="529"/>
              <w:spacing w:after="0"/>
              <w:rPr>
                <w:sz w:val="20"/>
                <w:szCs w:val="20"/>
                <w:color w:val="auto"/>
              </w:rPr>
            </w:pPr>
            <w:r>
              <w:rPr>
                <w:rFonts w:ascii="Arial" w:cs="Arial" w:eastAsia="Arial" w:hAnsi="Arial"/>
                <w:sz w:val="14"/>
                <w:szCs w:val="14"/>
                <w:color w:val="auto"/>
              </w:rPr>
              <w:t>$1,971,613</w:t>
            </w:r>
          </w:p>
        </w:tc>
        <w:tc>
          <w:tcPr>
            <w:tcW w:w="6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1680" w:type="dxa"/>
            <w:vAlign w:val="bottom"/>
            <w:tcBorders>
              <w:bottom w:val="single" w:sz="8" w:color="auto"/>
              <w:right w:val="single" w:sz="8" w:color="auto"/>
            </w:tcBorders>
          </w:tcPr>
          <w:p>
            <w:pPr>
              <w:spacing w:after="0"/>
              <w:rPr>
                <w:sz w:val="14"/>
                <w:szCs w:val="14"/>
                <w:color w:val="auto"/>
              </w:rPr>
            </w:pPr>
          </w:p>
        </w:tc>
        <w:tc>
          <w:tcPr>
            <w:tcW w:w="1520" w:type="dxa"/>
            <w:vAlign w:val="bottom"/>
            <w:tcBorders>
              <w:bottom w:val="single" w:sz="8" w:color="auto"/>
              <w:right w:val="single" w:sz="8" w:color="auto"/>
            </w:tcBorders>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580" w:type="dxa"/>
            <w:vAlign w:val="bottom"/>
            <w:tcBorders>
              <w:bottom w:val="single" w:sz="8" w:color="auto"/>
              <w:right w:val="single" w:sz="8" w:color="auto"/>
            </w:tcBorders>
            <w:vMerge w:val="continue"/>
          </w:tcPr>
          <w:p>
            <w:pPr>
              <w:spacing w:after="0"/>
              <w:rPr>
                <w:sz w:val="14"/>
                <w:szCs w:val="14"/>
                <w:color w:val="auto"/>
              </w:rPr>
            </w:pPr>
          </w:p>
        </w:tc>
        <w:tc>
          <w:tcPr>
            <w:tcW w:w="1400" w:type="dxa"/>
            <w:vAlign w:val="bottom"/>
            <w:tcBorders>
              <w:bottom w:val="single" w:sz="8" w:color="auto"/>
            </w:tcBorders>
            <w:vMerge w:val="continue"/>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14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Mr. Rice (retired)</w:t>
            </w: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0</w:t>
            </w:r>
          </w:p>
        </w:tc>
        <w:tc>
          <w:tcPr>
            <w:tcW w:w="1520" w:type="dxa"/>
            <w:vAlign w:val="bottom"/>
            <w:tcBorders>
              <w:right w:val="single" w:sz="8" w:color="auto"/>
            </w:tcBorders>
            <w:vMerge w:val="restart"/>
          </w:tcPr>
          <w:p>
            <w:pPr>
              <w:jc w:val="center"/>
              <w:ind w:right="49"/>
              <w:spacing w:after="0"/>
              <w:rPr>
                <w:sz w:val="20"/>
                <w:szCs w:val="20"/>
                <w:color w:val="auto"/>
              </w:rPr>
            </w:pPr>
            <w:r>
              <w:rPr>
                <w:rFonts w:ascii="Arial" w:cs="Arial" w:eastAsia="Arial" w:hAnsi="Arial"/>
                <w:sz w:val="14"/>
                <w:szCs w:val="14"/>
                <w:color w:val="auto"/>
              </w:rPr>
              <w:t>$0</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19,463</w:t>
            </w:r>
          </w:p>
        </w:tc>
        <w:tc>
          <w:tcPr>
            <w:tcW w:w="580" w:type="dxa"/>
            <w:vAlign w:val="bottom"/>
            <w:tcBorders>
              <w:bottom w:val="single" w:sz="8" w:color="auto"/>
              <w:right w:val="single" w:sz="8" w:color="auto"/>
            </w:tcBorders>
          </w:tcPr>
          <w:p>
            <w:pPr>
              <w:jc w:val="right"/>
              <w:ind w:right="433"/>
              <w:spacing w:after="0"/>
              <w:rPr>
                <w:sz w:val="20"/>
                <w:szCs w:val="20"/>
                <w:color w:val="auto"/>
              </w:rPr>
            </w:pPr>
            <w:r>
              <w:rPr>
                <w:rFonts w:ascii="Arial" w:cs="Arial" w:eastAsia="Arial" w:hAnsi="Arial"/>
                <w:sz w:val="9"/>
                <w:szCs w:val="9"/>
                <w:color w:val="auto"/>
              </w:rPr>
              <w:t>3</w:t>
            </w:r>
          </w:p>
        </w:tc>
        <w:tc>
          <w:tcPr>
            <w:tcW w:w="1400" w:type="dxa"/>
            <w:vAlign w:val="bottom"/>
            <w:tcBorders>
              <w:bottom w:val="single" w:sz="8" w:color="auto"/>
            </w:tcBorders>
          </w:tcPr>
          <w:p>
            <w:pPr>
              <w:jc w:val="center"/>
              <w:ind w:left="529"/>
              <w:spacing w:after="0"/>
              <w:rPr>
                <w:sz w:val="20"/>
                <w:szCs w:val="20"/>
                <w:color w:val="auto"/>
              </w:rPr>
            </w:pPr>
            <w:r>
              <w:rPr>
                <w:rFonts w:ascii="Arial" w:cs="Arial" w:eastAsia="Arial" w:hAnsi="Arial"/>
                <w:sz w:val="14"/>
                <w:szCs w:val="14"/>
                <w:color w:val="auto"/>
              </w:rPr>
              <w:t>$1,499,235</w:t>
            </w:r>
          </w:p>
        </w:tc>
        <w:tc>
          <w:tcPr>
            <w:tcW w:w="62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83"/>
        </w:trPr>
        <w:tc>
          <w:tcPr>
            <w:tcW w:w="1400" w:type="dxa"/>
            <w:vAlign w:val="bottom"/>
            <w:tcBorders>
              <w:left w:val="single" w:sz="8" w:color="auto"/>
              <w:right w:val="single" w:sz="8" w:color="auto"/>
            </w:tcBorders>
            <w:vMerge w:val="continue"/>
          </w:tcPr>
          <w:p>
            <w:pPr>
              <w:spacing w:after="0"/>
              <w:rPr>
                <w:sz w:val="7"/>
                <w:szCs w:val="7"/>
                <w:color w:val="auto"/>
              </w:rPr>
            </w:pPr>
          </w:p>
        </w:tc>
        <w:tc>
          <w:tcPr>
            <w:tcW w:w="1680" w:type="dxa"/>
            <w:vAlign w:val="bottom"/>
            <w:tcBorders>
              <w:right w:val="single" w:sz="8" w:color="auto"/>
            </w:tcBorders>
            <w:vMerge w:val="continue"/>
          </w:tcPr>
          <w:p>
            <w:pPr>
              <w:spacing w:after="0"/>
              <w:rPr>
                <w:sz w:val="7"/>
                <w:szCs w:val="7"/>
                <w:color w:val="auto"/>
              </w:rPr>
            </w:pPr>
          </w:p>
        </w:tc>
        <w:tc>
          <w:tcPr>
            <w:tcW w:w="1520" w:type="dxa"/>
            <w:vAlign w:val="bottom"/>
            <w:tcBorders>
              <w:right w:val="single" w:sz="8" w:color="auto"/>
            </w:tcBorders>
            <w:vMerge w:val="continue"/>
          </w:tcPr>
          <w:p>
            <w:pPr>
              <w:spacing w:after="0"/>
              <w:rPr>
                <w:sz w:val="7"/>
                <w:szCs w:val="7"/>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42,764</w:t>
            </w:r>
          </w:p>
        </w:tc>
        <w:tc>
          <w:tcPr>
            <w:tcW w:w="580" w:type="dxa"/>
            <w:vAlign w:val="bottom"/>
            <w:tcBorders>
              <w:right w:val="single" w:sz="8" w:color="auto"/>
            </w:tcBorders>
            <w:vMerge w:val="restart"/>
          </w:tcPr>
          <w:p>
            <w:pPr>
              <w:jc w:val="right"/>
              <w:ind w:right="433"/>
              <w:spacing w:after="0"/>
              <w:rPr>
                <w:sz w:val="20"/>
                <w:szCs w:val="20"/>
                <w:color w:val="auto"/>
              </w:rPr>
            </w:pPr>
            <w:r>
              <w:rPr>
                <w:rFonts w:ascii="Arial" w:cs="Arial" w:eastAsia="Arial" w:hAnsi="Arial"/>
                <w:sz w:val="9"/>
                <w:szCs w:val="9"/>
                <w:color w:val="auto"/>
              </w:rPr>
              <w:t>4</w:t>
            </w:r>
          </w:p>
        </w:tc>
        <w:tc>
          <w:tcPr>
            <w:tcW w:w="1400" w:type="dxa"/>
            <w:vAlign w:val="bottom"/>
            <w:vMerge w:val="restart"/>
          </w:tcPr>
          <w:p>
            <w:pPr>
              <w:jc w:val="center"/>
              <w:ind w:left="529"/>
              <w:spacing w:after="0"/>
              <w:rPr>
                <w:sz w:val="20"/>
                <w:szCs w:val="20"/>
                <w:color w:val="auto"/>
              </w:rPr>
            </w:pPr>
            <w:r>
              <w:rPr>
                <w:rFonts w:ascii="Arial" w:cs="Arial" w:eastAsia="Arial" w:hAnsi="Arial"/>
                <w:sz w:val="14"/>
                <w:szCs w:val="14"/>
                <w:color w:val="auto"/>
              </w:rPr>
              <w:t>$3,746,126</w:t>
            </w:r>
          </w:p>
        </w:tc>
        <w:tc>
          <w:tcPr>
            <w:tcW w:w="6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1680" w:type="dxa"/>
            <w:vAlign w:val="bottom"/>
            <w:tcBorders>
              <w:bottom w:val="single" w:sz="8" w:color="auto"/>
              <w:right w:val="single" w:sz="8" w:color="auto"/>
            </w:tcBorders>
          </w:tcPr>
          <w:p>
            <w:pPr>
              <w:spacing w:after="0"/>
              <w:rPr>
                <w:sz w:val="14"/>
                <w:szCs w:val="14"/>
                <w:color w:val="auto"/>
              </w:rPr>
            </w:pPr>
          </w:p>
        </w:tc>
        <w:tc>
          <w:tcPr>
            <w:tcW w:w="1520" w:type="dxa"/>
            <w:vAlign w:val="bottom"/>
            <w:tcBorders>
              <w:bottom w:val="single" w:sz="8" w:color="auto"/>
              <w:right w:val="single" w:sz="8" w:color="auto"/>
            </w:tcBorders>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580" w:type="dxa"/>
            <w:vAlign w:val="bottom"/>
            <w:tcBorders>
              <w:bottom w:val="single" w:sz="8" w:color="auto"/>
              <w:right w:val="single" w:sz="8" w:color="auto"/>
            </w:tcBorders>
            <w:vMerge w:val="continue"/>
          </w:tcPr>
          <w:p>
            <w:pPr>
              <w:spacing w:after="0"/>
              <w:rPr>
                <w:sz w:val="14"/>
                <w:szCs w:val="14"/>
                <w:color w:val="auto"/>
              </w:rPr>
            </w:pPr>
          </w:p>
        </w:tc>
        <w:tc>
          <w:tcPr>
            <w:tcW w:w="1400" w:type="dxa"/>
            <w:vAlign w:val="bottom"/>
            <w:tcBorders>
              <w:bottom w:val="single" w:sz="8" w:color="auto"/>
            </w:tcBorders>
            <w:vMerge w:val="continue"/>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14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Dr. Lundberg</w:t>
            </w: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0</w:t>
            </w:r>
          </w:p>
        </w:tc>
        <w:tc>
          <w:tcPr>
            <w:tcW w:w="1520" w:type="dxa"/>
            <w:vAlign w:val="bottom"/>
            <w:tcBorders>
              <w:right w:val="single" w:sz="8" w:color="auto"/>
            </w:tcBorders>
            <w:vMerge w:val="restart"/>
          </w:tcPr>
          <w:p>
            <w:pPr>
              <w:jc w:val="center"/>
              <w:ind w:right="49"/>
              <w:spacing w:after="0"/>
              <w:rPr>
                <w:sz w:val="20"/>
                <w:szCs w:val="20"/>
                <w:color w:val="auto"/>
              </w:rPr>
            </w:pPr>
            <w:r>
              <w:rPr>
                <w:rFonts w:ascii="Arial" w:cs="Arial" w:eastAsia="Arial" w:hAnsi="Arial"/>
                <w:sz w:val="14"/>
                <w:szCs w:val="14"/>
                <w:color w:val="auto"/>
              </w:rPr>
              <w:t>$0</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15,366</w:t>
            </w:r>
          </w:p>
        </w:tc>
        <w:tc>
          <w:tcPr>
            <w:tcW w:w="580" w:type="dxa"/>
            <w:vAlign w:val="bottom"/>
            <w:tcBorders>
              <w:bottom w:val="single" w:sz="8" w:color="auto"/>
              <w:right w:val="single" w:sz="8" w:color="auto"/>
            </w:tcBorders>
          </w:tcPr>
          <w:p>
            <w:pPr>
              <w:jc w:val="right"/>
              <w:ind w:right="433"/>
              <w:spacing w:after="0"/>
              <w:rPr>
                <w:sz w:val="20"/>
                <w:szCs w:val="20"/>
                <w:color w:val="auto"/>
              </w:rPr>
            </w:pPr>
            <w:r>
              <w:rPr>
                <w:rFonts w:ascii="Arial" w:cs="Arial" w:eastAsia="Arial" w:hAnsi="Arial"/>
                <w:sz w:val="9"/>
                <w:szCs w:val="9"/>
                <w:color w:val="auto"/>
              </w:rPr>
              <w:t>3</w:t>
            </w:r>
          </w:p>
        </w:tc>
        <w:tc>
          <w:tcPr>
            <w:tcW w:w="1400" w:type="dxa"/>
            <w:vAlign w:val="bottom"/>
            <w:tcBorders>
              <w:bottom w:val="single" w:sz="8" w:color="auto"/>
            </w:tcBorders>
          </w:tcPr>
          <w:p>
            <w:pPr>
              <w:jc w:val="center"/>
              <w:ind w:left="529"/>
              <w:spacing w:after="0"/>
              <w:rPr>
                <w:sz w:val="20"/>
                <w:szCs w:val="20"/>
                <w:color w:val="auto"/>
              </w:rPr>
            </w:pPr>
            <w:r>
              <w:rPr>
                <w:rFonts w:ascii="Arial" w:cs="Arial" w:eastAsia="Arial" w:hAnsi="Arial"/>
                <w:sz w:val="14"/>
                <w:szCs w:val="14"/>
                <w:color w:val="auto"/>
              </w:rPr>
              <w:t>$1,183,643</w:t>
            </w:r>
          </w:p>
        </w:tc>
        <w:tc>
          <w:tcPr>
            <w:tcW w:w="62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83"/>
        </w:trPr>
        <w:tc>
          <w:tcPr>
            <w:tcW w:w="1400" w:type="dxa"/>
            <w:vAlign w:val="bottom"/>
            <w:tcBorders>
              <w:left w:val="single" w:sz="8" w:color="auto"/>
              <w:right w:val="single" w:sz="8" w:color="auto"/>
            </w:tcBorders>
            <w:vMerge w:val="continue"/>
          </w:tcPr>
          <w:p>
            <w:pPr>
              <w:spacing w:after="0"/>
              <w:rPr>
                <w:sz w:val="7"/>
                <w:szCs w:val="7"/>
                <w:color w:val="auto"/>
              </w:rPr>
            </w:pPr>
          </w:p>
        </w:tc>
        <w:tc>
          <w:tcPr>
            <w:tcW w:w="1680" w:type="dxa"/>
            <w:vAlign w:val="bottom"/>
            <w:tcBorders>
              <w:right w:val="single" w:sz="8" w:color="auto"/>
            </w:tcBorders>
            <w:vMerge w:val="continue"/>
          </w:tcPr>
          <w:p>
            <w:pPr>
              <w:spacing w:after="0"/>
              <w:rPr>
                <w:sz w:val="7"/>
                <w:szCs w:val="7"/>
                <w:color w:val="auto"/>
              </w:rPr>
            </w:pPr>
          </w:p>
        </w:tc>
        <w:tc>
          <w:tcPr>
            <w:tcW w:w="1520" w:type="dxa"/>
            <w:vAlign w:val="bottom"/>
            <w:tcBorders>
              <w:right w:val="single" w:sz="8" w:color="auto"/>
            </w:tcBorders>
            <w:vMerge w:val="continue"/>
          </w:tcPr>
          <w:p>
            <w:pPr>
              <w:spacing w:after="0"/>
              <w:rPr>
                <w:sz w:val="7"/>
                <w:szCs w:val="7"/>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38,262</w:t>
            </w:r>
          </w:p>
        </w:tc>
        <w:tc>
          <w:tcPr>
            <w:tcW w:w="580" w:type="dxa"/>
            <w:vAlign w:val="bottom"/>
            <w:tcBorders>
              <w:right w:val="single" w:sz="8" w:color="auto"/>
            </w:tcBorders>
            <w:vMerge w:val="restart"/>
          </w:tcPr>
          <w:p>
            <w:pPr>
              <w:jc w:val="right"/>
              <w:ind w:right="433"/>
              <w:spacing w:after="0"/>
              <w:rPr>
                <w:sz w:val="20"/>
                <w:szCs w:val="20"/>
                <w:color w:val="auto"/>
              </w:rPr>
            </w:pPr>
            <w:r>
              <w:rPr>
                <w:rFonts w:ascii="Arial" w:cs="Arial" w:eastAsia="Arial" w:hAnsi="Arial"/>
                <w:sz w:val="9"/>
                <w:szCs w:val="9"/>
                <w:color w:val="auto"/>
              </w:rPr>
              <w:t>4</w:t>
            </w:r>
          </w:p>
        </w:tc>
        <w:tc>
          <w:tcPr>
            <w:tcW w:w="1400" w:type="dxa"/>
            <w:vAlign w:val="bottom"/>
            <w:vMerge w:val="restart"/>
          </w:tcPr>
          <w:p>
            <w:pPr>
              <w:jc w:val="center"/>
              <w:ind w:left="529"/>
              <w:spacing w:after="0"/>
              <w:rPr>
                <w:sz w:val="20"/>
                <w:szCs w:val="20"/>
                <w:color w:val="auto"/>
              </w:rPr>
            </w:pPr>
            <w:r>
              <w:rPr>
                <w:rFonts w:ascii="Arial" w:cs="Arial" w:eastAsia="Arial" w:hAnsi="Arial"/>
                <w:sz w:val="14"/>
                <w:szCs w:val="14"/>
                <w:color w:val="auto"/>
              </w:rPr>
              <w:t>$3,351,751</w:t>
            </w:r>
          </w:p>
        </w:tc>
        <w:tc>
          <w:tcPr>
            <w:tcW w:w="6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1680" w:type="dxa"/>
            <w:vAlign w:val="bottom"/>
            <w:tcBorders>
              <w:bottom w:val="single" w:sz="8" w:color="auto"/>
              <w:right w:val="single" w:sz="8" w:color="auto"/>
            </w:tcBorders>
          </w:tcPr>
          <w:p>
            <w:pPr>
              <w:spacing w:after="0"/>
              <w:rPr>
                <w:sz w:val="14"/>
                <w:szCs w:val="14"/>
                <w:color w:val="auto"/>
              </w:rPr>
            </w:pPr>
          </w:p>
        </w:tc>
        <w:tc>
          <w:tcPr>
            <w:tcW w:w="1520" w:type="dxa"/>
            <w:vAlign w:val="bottom"/>
            <w:tcBorders>
              <w:bottom w:val="single" w:sz="8" w:color="auto"/>
              <w:right w:val="single" w:sz="8" w:color="auto"/>
            </w:tcBorders>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580" w:type="dxa"/>
            <w:vAlign w:val="bottom"/>
            <w:tcBorders>
              <w:bottom w:val="single" w:sz="8" w:color="auto"/>
              <w:right w:val="single" w:sz="8" w:color="auto"/>
            </w:tcBorders>
            <w:vMerge w:val="continue"/>
          </w:tcPr>
          <w:p>
            <w:pPr>
              <w:spacing w:after="0"/>
              <w:rPr>
                <w:sz w:val="14"/>
                <w:szCs w:val="14"/>
                <w:color w:val="auto"/>
              </w:rPr>
            </w:pPr>
          </w:p>
        </w:tc>
        <w:tc>
          <w:tcPr>
            <w:tcW w:w="1400" w:type="dxa"/>
            <w:vAlign w:val="bottom"/>
            <w:tcBorders>
              <w:bottom w:val="single" w:sz="8" w:color="auto"/>
            </w:tcBorders>
            <w:vMerge w:val="continue"/>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14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Mr. Harrington</w:t>
            </w: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0</w:t>
            </w:r>
          </w:p>
        </w:tc>
        <w:tc>
          <w:tcPr>
            <w:tcW w:w="1520" w:type="dxa"/>
            <w:vAlign w:val="bottom"/>
            <w:tcBorders>
              <w:right w:val="single" w:sz="8" w:color="auto"/>
            </w:tcBorders>
            <w:vMerge w:val="restart"/>
          </w:tcPr>
          <w:p>
            <w:pPr>
              <w:jc w:val="center"/>
              <w:ind w:right="49"/>
              <w:spacing w:after="0"/>
              <w:rPr>
                <w:sz w:val="20"/>
                <w:szCs w:val="20"/>
                <w:color w:val="auto"/>
              </w:rPr>
            </w:pPr>
            <w:r>
              <w:rPr>
                <w:rFonts w:ascii="Arial" w:cs="Arial" w:eastAsia="Arial" w:hAnsi="Arial"/>
                <w:sz w:val="14"/>
                <w:szCs w:val="14"/>
                <w:color w:val="auto"/>
              </w:rPr>
              <w:t>$0</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9,732</w:t>
            </w:r>
          </w:p>
        </w:tc>
        <w:tc>
          <w:tcPr>
            <w:tcW w:w="580" w:type="dxa"/>
            <w:vAlign w:val="bottom"/>
            <w:tcBorders>
              <w:bottom w:val="single" w:sz="8" w:color="auto"/>
              <w:right w:val="single" w:sz="8" w:color="auto"/>
            </w:tcBorders>
          </w:tcPr>
          <w:p>
            <w:pPr>
              <w:jc w:val="right"/>
              <w:ind w:right="433"/>
              <w:spacing w:after="0"/>
              <w:rPr>
                <w:sz w:val="20"/>
                <w:szCs w:val="20"/>
                <w:color w:val="auto"/>
              </w:rPr>
            </w:pPr>
            <w:r>
              <w:rPr>
                <w:rFonts w:ascii="Arial" w:cs="Arial" w:eastAsia="Arial" w:hAnsi="Arial"/>
                <w:sz w:val="9"/>
                <w:szCs w:val="9"/>
                <w:color w:val="auto"/>
              </w:rPr>
              <w:t>3</w:t>
            </w:r>
          </w:p>
        </w:tc>
        <w:tc>
          <w:tcPr>
            <w:tcW w:w="1400" w:type="dxa"/>
            <w:vAlign w:val="bottom"/>
            <w:tcBorders>
              <w:bottom w:val="single" w:sz="8" w:color="auto"/>
            </w:tcBorders>
          </w:tcPr>
          <w:p>
            <w:pPr>
              <w:jc w:val="center"/>
              <w:ind w:left="529"/>
              <w:spacing w:after="0"/>
              <w:rPr>
                <w:sz w:val="20"/>
                <w:szCs w:val="20"/>
                <w:color w:val="auto"/>
              </w:rPr>
            </w:pPr>
            <w:r>
              <w:rPr>
                <w:rFonts w:ascii="Arial" w:cs="Arial" w:eastAsia="Arial" w:hAnsi="Arial"/>
                <w:sz w:val="14"/>
                <w:szCs w:val="14"/>
                <w:color w:val="auto"/>
              </w:rPr>
              <w:t>$749,656</w:t>
            </w:r>
          </w:p>
        </w:tc>
        <w:tc>
          <w:tcPr>
            <w:tcW w:w="62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83"/>
        </w:trPr>
        <w:tc>
          <w:tcPr>
            <w:tcW w:w="1400" w:type="dxa"/>
            <w:vAlign w:val="bottom"/>
            <w:tcBorders>
              <w:left w:val="single" w:sz="8" w:color="auto"/>
              <w:right w:val="single" w:sz="8" w:color="auto"/>
            </w:tcBorders>
            <w:vMerge w:val="continue"/>
          </w:tcPr>
          <w:p>
            <w:pPr>
              <w:spacing w:after="0"/>
              <w:rPr>
                <w:sz w:val="7"/>
                <w:szCs w:val="7"/>
                <w:color w:val="auto"/>
              </w:rPr>
            </w:pPr>
          </w:p>
        </w:tc>
        <w:tc>
          <w:tcPr>
            <w:tcW w:w="1680" w:type="dxa"/>
            <w:vAlign w:val="bottom"/>
            <w:tcBorders>
              <w:right w:val="single" w:sz="8" w:color="auto"/>
            </w:tcBorders>
            <w:vMerge w:val="continue"/>
          </w:tcPr>
          <w:p>
            <w:pPr>
              <w:spacing w:after="0"/>
              <w:rPr>
                <w:sz w:val="7"/>
                <w:szCs w:val="7"/>
                <w:color w:val="auto"/>
              </w:rPr>
            </w:pPr>
          </w:p>
        </w:tc>
        <w:tc>
          <w:tcPr>
            <w:tcW w:w="1520" w:type="dxa"/>
            <w:vAlign w:val="bottom"/>
            <w:tcBorders>
              <w:right w:val="single" w:sz="8" w:color="auto"/>
            </w:tcBorders>
            <w:vMerge w:val="continue"/>
          </w:tcPr>
          <w:p>
            <w:pPr>
              <w:spacing w:after="0"/>
              <w:rPr>
                <w:sz w:val="7"/>
                <w:szCs w:val="7"/>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25,883</w:t>
            </w:r>
          </w:p>
        </w:tc>
        <w:tc>
          <w:tcPr>
            <w:tcW w:w="580" w:type="dxa"/>
            <w:vAlign w:val="bottom"/>
            <w:tcBorders>
              <w:right w:val="single" w:sz="8" w:color="auto"/>
            </w:tcBorders>
            <w:vMerge w:val="restart"/>
          </w:tcPr>
          <w:p>
            <w:pPr>
              <w:jc w:val="right"/>
              <w:ind w:right="433"/>
              <w:spacing w:after="0"/>
              <w:rPr>
                <w:sz w:val="20"/>
                <w:szCs w:val="20"/>
                <w:color w:val="auto"/>
              </w:rPr>
            </w:pPr>
            <w:r>
              <w:rPr>
                <w:rFonts w:ascii="Arial" w:cs="Arial" w:eastAsia="Arial" w:hAnsi="Arial"/>
                <w:sz w:val="9"/>
                <w:szCs w:val="9"/>
                <w:color w:val="auto"/>
              </w:rPr>
              <w:t>4</w:t>
            </w:r>
          </w:p>
        </w:tc>
        <w:tc>
          <w:tcPr>
            <w:tcW w:w="1400" w:type="dxa"/>
            <w:vAlign w:val="bottom"/>
            <w:vMerge w:val="restart"/>
          </w:tcPr>
          <w:p>
            <w:pPr>
              <w:jc w:val="center"/>
              <w:ind w:left="529"/>
              <w:spacing w:after="0"/>
              <w:rPr>
                <w:sz w:val="20"/>
                <w:szCs w:val="20"/>
                <w:color w:val="auto"/>
              </w:rPr>
            </w:pPr>
            <w:r>
              <w:rPr>
                <w:rFonts w:ascii="Arial" w:cs="Arial" w:eastAsia="Arial" w:hAnsi="Arial"/>
                <w:sz w:val="14"/>
                <w:szCs w:val="14"/>
                <w:color w:val="auto"/>
              </w:rPr>
              <w:t>$2,267,351</w:t>
            </w:r>
          </w:p>
        </w:tc>
        <w:tc>
          <w:tcPr>
            <w:tcW w:w="6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1680" w:type="dxa"/>
            <w:vAlign w:val="bottom"/>
            <w:tcBorders>
              <w:bottom w:val="single" w:sz="8" w:color="auto"/>
              <w:right w:val="single" w:sz="8" w:color="auto"/>
            </w:tcBorders>
          </w:tcPr>
          <w:p>
            <w:pPr>
              <w:spacing w:after="0"/>
              <w:rPr>
                <w:sz w:val="14"/>
                <w:szCs w:val="14"/>
                <w:color w:val="auto"/>
              </w:rPr>
            </w:pPr>
          </w:p>
        </w:tc>
        <w:tc>
          <w:tcPr>
            <w:tcW w:w="1520" w:type="dxa"/>
            <w:vAlign w:val="bottom"/>
            <w:tcBorders>
              <w:bottom w:val="single" w:sz="8" w:color="auto"/>
              <w:right w:val="single" w:sz="8" w:color="auto"/>
            </w:tcBorders>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580" w:type="dxa"/>
            <w:vAlign w:val="bottom"/>
            <w:tcBorders>
              <w:bottom w:val="single" w:sz="8" w:color="auto"/>
              <w:right w:val="single" w:sz="8" w:color="auto"/>
            </w:tcBorders>
            <w:vMerge w:val="continue"/>
          </w:tcPr>
          <w:p>
            <w:pPr>
              <w:spacing w:after="0"/>
              <w:rPr>
                <w:sz w:val="14"/>
                <w:szCs w:val="14"/>
                <w:color w:val="auto"/>
              </w:rPr>
            </w:pPr>
          </w:p>
        </w:tc>
        <w:tc>
          <w:tcPr>
            <w:tcW w:w="1400" w:type="dxa"/>
            <w:vAlign w:val="bottom"/>
            <w:tcBorders>
              <w:bottom w:val="single" w:sz="8" w:color="auto"/>
            </w:tcBorders>
            <w:vMerge w:val="continue"/>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20" w:right="140" w:hanging="4"/>
        <w:spacing w:after="0" w:line="225" w:lineRule="auto"/>
        <w:tabs>
          <w:tab w:leader="none" w:pos="230" w:val="left"/>
        </w:tabs>
        <w:numPr>
          <w:ilvl w:val="0"/>
          <w:numId w:val="81"/>
        </w:numPr>
        <w:rPr>
          <w:rFonts w:ascii="Arial" w:cs="Arial" w:eastAsia="Arial" w:hAnsi="Arial"/>
          <w:sz w:val="22"/>
          <w:szCs w:val="22"/>
          <w:color w:val="auto"/>
          <w:vertAlign w:val="superscript"/>
        </w:rPr>
      </w:pPr>
      <w:r>
        <w:rPr>
          <w:rFonts w:ascii="Arial" w:cs="Arial" w:eastAsia="Arial" w:hAnsi="Arial"/>
          <w:sz w:val="18"/>
          <w:szCs w:val="18"/>
          <w:color w:val="auto"/>
        </w:rPr>
        <w:t>The chart no longer includes stock option awards because the company has not awarded stock options to employees since 2006 and there are no outstanding stock option awards.</w:t>
      </w:r>
    </w:p>
    <w:p>
      <w:pPr>
        <w:spacing w:after="0" w:line="181" w:lineRule="exact"/>
        <w:rPr>
          <w:sz w:val="20"/>
          <w:szCs w:val="20"/>
          <w:color w:val="auto"/>
        </w:rPr>
      </w:pPr>
    </w:p>
    <w:p>
      <w:pPr>
        <w:ind w:left="200" w:hanging="84"/>
        <w:spacing w:after="0"/>
        <w:tabs>
          <w:tab w:leader="none" w:pos="200" w:val="left"/>
        </w:tabs>
        <w:numPr>
          <w:ilvl w:val="0"/>
          <w:numId w:val="82"/>
        </w:numPr>
        <w:rPr>
          <w:rFonts w:ascii="Arial" w:cs="Arial" w:eastAsia="Arial" w:hAnsi="Arial"/>
          <w:sz w:val="22"/>
          <w:szCs w:val="22"/>
          <w:color w:val="auto"/>
          <w:vertAlign w:val="superscript"/>
        </w:rPr>
      </w:pPr>
      <w:r>
        <w:rPr>
          <w:rFonts w:ascii="Arial" w:cs="Arial" w:eastAsia="Arial" w:hAnsi="Arial"/>
          <w:sz w:val="18"/>
          <w:szCs w:val="18"/>
          <w:color w:val="auto"/>
        </w:rPr>
        <w:t>Amounts reflect the market value of the stock on the day the stock vested.</w:t>
      </w:r>
    </w:p>
    <w:p>
      <w:pPr>
        <w:spacing w:after="0" w:line="179" w:lineRule="exact"/>
        <w:rPr>
          <w:sz w:val="20"/>
          <w:szCs w:val="20"/>
          <w:color w:val="auto"/>
        </w:rPr>
      </w:pPr>
    </w:p>
    <w:p>
      <w:pPr>
        <w:ind w:left="300" w:hanging="184"/>
        <w:spacing w:after="0"/>
        <w:tabs>
          <w:tab w:leader="none" w:pos="300" w:val="left"/>
        </w:tabs>
        <w:numPr>
          <w:ilvl w:val="0"/>
          <w:numId w:val="83"/>
        </w:numPr>
        <w:rPr>
          <w:rFonts w:ascii="Arial" w:cs="Arial" w:eastAsia="Arial" w:hAnsi="Arial"/>
          <w:sz w:val="22"/>
          <w:szCs w:val="22"/>
          <w:color w:val="auto"/>
          <w:vertAlign w:val="superscript"/>
        </w:rPr>
      </w:pPr>
      <w:r>
        <w:rPr>
          <w:rFonts w:ascii="Arial" w:cs="Arial" w:eastAsia="Arial" w:hAnsi="Arial"/>
          <w:sz w:val="18"/>
          <w:szCs w:val="18"/>
          <w:color w:val="auto"/>
        </w:rPr>
        <w:t>Restricted stock units resulting from the 2014-2016 performance award that vested in February 2017.</w:t>
      </w:r>
    </w:p>
    <w:p>
      <w:pPr>
        <w:spacing w:after="0" w:line="179" w:lineRule="exact"/>
        <w:rPr>
          <w:sz w:val="20"/>
          <w:szCs w:val="20"/>
          <w:color w:val="auto"/>
        </w:rPr>
      </w:pPr>
    </w:p>
    <w:p>
      <w:pPr>
        <w:ind w:left="300" w:hanging="184"/>
        <w:spacing w:after="0"/>
        <w:tabs>
          <w:tab w:leader="none" w:pos="300" w:val="left"/>
        </w:tabs>
        <w:numPr>
          <w:ilvl w:val="0"/>
          <w:numId w:val="84"/>
        </w:numPr>
        <w:rPr>
          <w:rFonts w:ascii="Arial" w:cs="Arial" w:eastAsia="Arial" w:hAnsi="Arial"/>
          <w:sz w:val="22"/>
          <w:szCs w:val="22"/>
          <w:color w:val="auto"/>
          <w:vertAlign w:val="superscript"/>
        </w:rPr>
      </w:pPr>
      <w:r>
        <w:rPr>
          <w:rFonts w:ascii="Arial" w:cs="Arial" w:eastAsia="Arial" w:hAnsi="Arial"/>
          <w:sz w:val="18"/>
          <w:szCs w:val="18"/>
          <w:color w:val="auto"/>
        </w:rPr>
        <w:t>Payout of the 2015-2017 shareholder value award at 100 percent of target.</w:t>
      </w:r>
    </w:p>
    <w:p>
      <w:pPr>
        <w:spacing w:after="0" w:line="179" w:lineRule="exact"/>
        <w:rPr>
          <w:sz w:val="20"/>
          <w:szCs w:val="20"/>
          <w:color w:val="auto"/>
        </w:rPr>
      </w:pPr>
    </w:p>
    <w:p>
      <w:pPr>
        <w:ind w:left="300" w:hanging="184"/>
        <w:spacing w:after="0"/>
        <w:tabs>
          <w:tab w:leader="none" w:pos="300" w:val="left"/>
        </w:tabs>
        <w:numPr>
          <w:ilvl w:val="0"/>
          <w:numId w:val="85"/>
        </w:numPr>
        <w:rPr>
          <w:rFonts w:ascii="Arial" w:cs="Arial" w:eastAsia="Arial" w:hAnsi="Arial"/>
          <w:sz w:val="22"/>
          <w:szCs w:val="22"/>
          <w:color w:val="auto"/>
          <w:vertAlign w:val="superscript"/>
        </w:rPr>
      </w:pPr>
      <w:r>
        <w:rPr>
          <w:rFonts w:ascii="Arial" w:cs="Arial" w:eastAsia="Arial" w:hAnsi="Arial"/>
          <w:sz w:val="18"/>
          <w:szCs w:val="18"/>
          <w:color w:val="auto"/>
        </w:rPr>
        <w:t>This grant was made in 2007 before Mr. Ricks became an executive officer. This award was granted outside of the normal annual cycle.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Retirement Benefits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We provide retirement income to eligible U.S. employees, including executive officers, through the following plans:</w:t>
      </w:r>
    </w:p>
    <w:p>
      <w:pPr>
        <w:spacing w:after="0" w:line="63" w:lineRule="exact"/>
        <w:rPr>
          <w:sz w:val="20"/>
          <w:szCs w:val="20"/>
          <w:color w:val="auto"/>
        </w:rPr>
      </w:pPr>
    </w:p>
    <w:p>
      <w:pPr>
        <w:ind w:left="340" w:right="120" w:hanging="332"/>
        <w:spacing w:after="0" w:line="253" w:lineRule="auto"/>
        <w:tabs>
          <w:tab w:leader="none" w:pos="3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401(k) Plan, a defined contribution plan qualified under Sections 401(a) and 401(k) of the Internal Revenue Code. Participants may elect to contribute a portion of their base salary to the plan, and the company provides matching contributions on employees’ contributions up to 6 percent of base salary up to IRS limits. The employee contributions, company contributions, and earnings thereon are paid out in accordance with elections made by the participant. See the "All Other Compensation" column in the Summary Compensation Table for information about company contributions under the 401(k) Plan for the named executive officers.</w:t>
      </w:r>
    </w:p>
    <w:p>
      <w:pPr>
        <w:spacing w:after="0" w:line="43" w:lineRule="exact"/>
        <w:rPr>
          <w:rFonts w:ascii="Arial" w:cs="Arial" w:eastAsia="Arial" w:hAnsi="Arial"/>
          <w:sz w:val="18"/>
          <w:szCs w:val="18"/>
          <w:color w:val="auto"/>
        </w:rPr>
      </w:pPr>
    </w:p>
    <w:p>
      <w:pPr>
        <w:ind w:left="340" w:right="100" w:hanging="332"/>
        <w:spacing w:after="0" w:line="262" w:lineRule="auto"/>
        <w:tabs>
          <w:tab w:leader="none" w:pos="3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Retirement Plan, a tax-qualified defined benefit plan that provides monthly benefits to retirees. See the Pension Benefits in 2017 table below for additional information about the value of these pension benefits.</w:t>
      </w: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P54</w:t>
      </w:r>
    </w:p>
    <w:p>
      <w:pPr>
        <w:sectPr>
          <w:pgSz w:w="11900" w:h="16838" w:orient="portrait"/>
          <w:cols w:equalWidth="0" w:num="1">
            <w:col w:w="11420"/>
          </w:cols>
          <w:pgMar w:left="240" w:top="598"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color w:val="auto"/>
        </w:rPr>
        <w:t>Sections 401 and 415 of the Internal Revenue Code generally limit the amount of annual pension that can be paid from a tax-qualified plan</w:t>
      </w:r>
    </w:p>
    <w:p>
      <w:pPr>
        <w:spacing w:after="0" w:line="9"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($270,000 in 2017 and $ 275,000 in 2018) as well as the amount of annual earnings that can be used to calculate a pension benefit. However, since 1975 the company has maintained a nonqualified pension plan that pays retirees the difference between the amount payable under the Retirement Plan and the amount they would have received without the Internal Revenue Code limits. The nonqualified pension plan is unfunded and subject to forfeiture in the event of bankruptcy. Likewise the company maintains a nonqualified savings plan that allows participants to contribute up to 6 percent of base salary exceeding the IRS limit. The company matches these contributions as described in the 401(k) Plan. For more information, see footnote 3 to the Nonqualified Deferred Compensation in 2017 table.</w:t>
      </w:r>
    </w:p>
    <w:p>
      <w:pPr>
        <w:spacing w:after="0" w:line="209"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The following table shows benefits that the named executive officers have accrued under the Retirement Plan and the nonqualified pension plan.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Pension Benefits in 2017</w:t>
      </w:r>
    </w:p>
    <w:p>
      <w:pPr>
        <w:spacing w:after="0" w:line="147" w:lineRule="exact"/>
        <w:rPr>
          <w:sz w:val="20"/>
          <w:szCs w:val="20"/>
          <w:color w:val="auto"/>
        </w:rPr>
      </w:pPr>
    </w:p>
    <w:tbl>
      <w:tblPr>
        <w:tblLayout w:type="fixed"/>
        <w:tblInd w:w="1170" w:type="dxa"/>
        <w:tblCellMar>
          <w:top w:w="0" w:type="dxa"/>
          <w:left w:w="0" w:type="dxa"/>
          <w:bottom w:w="0" w:type="dxa"/>
          <w:right w:w="0" w:type="dxa"/>
        </w:tblCellMar>
      </w:tblPr>
      <w:tr>
        <w:trPr>
          <w:trHeight w:val="189"/>
        </w:trPr>
        <w:tc>
          <w:tcPr>
            <w:tcW w:w="1740" w:type="dxa"/>
            <w:vAlign w:val="bottom"/>
            <w:tcBorders>
              <w:top w:val="single" w:sz="8" w:color="auto"/>
              <w:left w:val="single" w:sz="8" w:color="auto"/>
              <w:right w:val="single" w:sz="8" w:color="auto"/>
            </w:tcBorders>
            <w:shd w:val="clear" w:color="auto" w:fill="E5E5E5"/>
          </w:tcPr>
          <w:p>
            <w:pPr>
              <w:spacing w:after="0"/>
              <w:rPr>
                <w:sz w:val="16"/>
                <w:szCs w:val="16"/>
                <w:color w:val="auto"/>
              </w:rPr>
            </w:pPr>
          </w:p>
        </w:tc>
        <w:tc>
          <w:tcPr>
            <w:tcW w:w="1980" w:type="dxa"/>
            <w:vAlign w:val="bottom"/>
            <w:tcBorders>
              <w:top w:val="single" w:sz="8" w:color="auto"/>
              <w:right w:val="single" w:sz="8" w:color="auto"/>
            </w:tcBorders>
            <w:shd w:val="clear" w:color="auto" w:fill="E5E5E5"/>
          </w:tcPr>
          <w:p>
            <w:pPr>
              <w:spacing w:after="0"/>
              <w:rPr>
                <w:sz w:val="16"/>
                <w:szCs w:val="16"/>
                <w:color w:val="auto"/>
              </w:rPr>
            </w:pPr>
          </w:p>
        </w:tc>
        <w:tc>
          <w:tcPr>
            <w:tcW w:w="1780" w:type="dxa"/>
            <w:vAlign w:val="bottom"/>
            <w:tcBorders>
              <w:top w:val="single" w:sz="8" w:color="auto"/>
              <w:right w:val="single" w:sz="8" w:color="auto"/>
            </w:tcBorders>
            <w:shd w:val="clear" w:color="auto" w:fill="E5E5E5"/>
          </w:tcPr>
          <w:p>
            <w:pPr>
              <w:jc w:val="center"/>
              <w:spacing w:after="0"/>
              <w:rPr>
                <w:sz w:val="20"/>
                <w:szCs w:val="20"/>
                <w:color w:val="auto"/>
              </w:rPr>
            </w:pPr>
            <w:r>
              <w:rPr>
                <w:rFonts w:ascii="Arial" w:cs="Arial" w:eastAsia="Arial" w:hAnsi="Arial"/>
                <w:sz w:val="14"/>
                <w:szCs w:val="14"/>
                <w:b w:val="1"/>
                <w:bCs w:val="1"/>
                <w:color w:val="auto"/>
              </w:rPr>
              <w:t>Number of Years of</w:t>
            </w:r>
          </w:p>
        </w:tc>
        <w:tc>
          <w:tcPr>
            <w:tcW w:w="1840" w:type="dxa"/>
            <w:vAlign w:val="bottom"/>
            <w:tcBorders>
              <w:top w:val="single" w:sz="8" w:color="auto"/>
              <w:right w:val="single" w:sz="8" w:color="auto"/>
            </w:tcBorders>
            <w:shd w:val="clear" w:color="auto" w:fill="E5E5E5"/>
          </w:tcPr>
          <w:p>
            <w:pPr>
              <w:jc w:val="right"/>
              <w:ind w:right="308"/>
              <w:spacing w:after="0"/>
              <w:rPr>
                <w:sz w:val="20"/>
                <w:szCs w:val="20"/>
                <w:color w:val="auto"/>
              </w:rPr>
            </w:pPr>
            <w:r>
              <w:rPr>
                <w:rFonts w:ascii="Arial" w:cs="Arial" w:eastAsia="Arial" w:hAnsi="Arial"/>
                <w:sz w:val="14"/>
                <w:szCs w:val="14"/>
                <w:b w:val="1"/>
                <w:bCs w:val="1"/>
                <w:color w:val="auto"/>
              </w:rPr>
              <w:t>Present Value of</w:t>
            </w:r>
          </w:p>
        </w:tc>
        <w:tc>
          <w:tcPr>
            <w:tcW w:w="1800" w:type="dxa"/>
            <w:vAlign w:val="bottom"/>
            <w:tcBorders>
              <w:top w:val="single" w:sz="8" w:color="auto"/>
              <w:right w:val="single" w:sz="8" w:color="auto"/>
            </w:tcBorders>
            <w:shd w:val="clear" w:color="auto" w:fill="E5E5E5"/>
          </w:tcPr>
          <w:p>
            <w:pPr>
              <w:jc w:val="center"/>
              <w:spacing w:after="0"/>
              <w:rPr>
                <w:sz w:val="20"/>
                <w:szCs w:val="20"/>
                <w:color w:val="auto"/>
              </w:rPr>
            </w:pPr>
            <w:r>
              <w:rPr>
                <w:rFonts w:ascii="Arial" w:cs="Arial" w:eastAsia="Arial" w:hAnsi="Arial"/>
                <w:sz w:val="14"/>
                <w:szCs w:val="14"/>
                <w:b w:val="1"/>
                <w:bCs w:val="1"/>
                <w:color w:val="auto"/>
              </w:rPr>
              <w:t>Payments During</w:t>
            </w:r>
          </w:p>
        </w:tc>
      </w:tr>
      <w:tr>
        <w:trPr>
          <w:trHeight w:val="202"/>
        </w:trPr>
        <w:tc>
          <w:tcPr>
            <w:tcW w:w="1740" w:type="dxa"/>
            <w:vAlign w:val="bottom"/>
            <w:tcBorders>
              <w:left w:val="single" w:sz="8" w:color="auto"/>
              <w:bottom w:val="single" w:sz="8" w:color="auto"/>
              <w:right w:val="single" w:sz="8" w:color="auto"/>
            </w:tcBorders>
            <w:shd w:val="clear" w:color="auto" w:fill="E5E5E5"/>
          </w:tcPr>
          <w:p>
            <w:pPr>
              <w:ind w:left="660"/>
              <w:spacing w:after="0"/>
              <w:rPr>
                <w:sz w:val="20"/>
                <w:szCs w:val="20"/>
                <w:color w:val="auto"/>
              </w:rPr>
            </w:pPr>
            <w:r>
              <w:rPr>
                <w:rFonts w:ascii="Arial" w:cs="Arial" w:eastAsia="Arial" w:hAnsi="Arial"/>
                <w:sz w:val="14"/>
                <w:szCs w:val="14"/>
                <w:b w:val="1"/>
                <w:bCs w:val="1"/>
                <w:color w:val="auto"/>
              </w:rPr>
              <w:t>Name</w:t>
            </w:r>
          </w:p>
        </w:tc>
        <w:tc>
          <w:tcPr>
            <w:tcW w:w="1980" w:type="dxa"/>
            <w:vAlign w:val="bottom"/>
            <w:tcBorders>
              <w:bottom w:val="single" w:sz="8" w:color="auto"/>
              <w:right w:val="single" w:sz="8" w:color="auto"/>
            </w:tcBorders>
            <w:shd w:val="clear" w:color="auto" w:fill="E5E5E5"/>
          </w:tcPr>
          <w:p>
            <w:pPr>
              <w:jc w:val="right"/>
              <w:ind w:right="788"/>
              <w:spacing w:after="0"/>
              <w:rPr>
                <w:sz w:val="20"/>
                <w:szCs w:val="20"/>
                <w:color w:val="auto"/>
              </w:rPr>
            </w:pPr>
            <w:r>
              <w:rPr>
                <w:rFonts w:ascii="Arial" w:cs="Arial" w:eastAsia="Arial" w:hAnsi="Arial"/>
                <w:sz w:val="14"/>
                <w:szCs w:val="14"/>
                <w:b w:val="1"/>
                <w:bCs w:val="1"/>
                <w:color w:val="auto"/>
              </w:rPr>
              <w:t>Plan</w:t>
            </w:r>
          </w:p>
        </w:tc>
        <w:tc>
          <w:tcPr>
            <w:tcW w:w="1780" w:type="dxa"/>
            <w:vAlign w:val="bottom"/>
            <w:tcBorders>
              <w:bottom w:val="single" w:sz="8" w:color="auto"/>
              <w:right w:val="single" w:sz="8" w:color="auto"/>
            </w:tcBorders>
            <w:shd w:val="clear" w:color="auto" w:fill="E5E5E5"/>
          </w:tcPr>
          <w:p>
            <w:pPr>
              <w:jc w:val="center"/>
              <w:spacing w:after="0"/>
              <w:rPr>
                <w:sz w:val="20"/>
                <w:szCs w:val="20"/>
                <w:color w:val="auto"/>
              </w:rPr>
            </w:pPr>
            <w:r>
              <w:rPr>
                <w:rFonts w:ascii="Arial" w:cs="Arial" w:eastAsia="Arial" w:hAnsi="Arial"/>
                <w:sz w:val="14"/>
                <w:szCs w:val="14"/>
                <w:b w:val="1"/>
                <w:bCs w:val="1"/>
                <w:color w:val="auto"/>
              </w:rPr>
              <w:t>Credited Service</w:t>
            </w:r>
          </w:p>
        </w:tc>
        <w:tc>
          <w:tcPr>
            <w:tcW w:w="1840" w:type="dxa"/>
            <w:vAlign w:val="bottom"/>
            <w:tcBorders>
              <w:bottom w:val="single" w:sz="8" w:color="auto"/>
              <w:right w:val="single" w:sz="8" w:color="auto"/>
            </w:tcBorders>
            <w:shd w:val="clear" w:color="auto" w:fill="E5E5E5"/>
          </w:tcPr>
          <w:p>
            <w:pPr>
              <w:jc w:val="right"/>
              <w:ind w:right="8"/>
              <w:spacing w:after="0"/>
              <w:rPr>
                <w:sz w:val="20"/>
                <w:szCs w:val="20"/>
                <w:color w:val="auto"/>
              </w:rPr>
            </w:pPr>
            <w:r>
              <w:rPr>
                <w:rFonts w:ascii="Arial" w:cs="Arial" w:eastAsia="Arial" w:hAnsi="Arial"/>
                <w:sz w:val="14"/>
                <w:szCs w:val="14"/>
                <w:b w:val="1"/>
                <w:bCs w:val="1"/>
                <w:color w:val="auto"/>
              </w:rPr>
              <w:t xml:space="preserve">Accumulated Benefit ($) </w:t>
            </w:r>
            <w:r>
              <w:rPr>
                <w:rFonts w:ascii="Arial" w:cs="Arial" w:eastAsia="Arial" w:hAnsi="Arial"/>
                <w:sz w:val="17"/>
                <w:szCs w:val="17"/>
                <w:b w:val="1"/>
                <w:bCs w:val="1"/>
                <w:color w:val="auto"/>
                <w:vertAlign w:val="superscript"/>
              </w:rPr>
              <w:t>1</w:t>
            </w:r>
          </w:p>
        </w:tc>
        <w:tc>
          <w:tcPr>
            <w:tcW w:w="1800" w:type="dxa"/>
            <w:vAlign w:val="bottom"/>
            <w:tcBorders>
              <w:bottom w:val="single" w:sz="8" w:color="auto"/>
              <w:right w:val="single" w:sz="8" w:color="auto"/>
            </w:tcBorders>
            <w:shd w:val="clear" w:color="auto" w:fill="E5E5E5"/>
          </w:tcPr>
          <w:p>
            <w:pPr>
              <w:jc w:val="center"/>
              <w:spacing w:after="0"/>
              <w:rPr>
                <w:sz w:val="20"/>
                <w:szCs w:val="20"/>
                <w:color w:val="auto"/>
              </w:rPr>
            </w:pPr>
            <w:r>
              <w:rPr>
                <w:rFonts w:ascii="Arial" w:cs="Arial" w:eastAsia="Arial" w:hAnsi="Arial"/>
                <w:sz w:val="14"/>
                <w:szCs w:val="14"/>
                <w:b w:val="1"/>
                <w:bCs w:val="1"/>
                <w:color w:val="auto"/>
              </w:rPr>
              <w:t>Last Fiscal Year ($)</w:t>
            </w:r>
          </w:p>
        </w:tc>
      </w:tr>
      <w:tr>
        <w:trPr>
          <w:trHeight w:val="252"/>
        </w:trPr>
        <w:tc>
          <w:tcPr>
            <w:tcW w:w="17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Mr. Ricks</w:t>
            </w:r>
          </w:p>
        </w:tc>
        <w:tc>
          <w:tcPr>
            <w:tcW w:w="19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retirement plan (pre-2010)</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14</w:t>
            </w:r>
          </w:p>
        </w:tc>
        <w:tc>
          <w:tcPr>
            <w:tcW w:w="18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$570,749</w:t>
            </w:r>
          </w:p>
        </w:tc>
        <w:tc>
          <w:tcPr>
            <w:tcW w:w="1800" w:type="dxa"/>
            <w:vAlign w:val="bottom"/>
            <w:tcBorders>
              <w:right w:val="single" w:sz="8" w:color="auto"/>
            </w:tcBorders>
          </w:tcPr>
          <w:p>
            <w:pPr>
              <w:spacing w:after="0"/>
              <w:rPr>
                <w:sz w:val="21"/>
                <w:szCs w:val="21"/>
                <w:color w:val="auto"/>
              </w:rPr>
            </w:pPr>
          </w:p>
        </w:tc>
      </w:tr>
      <w:tr>
        <w:trPr>
          <w:trHeight w:val="270"/>
        </w:trPr>
        <w:tc>
          <w:tcPr>
            <w:tcW w:w="1740" w:type="dxa"/>
            <w:vAlign w:val="bottom"/>
            <w:tcBorders>
              <w:left w:val="single" w:sz="8" w:color="auto"/>
              <w:right w:val="single" w:sz="8" w:color="auto"/>
            </w:tcBorders>
          </w:tcPr>
          <w:p>
            <w:pPr>
              <w:spacing w:after="0"/>
              <w:rPr>
                <w:sz w:val="23"/>
                <w:szCs w:val="23"/>
                <w:color w:val="auto"/>
              </w:rPr>
            </w:pPr>
          </w:p>
        </w:tc>
        <w:tc>
          <w:tcPr>
            <w:tcW w:w="19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retirement plan (post-2009)</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8</w:t>
            </w:r>
          </w:p>
        </w:tc>
        <w:tc>
          <w:tcPr>
            <w:tcW w:w="18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$203,352</w:t>
            </w:r>
          </w:p>
        </w:tc>
        <w:tc>
          <w:tcPr>
            <w:tcW w:w="1800" w:type="dxa"/>
            <w:vAlign w:val="bottom"/>
            <w:tcBorders>
              <w:right w:val="single" w:sz="8" w:color="auto"/>
            </w:tcBorders>
          </w:tcPr>
          <w:p>
            <w:pPr>
              <w:spacing w:after="0"/>
              <w:rPr>
                <w:sz w:val="23"/>
                <w:szCs w:val="23"/>
                <w:color w:val="auto"/>
              </w:rPr>
            </w:pPr>
          </w:p>
        </w:tc>
      </w:tr>
      <w:tr>
        <w:trPr>
          <w:trHeight w:val="270"/>
        </w:trPr>
        <w:tc>
          <w:tcPr>
            <w:tcW w:w="1740" w:type="dxa"/>
            <w:vAlign w:val="bottom"/>
            <w:tcBorders>
              <w:left w:val="single" w:sz="8" w:color="auto"/>
              <w:right w:val="single" w:sz="8" w:color="auto"/>
            </w:tcBorders>
          </w:tcPr>
          <w:p>
            <w:pPr>
              <w:spacing w:after="0"/>
              <w:rPr>
                <w:sz w:val="23"/>
                <w:szCs w:val="23"/>
                <w:color w:val="auto"/>
              </w:rPr>
            </w:pPr>
          </w:p>
        </w:tc>
        <w:tc>
          <w:tcPr>
            <w:tcW w:w="19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nonqualified plan (pre-2010)</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14</w:t>
            </w:r>
          </w:p>
        </w:tc>
        <w:tc>
          <w:tcPr>
            <w:tcW w:w="18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$2,816,826</w:t>
            </w:r>
          </w:p>
        </w:tc>
        <w:tc>
          <w:tcPr>
            <w:tcW w:w="1800" w:type="dxa"/>
            <w:vAlign w:val="bottom"/>
            <w:tcBorders>
              <w:right w:val="single" w:sz="8" w:color="auto"/>
            </w:tcBorders>
          </w:tcPr>
          <w:p>
            <w:pPr>
              <w:spacing w:after="0"/>
              <w:rPr>
                <w:sz w:val="23"/>
                <w:szCs w:val="23"/>
                <w:color w:val="auto"/>
              </w:rPr>
            </w:pPr>
          </w:p>
        </w:tc>
      </w:tr>
      <w:tr>
        <w:trPr>
          <w:trHeight w:val="276"/>
        </w:trPr>
        <w:tc>
          <w:tcPr>
            <w:tcW w:w="1740" w:type="dxa"/>
            <w:vAlign w:val="bottom"/>
            <w:tcBorders>
              <w:left w:val="single" w:sz="8" w:color="auto"/>
              <w:right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nonqualified plan (post-2009)</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8</w:t>
            </w:r>
          </w:p>
        </w:tc>
        <w:tc>
          <w:tcPr>
            <w:tcW w:w="1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$980,129</w:t>
            </w:r>
          </w:p>
        </w:tc>
        <w:tc>
          <w:tcPr>
            <w:tcW w:w="1800" w:type="dxa"/>
            <w:vAlign w:val="bottom"/>
            <w:tcBorders>
              <w:right w:val="single" w:sz="8" w:color="auto"/>
            </w:tcBorders>
          </w:tcPr>
          <w:p>
            <w:pPr>
              <w:spacing w:after="0"/>
              <w:rPr>
                <w:sz w:val="24"/>
                <w:szCs w:val="24"/>
                <w:color w:val="auto"/>
              </w:rPr>
            </w:pPr>
          </w:p>
        </w:tc>
      </w:tr>
      <w:tr>
        <w:trPr>
          <w:trHeight w:val="250"/>
        </w:trPr>
        <w:tc>
          <w:tcPr>
            <w:tcW w:w="1740" w:type="dxa"/>
            <w:vAlign w:val="bottom"/>
            <w:tcBorders>
              <w:left w:val="single" w:sz="8" w:color="auto"/>
              <w:bottom w:val="single" w:sz="8" w:color="auto"/>
              <w:right w:val="single" w:sz="8" w:color="auto"/>
            </w:tcBorders>
          </w:tcPr>
          <w:p>
            <w:pPr>
              <w:spacing w:after="0"/>
              <w:rPr>
                <w:sz w:val="21"/>
                <w:szCs w:val="21"/>
                <w:color w:val="auto"/>
              </w:rPr>
            </w:pPr>
          </w:p>
        </w:tc>
        <w:tc>
          <w:tcPr>
            <w:tcW w:w="19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total</w:t>
            </w:r>
          </w:p>
        </w:tc>
        <w:tc>
          <w:tcPr>
            <w:tcW w:w="1780" w:type="dxa"/>
            <w:vAlign w:val="bottom"/>
            <w:tcBorders>
              <w:bottom w:val="single" w:sz="8" w:color="auto"/>
              <w:right w:val="single" w:sz="8" w:color="auto"/>
            </w:tcBorders>
          </w:tcPr>
          <w:p>
            <w:pPr>
              <w:spacing w:after="0"/>
              <w:rPr>
                <w:sz w:val="21"/>
                <w:szCs w:val="21"/>
                <w:color w:val="auto"/>
              </w:rPr>
            </w:pPr>
          </w:p>
        </w:tc>
        <w:tc>
          <w:tcPr>
            <w:tcW w:w="1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$4,571,056</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$0</w:t>
            </w:r>
          </w:p>
        </w:tc>
      </w:tr>
      <w:tr>
        <w:trPr>
          <w:trHeight w:val="258"/>
        </w:trPr>
        <w:tc>
          <w:tcPr>
            <w:tcW w:w="17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Mr. Conterno</w:t>
            </w:r>
          </w:p>
        </w:tc>
        <w:tc>
          <w:tcPr>
            <w:tcW w:w="19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retirement plan (pre-2010)</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17</w:t>
            </w:r>
          </w:p>
        </w:tc>
        <w:tc>
          <w:tcPr>
            <w:tcW w:w="18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$849,574</w:t>
            </w:r>
          </w:p>
        </w:tc>
        <w:tc>
          <w:tcPr>
            <w:tcW w:w="1800" w:type="dxa"/>
            <w:vAlign w:val="bottom"/>
            <w:tcBorders>
              <w:right w:val="single" w:sz="8" w:color="auto"/>
            </w:tcBorders>
          </w:tcPr>
          <w:p>
            <w:pPr>
              <w:spacing w:after="0"/>
              <w:rPr>
                <w:sz w:val="22"/>
                <w:szCs w:val="22"/>
                <w:color w:val="auto"/>
              </w:rPr>
            </w:pPr>
          </w:p>
        </w:tc>
      </w:tr>
      <w:tr>
        <w:trPr>
          <w:trHeight w:val="270"/>
        </w:trPr>
        <w:tc>
          <w:tcPr>
            <w:tcW w:w="1740" w:type="dxa"/>
            <w:vAlign w:val="bottom"/>
            <w:tcBorders>
              <w:left w:val="single" w:sz="8" w:color="auto"/>
              <w:right w:val="single" w:sz="8" w:color="auto"/>
            </w:tcBorders>
          </w:tcPr>
          <w:p>
            <w:pPr>
              <w:spacing w:after="0"/>
              <w:rPr>
                <w:sz w:val="23"/>
                <w:szCs w:val="23"/>
                <w:color w:val="auto"/>
              </w:rPr>
            </w:pPr>
          </w:p>
        </w:tc>
        <w:tc>
          <w:tcPr>
            <w:tcW w:w="19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retirement plan (post-2009)</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8</w:t>
            </w:r>
          </w:p>
        </w:tc>
        <w:tc>
          <w:tcPr>
            <w:tcW w:w="18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$211,141</w:t>
            </w:r>
          </w:p>
        </w:tc>
        <w:tc>
          <w:tcPr>
            <w:tcW w:w="1800" w:type="dxa"/>
            <w:vAlign w:val="bottom"/>
            <w:tcBorders>
              <w:right w:val="single" w:sz="8" w:color="auto"/>
            </w:tcBorders>
          </w:tcPr>
          <w:p>
            <w:pPr>
              <w:spacing w:after="0"/>
              <w:rPr>
                <w:sz w:val="23"/>
                <w:szCs w:val="23"/>
                <w:color w:val="auto"/>
              </w:rPr>
            </w:pPr>
          </w:p>
        </w:tc>
      </w:tr>
      <w:tr>
        <w:trPr>
          <w:trHeight w:val="270"/>
        </w:trPr>
        <w:tc>
          <w:tcPr>
            <w:tcW w:w="1740" w:type="dxa"/>
            <w:vAlign w:val="bottom"/>
            <w:tcBorders>
              <w:left w:val="single" w:sz="8" w:color="auto"/>
              <w:right w:val="single" w:sz="8" w:color="auto"/>
            </w:tcBorders>
          </w:tcPr>
          <w:p>
            <w:pPr>
              <w:spacing w:after="0"/>
              <w:rPr>
                <w:sz w:val="23"/>
                <w:szCs w:val="23"/>
                <w:color w:val="auto"/>
              </w:rPr>
            </w:pPr>
          </w:p>
        </w:tc>
        <w:tc>
          <w:tcPr>
            <w:tcW w:w="19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nonqualified plan (pre-2010)</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17</w:t>
            </w:r>
          </w:p>
        </w:tc>
        <w:tc>
          <w:tcPr>
            <w:tcW w:w="18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$4,074,998</w:t>
            </w:r>
          </w:p>
        </w:tc>
        <w:tc>
          <w:tcPr>
            <w:tcW w:w="1800" w:type="dxa"/>
            <w:vAlign w:val="bottom"/>
            <w:tcBorders>
              <w:right w:val="single" w:sz="8" w:color="auto"/>
            </w:tcBorders>
          </w:tcPr>
          <w:p>
            <w:pPr>
              <w:spacing w:after="0"/>
              <w:rPr>
                <w:sz w:val="23"/>
                <w:szCs w:val="23"/>
                <w:color w:val="auto"/>
              </w:rPr>
            </w:pPr>
          </w:p>
        </w:tc>
      </w:tr>
      <w:tr>
        <w:trPr>
          <w:trHeight w:val="276"/>
        </w:trPr>
        <w:tc>
          <w:tcPr>
            <w:tcW w:w="1740" w:type="dxa"/>
            <w:vAlign w:val="bottom"/>
            <w:tcBorders>
              <w:left w:val="single" w:sz="8" w:color="auto"/>
              <w:right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nonqualified plan (post-2009)</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8</w:t>
            </w:r>
          </w:p>
        </w:tc>
        <w:tc>
          <w:tcPr>
            <w:tcW w:w="1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$965,590</w:t>
            </w:r>
          </w:p>
        </w:tc>
        <w:tc>
          <w:tcPr>
            <w:tcW w:w="1800" w:type="dxa"/>
            <w:vAlign w:val="bottom"/>
            <w:tcBorders>
              <w:right w:val="single" w:sz="8" w:color="auto"/>
            </w:tcBorders>
          </w:tcPr>
          <w:p>
            <w:pPr>
              <w:spacing w:after="0"/>
              <w:rPr>
                <w:sz w:val="24"/>
                <w:szCs w:val="24"/>
                <w:color w:val="auto"/>
              </w:rPr>
            </w:pPr>
          </w:p>
        </w:tc>
      </w:tr>
      <w:tr>
        <w:trPr>
          <w:trHeight w:val="250"/>
        </w:trPr>
        <w:tc>
          <w:tcPr>
            <w:tcW w:w="1740" w:type="dxa"/>
            <w:vAlign w:val="bottom"/>
            <w:tcBorders>
              <w:left w:val="single" w:sz="8" w:color="auto"/>
              <w:bottom w:val="single" w:sz="8" w:color="auto"/>
              <w:right w:val="single" w:sz="8" w:color="auto"/>
            </w:tcBorders>
          </w:tcPr>
          <w:p>
            <w:pPr>
              <w:spacing w:after="0"/>
              <w:rPr>
                <w:sz w:val="21"/>
                <w:szCs w:val="21"/>
                <w:color w:val="auto"/>
              </w:rPr>
            </w:pPr>
          </w:p>
        </w:tc>
        <w:tc>
          <w:tcPr>
            <w:tcW w:w="19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total</w:t>
            </w:r>
          </w:p>
        </w:tc>
        <w:tc>
          <w:tcPr>
            <w:tcW w:w="1780" w:type="dxa"/>
            <w:vAlign w:val="bottom"/>
            <w:tcBorders>
              <w:bottom w:val="single" w:sz="8" w:color="auto"/>
              <w:right w:val="single" w:sz="8" w:color="auto"/>
            </w:tcBorders>
          </w:tcPr>
          <w:p>
            <w:pPr>
              <w:spacing w:after="0"/>
              <w:rPr>
                <w:sz w:val="21"/>
                <w:szCs w:val="21"/>
                <w:color w:val="auto"/>
              </w:rPr>
            </w:pPr>
          </w:p>
        </w:tc>
        <w:tc>
          <w:tcPr>
            <w:tcW w:w="1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$6,101,303</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$0</w:t>
            </w:r>
          </w:p>
        </w:tc>
      </w:tr>
      <w:tr>
        <w:trPr>
          <w:trHeight w:val="310"/>
        </w:trPr>
        <w:tc>
          <w:tcPr>
            <w:tcW w:w="17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Mr. Rice (retired)</w:t>
            </w:r>
            <w:r>
              <w:rPr>
                <w:rFonts w:ascii="Arial" w:cs="Arial" w:eastAsia="Arial" w:hAnsi="Arial"/>
                <w:sz w:val="17"/>
                <w:szCs w:val="17"/>
                <w:color w:val="auto"/>
                <w:vertAlign w:val="superscript"/>
              </w:rPr>
              <w:t>2</w:t>
            </w:r>
          </w:p>
        </w:tc>
        <w:tc>
          <w:tcPr>
            <w:tcW w:w="19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retirement plan (pre-2010)</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20</w:t>
            </w:r>
          </w:p>
        </w:tc>
        <w:tc>
          <w:tcPr>
            <w:tcW w:w="18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$990,838</w:t>
            </w:r>
          </w:p>
        </w:tc>
        <w:tc>
          <w:tcPr>
            <w:tcW w:w="1800" w:type="dxa"/>
            <w:vAlign w:val="bottom"/>
            <w:tcBorders>
              <w:right w:val="single" w:sz="8" w:color="auto"/>
            </w:tcBorders>
          </w:tcPr>
          <w:p>
            <w:pPr>
              <w:spacing w:after="0"/>
              <w:rPr>
                <w:sz w:val="24"/>
                <w:szCs w:val="24"/>
                <w:color w:val="auto"/>
              </w:rPr>
            </w:pPr>
          </w:p>
        </w:tc>
      </w:tr>
      <w:tr>
        <w:trPr>
          <w:trHeight w:val="218"/>
        </w:trPr>
        <w:tc>
          <w:tcPr>
            <w:tcW w:w="1740" w:type="dxa"/>
            <w:vAlign w:val="bottom"/>
            <w:tcBorders>
              <w:left w:val="single" w:sz="8" w:color="auto"/>
              <w:right w:val="single" w:sz="8" w:color="auto"/>
            </w:tcBorders>
          </w:tcPr>
          <w:p>
            <w:pPr>
              <w:spacing w:after="0"/>
              <w:rPr>
                <w:sz w:val="18"/>
                <w:szCs w:val="18"/>
                <w:color w:val="auto"/>
              </w:rPr>
            </w:pPr>
          </w:p>
        </w:tc>
        <w:tc>
          <w:tcPr>
            <w:tcW w:w="19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retirement plan (post-2009)</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8</w:t>
            </w:r>
          </w:p>
        </w:tc>
        <w:tc>
          <w:tcPr>
            <w:tcW w:w="18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$219,228</w:t>
            </w:r>
          </w:p>
        </w:tc>
        <w:tc>
          <w:tcPr>
            <w:tcW w:w="1800" w:type="dxa"/>
            <w:vAlign w:val="bottom"/>
            <w:tcBorders>
              <w:right w:val="single" w:sz="8" w:color="auto"/>
            </w:tcBorders>
          </w:tcPr>
          <w:p>
            <w:pPr>
              <w:spacing w:after="0"/>
              <w:rPr>
                <w:sz w:val="18"/>
                <w:szCs w:val="18"/>
                <w:color w:val="auto"/>
              </w:rPr>
            </w:pPr>
          </w:p>
        </w:tc>
      </w:tr>
      <w:tr>
        <w:trPr>
          <w:trHeight w:val="270"/>
        </w:trPr>
        <w:tc>
          <w:tcPr>
            <w:tcW w:w="1740" w:type="dxa"/>
            <w:vAlign w:val="bottom"/>
            <w:tcBorders>
              <w:left w:val="single" w:sz="8" w:color="auto"/>
              <w:right w:val="single" w:sz="8" w:color="auto"/>
            </w:tcBorders>
          </w:tcPr>
          <w:p>
            <w:pPr>
              <w:spacing w:after="0"/>
              <w:rPr>
                <w:sz w:val="23"/>
                <w:szCs w:val="23"/>
                <w:color w:val="auto"/>
              </w:rPr>
            </w:pPr>
          </w:p>
        </w:tc>
        <w:tc>
          <w:tcPr>
            <w:tcW w:w="19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nonqualified plan (pre-2010)</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20</w:t>
            </w:r>
          </w:p>
        </w:tc>
        <w:tc>
          <w:tcPr>
            <w:tcW w:w="18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$8,538,391</w:t>
            </w:r>
          </w:p>
        </w:tc>
        <w:tc>
          <w:tcPr>
            <w:tcW w:w="1800" w:type="dxa"/>
            <w:vAlign w:val="bottom"/>
            <w:tcBorders>
              <w:right w:val="single" w:sz="8" w:color="auto"/>
            </w:tcBorders>
          </w:tcPr>
          <w:p>
            <w:pPr>
              <w:spacing w:after="0"/>
              <w:rPr>
                <w:sz w:val="23"/>
                <w:szCs w:val="23"/>
                <w:color w:val="auto"/>
              </w:rPr>
            </w:pPr>
          </w:p>
        </w:tc>
      </w:tr>
      <w:tr>
        <w:trPr>
          <w:trHeight w:val="276"/>
        </w:trPr>
        <w:tc>
          <w:tcPr>
            <w:tcW w:w="1740" w:type="dxa"/>
            <w:vAlign w:val="bottom"/>
            <w:tcBorders>
              <w:left w:val="single" w:sz="8" w:color="auto"/>
              <w:right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nonqualified plan (post-2009)</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8</w:t>
            </w:r>
          </w:p>
        </w:tc>
        <w:tc>
          <w:tcPr>
            <w:tcW w:w="1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$1,775,668</w:t>
            </w:r>
          </w:p>
        </w:tc>
        <w:tc>
          <w:tcPr>
            <w:tcW w:w="1800" w:type="dxa"/>
            <w:vAlign w:val="bottom"/>
            <w:tcBorders>
              <w:right w:val="single" w:sz="8" w:color="auto"/>
            </w:tcBorders>
          </w:tcPr>
          <w:p>
            <w:pPr>
              <w:spacing w:after="0"/>
              <w:rPr>
                <w:sz w:val="24"/>
                <w:szCs w:val="24"/>
                <w:color w:val="auto"/>
              </w:rPr>
            </w:pPr>
          </w:p>
        </w:tc>
      </w:tr>
      <w:tr>
        <w:trPr>
          <w:trHeight w:val="250"/>
        </w:trPr>
        <w:tc>
          <w:tcPr>
            <w:tcW w:w="1740" w:type="dxa"/>
            <w:vAlign w:val="bottom"/>
            <w:tcBorders>
              <w:left w:val="single" w:sz="8" w:color="auto"/>
              <w:bottom w:val="single" w:sz="8" w:color="auto"/>
              <w:right w:val="single" w:sz="8" w:color="auto"/>
            </w:tcBorders>
          </w:tcPr>
          <w:p>
            <w:pPr>
              <w:spacing w:after="0"/>
              <w:rPr>
                <w:sz w:val="21"/>
                <w:szCs w:val="21"/>
                <w:color w:val="auto"/>
              </w:rPr>
            </w:pPr>
          </w:p>
        </w:tc>
        <w:tc>
          <w:tcPr>
            <w:tcW w:w="19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total</w:t>
            </w:r>
          </w:p>
        </w:tc>
        <w:tc>
          <w:tcPr>
            <w:tcW w:w="1780" w:type="dxa"/>
            <w:vAlign w:val="bottom"/>
            <w:tcBorders>
              <w:bottom w:val="single" w:sz="8" w:color="auto"/>
              <w:right w:val="single" w:sz="8" w:color="auto"/>
            </w:tcBorders>
          </w:tcPr>
          <w:p>
            <w:pPr>
              <w:spacing w:after="0"/>
              <w:rPr>
                <w:sz w:val="21"/>
                <w:szCs w:val="21"/>
                <w:color w:val="auto"/>
              </w:rPr>
            </w:pPr>
          </w:p>
        </w:tc>
        <w:tc>
          <w:tcPr>
            <w:tcW w:w="1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$11,524,125</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$0</w:t>
            </w:r>
          </w:p>
        </w:tc>
      </w:tr>
      <w:tr>
        <w:trPr>
          <w:trHeight w:val="258"/>
        </w:trPr>
        <w:tc>
          <w:tcPr>
            <w:tcW w:w="17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Dr. Lundberg</w:t>
            </w:r>
          </w:p>
        </w:tc>
        <w:tc>
          <w:tcPr>
            <w:tcW w:w="19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retirement plan (post-2009)</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8</w:t>
            </w:r>
          </w:p>
        </w:tc>
        <w:tc>
          <w:tcPr>
            <w:tcW w:w="18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$344,168</w:t>
            </w:r>
          </w:p>
        </w:tc>
        <w:tc>
          <w:tcPr>
            <w:tcW w:w="1800" w:type="dxa"/>
            <w:vAlign w:val="bottom"/>
            <w:tcBorders>
              <w:right w:val="single" w:sz="8" w:color="auto"/>
            </w:tcBorders>
          </w:tcPr>
          <w:p>
            <w:pPr>
              <w:spacing w:after="0"/>
              <w:rPr>
                <w:sz w:val="22"/>
                <w:szCs w:val="22"/>
                <w:color w:val="auto"/>
              </w:rPr>
            </w:pPr>
          </w:p>
        </w:tc>
      </w:tr>
      <w:tr>
        <w:trPr>
          <w:trHeight w:val="276"/>
        </w:trPr>
        <w:tc>
          <w:tcPr>
            <w:tcW w:w="1740" w:type="dxa"/>
            <w:vAlign w:val="bottom"/>
            <w:tcBorders>
              <w:left w:val="single" w:sz="8" w:color="auto"/>
              <w:right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nonqualified plan (post-2009)</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8</w:t>
            </w:r>
          </w:p>
        </w:tc>
        <w:tc>
          <w:tcPr>
            <w:tcW w:w="1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$2,660,445</w:t>
            </w:r>
          </w:p>
        </w:tc>
        <w:tc>
          <w:tcPr>
            <w:tcW w:w="1800" w:type="dxa"/>
            <w:vAlign w:val="bottom"/>
            <w:tcBorders>
              <w:right w:val="single" w:sz="8" w:color="auto"/>
            </w:tcBorders>
          </w:tcPr>
          <w:p>
            <w:pPr>
              <w:spacing w:after="0"/>
              <w:rPr>
                <w:sz w:val="24"/>
                <w:szCs w:val="24"/>
                <w:color w:val="auto"/>
              </w:rPr>
            </w:pPr>
          </w:p>
        </w:tc>
      </w:tr>
      <w:tr>
        <w:trPr>
          <w:trHeight w:val="250"/>
        </w:trPr>
        <w:tc>
          <w:tcPr>
            <w:tcW w:w="1740" w:type="dxa"/>
            <w:vAlign w:val="bottom"/>
            <w:tcBorders>
              <w:left w:val="single" w:sz="8" w:color="auto"/>
              <w:bottom w:val="single" w:sz="8" w:color="auto"/>
              <w:right w:val="single" w:sz="8" w:color="auto"/>
            </w:tcBorders>
          </w:tcPr>
          <w:p>
            <w:pPr>
              <w:spacing w:after="0"/>
              <w:rPr>
                <w:sz w:val="21"/>
                <w:szCs w:val="21"/>
                <w:color w:val="auto"/>
              </w:rPr>
            </w:pPr>
          </w:p>
        </w:tc>
        <w:tc>
          <w:tcPr>
            <w:tcW w:w="19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total</w:t>
            </w:r>
          </w:p>
        </w:tc>
        <w:tc>
          <w:tcPr>
            <w:tcW w:w="1780" w:type="dxa"/>
            <w:vAlign w:val="bottom"/>
            <w:tcBorders>
              <w:bottom w:val="single" w:sz="8" w:color="auto"/>
              <w:right w:val="single" w:sz="8" w:color="auto"/>
            </w:tcBorders>
          </w:tcPr>
          <w:p>
            <w:pPr>
              <w:spacing w:after="0"/>
              <w:rPr>
                <w:sz w:val="21"/>
                <w:szCs w:val="21"/>
                <w:color w:val="auto"/>
              </w:rPr>
            </w:pPr>
          </w:p>
        </w:tc>
        <w:tc>
          <w:tcPr>
            <w:tcW w:w="1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$3,004,613</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$0</w:t>
            </w:r>
          </w:p>
        </w:tc>
      </w:tr>
      <w:tr>
        <w:trPr>
          <w:trHeight w:val="258"/>
        </w:trPr>
        <w:tc>
          <w:tcPr>
            <w:tcW w:w="17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Mr. Harrington</w:t>
            </w:r>
          </w:p>
        </w:tc>
        <w:tc>
          <w:tcPr>
            <w:tcW w:w="19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retirement plan (pre-2010)</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18</w:t>
            </w:r>
          </w:p>
        </w:tc>
        <w:tc>
          <w:tcPr>
            <w:tcW w:w="18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$933,412</w:t>
            </w:r>
          </w:p>
        </w:tc>
        <w:tc>
          <w:tcPr>
            <w:tcW w:w="1800" w:type="dxa"/>
            <w:vAlign w:val="bottom"/>
            <w:tcBorders>
              <w:right w:val="single" w:sz="8" w:color="auto"/>
            </w:tcBorders>
          </w:tcPr>
          <w:p>
            <w:pPr>
              <w:spacing w:after="0"/>
              <w:rPr>
                <w:sz w:val="22"/>
                <w:szCs w:val="22"/>
                <w:color w:val="auto"/>
              </w:rPr>
            </w:pPr>
          </w:p>
        </w:tc>
      </w:tr>
      <w:tr>
        <w:trPr>
          <w:trHeight w:val="270"/>
        </w:trPr>
        <w:tc>
          <w:tcPr>
            <w:tcW w:w="1740" w:type="dxa"/>
            <w:vAlign w:val="bottom"/>
            <w:tcBorders>
              <w:left w:val="single" w:sz="8" w:color="auto"/>
              <w:right w:val="single" w:sz="8" w:color="auto"/>
            </w:tcBorders>
          </w:tcPr>
          <w:p>
            <w:pPr>
              <w:spacing w:after="0"/>
              <w:rPr>
                <w:sz w:val="23"/>
                <w:szCs w:val="23"/>
                <w:color w:val="auto"/>
              </w:rPr>
            </w:pPr>
          </w:p>
        </w:tc>
        <w:tc>
          <w:tcPr>
            <w:tcW w:w="19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retirement plan (post-2009)</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8</w:t>
            </w:r>
          </w:p>
        </w:tc>
        <w:tc>
          <w:tcPr>
            <w:tcW w:w="18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$236,344</w:t>
            </w:r>
          </w:p>
        </w:tc>
        <w:tc>
          <w:tcPr>
            <w:tcW w:w="1800" w:type="dxa"/>
            <w:vAlign w:val="bottom"/>
            <w:tcBorders>
              <w:right w:val="single" w:sz="8" w:color="auto"/>
            </w:tcBorders>
          </w:tcPr>
          <w:p>
            <w:pPr>
              <w:spacing w:after="0"/>
              <w:rPr>
                <w:sz w:val="23"/>
                <w:szCs w:val="23"/>
                <w:color w:val="auto"/>
              </w:rPr>
            </w:pPr>
          </w:p>
        </w:tc>
      </w:tr>
      <w:tr>
        <w:trPr>
          <w:trHeight w:val="270"/>
        </w:trPr>
        <w:tc>
          <w:tcPr>
            <w:tcW w:w="1740" w:type="dxa"/>
            <w:vAlign w:val="bottom"/>
            <w:tcBorders>
              <w:left w:val="single" w:sz="8" w:color="auto"/>
              <w:right w:val="single" w:sz="8" w:color="auto"/>
            </w:tcBorders>
          </w:tcPr>
          <w:p>
            <w:pPr>
              <w:spacing w:after="0"/>
              <w:rPr>
                <w:sz w:val="23"/>
                <w:szCs w:val="23"/>
                <w:color w:val="auto"/>
              </w:rPr>
            </w:pPr>
          </w:p>
        </w:tc>
        <w:tc>
          <w:tcPr>
            <w:tcW w:w="19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nonqualified plan (pre-2010)</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18</w:t>
            </w:r>
          </w:p>
        </w:tc>
        <w:tc>
          <w:tcPr>
            <w:tcW w:w="18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$4,530,371</w:t>
            </w:r>
          </w:p>
        </w:tc>
        <w:tc>
          <w:tcPr>
            <w:tcW w:w="1800" w:type="dxa"/>
            <w:vAlign w:val="bottom"/>
            <w:tcBorders>
              <w:right w:val="single" w:sz="8" w:color="auto"/>
            </w:tcBorders>
          </w:tcPr>
          <w:p>
            <w:pPr>
              <w:spacing w:after="0"/>
              <w:rPr>
                <w:sz w:val="23"/>
                <w:szCs w:val="23"/>
                <w:color w:val="auto"/>
              </w:rPr>
            </w:pPr>
          </w:p>
        </w:tc>
      </w:tr>
      <w:tr>
        <w:trPr>
          <w:trHeight w:val="276"/>
        </w:trPr>
        <w:tc>
          <w:tcPr>
            <w:tcW w:w="1740" w:type="dxa"/>
            <w:vAlign w:val="bottom"/>
            <w:tcBorders>
              <w:left w:val="single" w:sz="8" w:color="auto"/>
              <w:right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nonqualified plan (post-2009)</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8</w:t>
            </w:r>
          </w:p>
        </w:tc>
        <w:tc>
          <w:tcPr>
            <w:tcW w:w="1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$1,106,712</w:t>
            </w:r>
          </w:p>
        </w:tc>
        <w:tc>
          <w:tcPr>
            <w:tcW w:w="1800" w:type="dxa"/>
            <w:vAlign w:val="bottom"/>
            <w:tcBorders>
              <w:right w:val="single" w:sz="8" w:color="auto"/>
            </w:tcBorders>
          </w:tcPr>
          <w:p>
            <w:pPr>
              <w:spacing w:after="0"/>
              <w:rPr>
                <w:sz w:val="24"/>
                <w:szCs w:val="24"/>
                <w:color w:val="auto"/>
              </w:rPr>
            </w:pPr>
          </w:p>
        </w:tc>
      </w:tr>
      <w:tr>
        <w:trPr>
          <w:trHeight w:val="250"/>
        </w:trPr>
        <w:tc>
          <w:tcPr>
            <w:tcW w:w="1740" w:type="dxa"/>
            <w:vAlign w:val="bottom"/>
            <w:tcBorders>
              <w:left w:val="single" w:sz="8" w:color="auto"/>
              <w:bottom w:val="single" w:sz="8" w:color="auto"/>
              <w:right w:val="single" w:sz="8" w:color="auto"/>
            </w:tcBorders>
          </w:tcPr>
          <w:p>
            <w:pPr>
              <w:spacing w:after="0"/>
              <w:rPr>
                <w:sz w:val="21"/>
                <w:szCs w:val="21"/>
                <w:color w:val="auto"/>
              </w:rPr>
            </w:pPr>
          </w:p>
        </w:tc>
        <w:tc>
          <w:tcPr>
            <w:tcW w:w="19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total</w:t>
            </w:r>
          </w:p>
        </w:tc>
        <w:tc>
          <w:tcPr>
            <w:tcW w:w="1780" w:type="dxa"/>
            <w:vAlign w:val="bottom"/>
            <w:tcBorders>
              <w:bottom w:val="single" w:sz="8" w:color="auto"/>
              <w:right w:val="single" w:sz="8" w:color="auto"/>
            </w:tcBorders>
          </w:tcPr>
          <w:p>
            <w:pPr>
              <w:spacing w:after="0"/>
              <w:rPr>
                <w:sz w:val="21"/>
                <w:szCs w:val="21"/>
                <w:color w:val="auto"/>
              </w:rPr>
            </w:pPr>
          </w:p>
        </w:tc>
        <w:tc>
          <w:tcPr>
            <w:tcW w:w="1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$6,806,839</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$0</w:t>
            </w:r>
          </w:p>
        </w:tc>
      </w:tr>
    </w:tbl>
    <w:p>
      <w:pPr>
        <w:spacing w:after="0" w:line="200" w:lineRule="exact"/>
        <w:rPr>
          <w:sz w:val="20"/>
          <w:szCs w:val="20"/>
          <w:color w:val="auto"/>
        </w:rPr>
      </w:pPr>
    </w:p>
    <w:p>
      <w:pPr>
        <w:spacing w:after="0" w:line="2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P55</w:t>
      </w:r>
    </w:p>
    <w:p>
      <w:pPr>
        <w:sectPr>
          <w:pgSz w:w="11900" w:h="16838" w:orient="portrait"/>
          <w:cols w:equalWidth="0" w:num="1">
            <w:col w:w="11420"/>
          </w:cols>
          <w:pgMar w:left="240" w:top="598" w:right="239" w:bottom="1440" w:gutter="0" w:footer="0" w:header="0"/>
        </w:sectPr>
      </w:pPr>
    </w:p>
    <w:bookmarkStart w:id="59" w:name="page60"/>
    <w:bookmarkEnd w:id="59"/>
    <w:p>
      <w:pPr>
        <w:ind w:left="300" w:hanging="184"/>
        <w:spacing w:after="0"/>
        <w:tabs>
          <w:tab w:leader="none" w:pos="300" w:val="left"/>
        </w:tabs>
        <w:numPr>
          <w:ilvl w:val="0"/>
          <w:numId w:val="87"/>
        </w:numPr>
        <w:rPr>
          <w:rFonts w:ascii="Arial" w:cs="Arial" w:eastAsia="Arial" w:hAnsi="Arial"/>
          <w:sz w:val="22"/>
          <w:szCs w:val="22"/>
          <w:color w:val="auto"/>
          <w:vertAlign w:val="superscript"/>
        </w:rPr>
      </w:pPr>
      <w:r>
        <w:rPr>
          <w:rFonts w:ascii="Arial" w:cs="Arial" w:eastAsia="Arial" w:hAnsi="Arial"/>
          <w:sz w:val="18"/>
          <w:szCs w:val="18"/>
          <w:color w:val="auto"/>
        </w:rPr>
        <w:t>The following standard actuarial assumptions were used to calculate the present value of each individual’s accumulated pension benefit:</w:t>
      </w:r>
    </w:p>
    <w:p>
      <w:pPr>
        <w:spacing w:after="0" w:line="115" w:lineRule="exact"/>
        <w:rPr>
          <w:sz w:val="20"/>
          <w:szCs w:val="20"/>
          <w:color w:val="auto"/>
        </w:rPr>
      </w:pPr>
    </w:p>
    <w:tbl>
      <w:tblPr>
        <w:tblLayout w:type="fixed"/>
        <w:tblInd w:w="610" w:type="dxa"/>
        <w:tblCellMar>
          <w:top w:w="0" w:type="dxa"/>
          <w:left w:w="0" w:type="dxa"/>
          <w:bottom w:w="0" w:type="dxa"/>
          <w:right w:w="0" w:type="dxa"/>
        </w:tblCellMar>
      </w:tblPr>
      <w:tr>
        <w:trPr>
          <w:trHeight w:val="224"/>
        </w:trPr>
        <w:tc>
          <w:tcPr>
            <w:tcW w:w="540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Discount rate:</w:t>
            </w:r>
          </w:p>
        </w:tc>
        <w:tc>
          <w:tcPr>
            <w:tcW w:w="496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3.83 percent for the qualified plan and 3.70 percent for non-qualified plan</w:t>
            </w:r>
          </w:p>
        </w:tc>
      </w:tr>
      <w:tr>
        <w:trPr>
          <w:trHeight w:val="210"/>
        </w:trPr>
        <w:tc>
          <w:tcPr>
            <w:tcW w:w="5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Mortality (post-retirement decrement only):</w:t>
            </w:r>
          </w:p>
        </w:tc>
        <w:tc>
          <w:tcPr>
            <w:tcW w:w="49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RP2006 with generational projection using Scale MP2017</w:t>
            </w:r>
          </w:p>
        </w:tc>
      </w:tr>
      <w:tr>
        <w:trPr>
          <w:trHeight w:val="210"/>
        </w:trPr>
        <w:tc>
          <w:tcPr>
            <w:tcW w:w="5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Pre-2010 joint and survivor benefit (% of pension):</w:t>
            </w:r>
          </w:p>
        </w:tc>
        <w:tc>
          <w:tcPr>
            <w:tcW w:w="49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50% until age 62; 25% thereafter</w:t>
            </w:r>
          </w:p>
        </w:tc>
      </w:tr>
      <w:tr>
        <w:trPr>
          <w:trHeight w:val="210"/>
        </w:trPr>
        <w:tc>
          <w:tcPr>
            <w:tcW w:w="5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Post-2009 benefit payment form:</w:t>
            </w:r>
          </w:p>
        </w:tc>
        <w:tc>
          <w:tcPr>
            <w:tcW w:w="49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life annuity</w:t>
            </w:r>
          </w:p>
        </w:tc>
      </w:tr>
    </w:tbl>
    <w:p>
      <w:pPr>
        <w:spacing w:after="0" w:line="175" w:lineRule="exact"/>
        <w:rPr>
          <w:sz w:val="20"/>
          <w:szCs w:val="20"/>
          <w:color w:val="auto"/>
        </w:rPr>
      </w:pPr>
    </w:p>
    <w:p>
      <w:pPr>
        <w:ind w:left="80" w:right="300" w:firstLine="9"/>
        <w:spacing w:after="0" w:line="251" w:lineRule="auto"/>
        <w:tabs>
          <w:tab w:leader="none" w:pos="170" w:val="left"/>
        </w:tabs>
        <w:numPr>
          <w:ilvl w:val="0"/>
          <w:numId w:val="88"/>
        </w:numPr>
        <w:rPr>
          <w:rFonts w:ascii="Arial" w:cs="Arial" w:eastAsia="Arial" w:hAnsi="Arial"/>
          <w:sz w:val="21"/>
          <w:szCs w:val="21"/>
          <w:color w:val="auto"/>
          <w:vertAlign w:val="superscript"/>
        </w:rPr>
      </w:pPr>
      <w:r>
        <w:rPr>
          <w:rFonts w:ascii="Arial" w:cs="Arial" w:eastAsia="Arial" w:hAnsi="Arial"/>
          <w:sz w:val="17"/>
          <w:szCs w:val="17"/>
          <w:color w:val="auto"/>
        </w:rPr>
        <w:t>Mr. Rice retired with full retirement benefits under the old plan formula (pre-2010 benefits) and qualified for early retirement under the new plan formula (post-2009 benefits) as described below.</w:t>
      </w:r>
    </w:p>
    <w:p>
      <w:pPr>
        <w:spacing w:after="0" w:line="151"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Retirement Plan benefits shown in the table are net present values. The benefits are not payable as a lump sum; they are generally paid as a monthly annuity for the life of the retiree and, if elected, any qualifying survivor. The annual benefit under the retirement plan is calculated using years of service and the average of the annual earnings (salary plus bonus) for the highest 5 out of the last 10 calendar years of service (final average earnings).</w:t>
      </w:r>
    </w:p>
    <w:p>
      <w:pPr>
        <w:spacing w:after="0" w:line="182"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u w:val="single" w:color="auto"/>
          <w:color w:val="auto"/>
        </w:rPr>
        <w:t>Post-2009 Plan Information</w:t>
      </w:r>
      <w:r>
        <w:rPr>
          <w:rFonts w:ascii="Arial" w:cs="Arial" w:eastAsia="Arial" w:hAnsi="Arial"/>
          <w:sz w:val="18"/>
          <w:szCs w:val="18"/>
          <w:color w:val="auto"/>
        </w:rPr>
        <w:t>: Following amendment of our Retirement Plan formulas, employees hired on or after February 1, 2008, have</w:t>
      </w:r>
      <w:r>
        <w:rPr>
          <w:rFonts w:ascii="Arial" w:cs="Arial" w:eastAsia="Arial" w:hAnsi="Arial"/>
          <w:sz w:val="18"/>
          <w:szCs w:val="18"/>
          <w:b w:val="1"/>
          <w:bCs w:val="1"/>
          <w:color w:val="auto"/>
        </w:rPr>
        <w:t xml:space="preserve"> </w:t>
      </w:r>
      <w:r>
        <w:rPr>
          <w:rFonts w:ascii="Arial" w:cs="Arial" w:eastAsia="Arial" w:hAnsi="Arial"/>
          <w:sz w:val="18"/>
          <w:szCs w:val="18"/>
          <w:color w:val="auto"/>
        </w:rPr>
        <w:t>accrued retirement benefits only under the new plan formula. Employees hired before that date have accrued benefits under both the old and new plan formulas. All eligible employees, including those hired on or after February 1, 2008, can retire at age 65 with at least five years of service and receive an unreduced benefit. The annual benefit under the new plan formula is equal to 1.2 percent of final average earnings multiplied by years of service. Early retirement benefits under this plan formula are reduced 6 percent for each year under age 65. Transition benefits were afforded to employees with 50 points (age plus service) or more as of December 31, 2009. These benefits were intended to ease the transition to the new retirement formula for those employees who were closer to retirement or had been with the company longer at the time the plan was changed. For the transition group, early retirement benefits are reduced 3 percent for each year from age 65 to age 60 and 6 percent for each year under age 60. All named executive officers except Dr. Lundberg are in this transition group.</w:t>
      </w:r>
    </w:p>
    <w:p>
      <w:pPr>
        <w:spacing w:after="0" w:line="18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b w:val="1"/>
          <w:bCs w:val="1"/>
          <w:u w:val="single" w:color="auto"/>
          <w:color w:val="auto"/>
        </w:rPr>
        <w:t>Pre-2010 Plan Information</w:t>
      </w:r>
      <w:r>
        <w:rPr>
          <w:rFonts w:ascii="Arial" w:cs="Arial" w:eastAsia="Arial" w:hAnsi="Arial"/>
          <w:sz w:val="18"/>
          <w:szCs w:val="18"/>
          <w:color w:val="auto"/>
        </w:rPr>
        <w:t>: Employees hired prior to February 1, 2008, accrued benefits under both plan formulas. For these employees,</w:t>
      </w:r>
      <w:r>
        <w:rPr>
          <w:rFonts w:ascii="Arial" w:cs="Arial" w:eastAsia="Arial" w:hAnsi="Arial"/>
          <w:sz w:val="18"/>
          <w:szCs w:val="18"/>
          <w:b w:val="1"/>
          <w:bCs w:val="1"/>
          <w:color w:val="auto"/>
        </w:rPr>
        <w:t xml:space="preserve"> </w:t>
      </w:r>
      <w:r>
        <w:rPr>
          <w:rFonts w:ascii="Arial" w:cs="Arial" w:eastAsia="Arial" w:hAnsi="Arial"/>
          <w:sz w:val="18"/>
          <w:szCs w:val="18"/>
          <w:color w:val="auto"/>
        </w:rPr>
        <w:t>benefits that accrued before January 1, 2010, were calculated under the old plan formula. The amount of the benefit is calculated using actual years of service through December 31, 2009, while total years of service is used to determine eligibility and early retirement reductions. The benefit amount is increased (but not decreased) proportionately, based on final average earnings at termination compared to final average earnings at December 31, 2009. Full retirement benefits are earned by employees with 90 or more points (the sum of his or her age plus years of service). Employees electing early retirement receive reduced benefits as described below:</w:t>
      </w:r>
    </w:p>
    <w:p>
      <w:pPr>
        <w:spacing w:after="0" w:line="43" w:lineRule="exact"/>
        <w:rPr>
          <w:sz w:val="20"/>
          <w:szCs w:val="20"/>
          <w:color w:val="auto"/>
        </w:rPr>
      </w:pPr>
    </w:p>
    <w:p>
      <w:pPr>
        <w:ind w:left="340" w:hanging="332"/>
        <w:spacing w:after="0"/>
        <w:tabs>
          <w:tab w:leader="none" w:pos="3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benefit for employees with between 80 and 90 points is reduced by 3 percent for each year under 90 points or age 62.</w:t>
      </w:r>
    </w:p>
    <w:p>
      <w:pPr>
        <w:spacing w:after="0" w:line="9" w:lineRule="exact"/>
        <w:rPr>
          <w:rFonts w:ascii="Arial" w:cs="Arial" w:eastAsia="Arial" w:hAnsi="Arial"/>
          <w:sz w:val="18"/>
          <w:szCs w:val="18"/>
          <w:color w:val="auto"/>
        </w:rPr>
      </w:pPr>
    </w:p>
    <w:p>
      <w:pPr>
        <w:ind w:left="340" w:right="340" w:hanging="332"/>
        <w:spacing w:after="0" w:line="262" w:lineRule="auto"/>
        <w:tabs>
          <w:tab w:leader="none" w:pos="3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benefit for employees who have fewer than 80 points, but who reached age 55 and have at least 10 years of service, is reduced as described above and is further reduced by 6 percent for each year under 80 points or age 65.</w:t>
      </w: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P56</w:t>
      </w:r>
    </w:p>
    <w:p>
      <w:pPr>
        <w:sectPr>
          <w:pgSz w:w="11900" w:h="16838" w:orient="portrait"/>
          <w:cols w:equalWidth="0" w:num="1">
            <w:col w:w="11420"/>
          </w:cols>
          <w:pgMar w:left="240" w:top="562"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u w:val="single" w:color="auto"/>
          <w:color w:val="auto"/>
        </w:rPr>
        <w:t>Nonqualified Deferred Compensation in 2017</w:t>
      </w:r>
    </w:p>
    <w:p>
      <w:pPr>
        <w:spacing w:after="0" w:line="147" w:lineRule="exact"/>
        <w:rPr>
          <w:sz w:val="20"/>
          <w:szCs w:val="20"/>
          <w:color w:val="auto"/>
        </w:rPr>
      </w:pPr>
    </w:p>
    <w:tbl>
      <w:tblPr>
        <w:tblLayout w:type="fixed"/>
        <w:tblInd w:w="1310" w:type="dxa"/>
        <w:tblCellMar>
          <w:top w:w="0" w:type="dxa"/>
          <w:left w:w="0" w:type="dxa"/>
          <w:bottom w:w="0" w:type="dxa"/>
          <w:right w:w="0" w:type="dxa"/>
        </w:tblCellMar>
      </w:tblPr>
      <w:tr>
        <w:trPr>
          <w:trHeight w:val="154"/>
        </w:trPr>
        <w:tc>
          <w:tcPr>
            <w:tcW w:w="1120" w:type="dxa"/>
            <w:vAlign w:val="bottom"/>
            <w:tcBorders>
              <w:top w:val="single" w:sz="8" w:color="auto"/>
              <w:left w:val="single" w:sz="8" w:color="auto"/>
              <w:right w:val="single" w:sz="8" w:color="auto"/>
            </w:tcBorders>
            <w:shd w:val="clear" w:color="auto" w:fill="E5E5E5"/>
          </w:tcPr>
          <w:p>
            <w:pPr>
              <w:spacing w:after="0"/>
              <w:rPr>
                <w:sz w:val="13"/>
                <w:szCs w:val="13"/>
                <w:color w:val="auto"/>
              </w:rPr>
            </w:pPr>
          </w:p>
        </w:tc>
        <w:tc>
          <w:tcPr>
            <w:tcW w:w="1540" w:type="dxa"/>
            <w:vAlign w:val="bottom"/>
            <w:tcBorders>
              <w:top w:val="single" w:sz="8" w:color="auto"/>
              <w:right w:val="single" w:sz="8" w:color="auto"/>
            </w:tcBorders>
            <w:shd w:val="clear" w:color="auto" w:fill="E5E5E5"/>
          </w:tcPr>
          <w:p>
            <w:pPr>
              <w:spacing w:after="0"/>
              <w:rPr>
                <w:sz w:val="13"/>
                <w:szCs w:val="13"/>
                <w:color w:val="auto"/>
              </w:rPr>
            </w:pPr>
          </w:p>
        </w:tc>
        <w:tc>
          <w:tcPr>
            <w:tcW w:w="1220" w:type="dxa"/>
            <w:vAlign w:val="bottom"/>
            <w:tcBorders>
              <w:top w:val="single" w:sz="8" w:color="auto"/>
              <w:right w:val="single" w:sz="8" w:color="auto"/>
            </w:tcBorders>
            <w:shd w:val="clear" w:color="auto" w:fill="E5E5E5"/>
          </w:tcPr>
          <w:p>
            <w:pPr>
              <w:jc w:val="center"/>
              <w:spacing w:after="0"/>
              <w:rPr>
                <w:sz w:val="20"/>
                <w:szCs w:val="20"/>
                <w:color w:val="auto"/>
              </w:rPr>
            </w:pPr>
            <w:r>
              <w:rPr>
                <w:rFonts w:ascii="Arial" w:cs="Arial" w:eastAsia="Arial" w:hAnsi="Arial"/>
                <w:sz w:val="13"/>
                <w:szCs w:val="13"/>
                <w:b w:val="1"/>
                <w:bCs w:val="1"/>
                <w:color w:val="auto"/>
                <w:w w:val="95"/>
              </w:rPr>
              <w:t>Executive</w:t>
            </w:r>
          </w:p>
        </w:tc>
        <w:tc>
          <w:tcPr>
            <w:tcW w:w="1240" w:type="dxa"/>
            <w:vAlign w:val="bottom"/>
            <w:tcBorders>
              <w:top w:val="single" w:sz="8" w:color="auto"/>
              <w:right w:val="single" w:sz="8" w:color="auto"/>
            </w:tcBorders>
            <w:shd w:val="clear" w:color="auto" w:fill="E5E5E5"/>
          </w:tcPr>
          <w:p>
            <w:pPr>
              <w:jc w:val="center"/>
              <w:spacing w:after="0"/>
              <w:rPr>
                <w:sz w:val="20"/>
                <w:szCs w:val="20"/>
                <w:color w:val="auto"/>
              </w:rPr>
            </w:pPr>
            <w:r>
              <w:rPr>
                <w:rFonts w:ascii="Arial" w:cs="Arial" w:eastAsia="Arial" w:hAnsi="Arial"/>
                <w:sz w:val="13"/>
                <w:szCs w:val="13"/>
                <w:b w:val="1"/>
                <w:bCs w:val="1"/>
                <w:color w:val="auto"/>
                <w:w w:val="96"/>
              </w:rPr>
              <w:t>Registrant</w:t>
            </w:r>
          </w:p>
        </w:tc>
        <w:tc>
          <w:tcPr>
            <w:tcW w:w="1180" w:type="dxa"/>
            <w:vAlign w:val="bottom"/>
            <w:tcBorders>
              <w:top w:val="single" w:sz="8" w:color="auto"/>
              <w:right w:val="single" w:sz="8" w:color="auto"/>
            </w:tcBorders>
            <w:shd w:val="clear" w:color="auto" w:fill="E5E5E5"/>
          </w:tcPr>
          <w:p>
            <w:pPr>
              <w:jc w:val="center"/>
              <w:spacing w:after="0"/>
              <w:rPr>
                <w:sz w:val="20"/>
                <w:szCs w:val="20"/>
                <w:color w:val="auto"/>
              </w:rPr>
            </w:pPr>
            <w:r>
              <w:rPr>
                <w:rFonts w:ascii="Arial" w:cs="Arial" w:eastAsia="Arial" w:hAnsi="Arial"/>
                <w:sz w:val="13"/>
                <w:szCs w:val="13"/>
                <w:b w:val="1"/>
                <w:bCs w:val="1"/>
                <w:color w:val="auto"/>
                <w:w w:val="96"/>
              </w:rPr>
              <w:t>Aggregate</w:t>
            </w:r>
          </w:p>
        </w:tc>
        <w:tc>
          <w:tcPr>
            <w:tcW w:w="1360" w:type="dxa"/>
            <w:vAlign w:val="bottom"/>
            <w:tcBorders>
              <w:top w:val="single" w:sz="8" w:color="auto"/>
              <w:right w:val="single" w:sz="8" w:color="auto"/>
            </w:tcBorders>
            <w:shd w:val="clear" w:color="auto" w:fill="E5E5E5"/>
          </w:tcPr>
          <w:p>
            <w:pPr>
              <w:jc w:val="center"/>
              <w:spacing w:after="0"/>
              <w:rPr>
                <w:sz w:val="20"/>
                <w:szCs w:val="20"/>
                <w:color w:val="auto"/>
              </w:rPr>
            </w:pPr>
            <w:r>
              <w:rPr>
                <w:rFonts w:ascii="Arial" w:cs="Arial" w:eastAsia="Arial" w:hAnsi="Arial"/>
                <w:sz w:val="13"/>
                <w:szCs w:val="13"/>
                <w:b w:val="1"/>
                <w:bCs w:val="1"/>
                <w:color w:val="auto"/>
                <w:w w:val="96"/>
              </w:rPr>
              <w:t>Aggregate</w:t>
            </w:r>
          </w:p>
        </w:tc>
        <w:tc>
          <w:tcPr>
            <w:tcW w:w="1220" w:type="dxa"/>
            <w:vAlign w:val="bottom"/>
            <w:tcBorders>
              <w:top w:val="single" w:sz="8" w:color="auto"/>
              <w:right w:val="single" w:sz="8" w:color="auto"/>
            </w:tcBorders>
            <w:shd w:val="clear" w:color="auto" w:fill="E5E5E5"/>
          </w:tcPr>
          <w:p>
            <w:pPr>
              <w:jc w:val="right"/>
              <w:ind w:right="257"/>
              <w:spacing w:after="0"/>
              <w:rPr>
                <w:sz w:val="20"/>
                <w:szCs w:val="20"/>
                <w:color w:val="auto"/>
              </w:rPr>
            </w:pPr>
            <w:r>
              <w:rPr>
                <w:rFonts w:ascii="Arial" w:cs="Arial" w:eastAsia="Arial" w:hAnsi="Arial"/>
                <w:sz w:val="13"/>
                <w:szCs w:val="13"/>
                <w:b w:val="1"/>
                <w:bCs w:val="1"/>
                <w:color w:val="auto"/>
              </w:rPr>
              <w:t>Aggregate</w:t>
            </w:r>
          </w:p>
        </w:tc>
      </w:tr>
      <w:tr>
        <w:trPr>
          <w:trHeight w:val="135"/>
        </w:trPr>
        <w:tc>
          <w:tcPr>
            <w:tcW w:w="1120" w:type="dxa"/>
            <w:vAlign w:val="bottom"/>
            <w:tcBorders>
              <w:left w:val="single" w:sz="8" w:color="auto"/>
              <w:right w:val="single" w:sz="8" w:color="auto"/>
            </w:tcBorders>
            <w:shd w:val="clear" w:color="auto" w:fill="E5E5E5"/>
          </w:tcPr>
          <w:p>
            <w:pPr>
              <w:spacing w:after="0"/>
              <w:rPr>
                <w:sz w:val="11"/>
                <w:szCs w:val="11"/>
                <w:color w:val="auto"/>
              </w:rPr>
            </w:pPr>
          </w:p>
        </w:tc>
        <w:tc>
          <w:tcPr>
            <w:tcW w:w="1540" w:type="dxa"/>
            <w:vAlign w:val="bottom"/>
            <w:tcBorders>
              <w:right w:val="single" w:sz="8" w:color="auto"/>
            </w:tcBorders>
            <w:shd w:val="clear" w:color="auto" w:fill="E5E5E5"/>
          </w:tcPr>
          <w:p>
            <w:pPr>
              <w:spacing w:after="0"/>
              <w:rPr>
                <w:sz w:val="11"/>
                <w:szCs w:val="11"/>
                <w:color w:val="auto"/>
              </w:rPr>
            </w:pPr>
          </w:p>
        </w:tc>
        <w:tc>
          <w:tcPr>
            <w:tcW w:w="1220" w:type="dxa"/>
            <w:vAlign w:val="bottom"/>
            <w:tcBorders>
              <w:right w:val="single" w:sz="8" w:color="auto"/>
            </w:tcBorders>
            <w:shd w:val="clear" w:color="auto" w:fill="E5E5E5"/>
          </w:tcPr>
          <w:p>
            <w:pPr>
              <w:jc w:val="center"/>
              <w:spacing w:after="0" w:line="135" w:lineRule="exact"/>
              <w:rPr>
                <w:sz w:val="20"/>
                <w:szCs w:val="20"/>
                <w:color w:val="auto"/>
              </w:rPr>
            </w:pPr>
            <w:r>
              <w:rPr>
                <w:rFonts w:ascii="Arial" w:cs="Arial" w:eastAsia="Arial" w:hAnsi="Arial"/>
                <w:sz w:val="13"/>
                <w:szCs w:val="13"/>
                <w:b w:val="1"/>
                <w:bCs w:val="1"/>
                <w:color w:val="auto"/>
                <w:w w:val="97"/>
              </w:rPr>
              <w:t>Contributions in</w:t>
            </w:r>
          </w:p>
        </w:tc>
        <w:tc>
          <w:tcPr>
            <w:tcW w:w="1240" w:type="dxa"/>
            <w:vAlign w:val="bottom"/>
            <w:tcBorders>
              <w:right w:val="single" w:sz="8" w:color="auto"/>
            </w:tcBorders>
            <w:shd w:val="clear" w:color="auto" w:fill="E5E5E5"/>
          </w:tcPr>
          <w:p>
            <w:pPr>
              <w:jc w:val="center"/>
              <w:spacing w:after="0" w:line="135" w:lineRule="exact"/>
              <w:rPr>
                <w:sz w:val="20"/>
                <w:szCs w:val="20"/>
                <w:color w:val="auto"/>
              </w:rPr>
            </w:pPr>
            <w:r>
              <w:rPr>
                <w:rFonts w:ascii="Arial" w:cs="Arial" w:eastAsia="Arial" w:hAnsi="Arial"/>
                <w:sz w:val="13"/>
                <w:szCs w:val="13"/>
                <w:b w:val="1"/>
                <w:bCs w:val="1"/>
                <w:color w:val="auto"/>
                <w:w w:val="97"/>
              </w:rPr>
              <w:t>Contributions in</w:t>
            </w:r>
          </w:p>
        </w:tc>
        <w:tc>
          <w:tcPr>
            <w:tcW w:w="1180" w:type="dxa"/>
            <w:vAlign w:val="bottom"/>
            <w:tcBorders>
              <w:right w:val="single" w:sz="8" w:color="auto"/>
            </w:tcBorders>
            <w:shd w:val="clear" w:color="auto" w:fill="E5E5E5"/>
          </w:tcPr>
          <w:p>
            <w:pPr>
              <w:jc w:val="center"/>
              <w:spacing w:after="0" w:line="135" w:lineRule="exact"/>
              <w:rPr>
                <w:sz w:val="20"/>
                <w:szCs w:val="20"/>
                <w:color w:val="auto"/>
              </w:rPr>
            </w:pPr>
            <w:r>
              <w:rPr>
                <w:rFonts w:ascii="Arial" w:cs="Arial" w:eastAsia="Arial" w:hAnsi="Arial"/>
                <w:sz w:val="13"/>
                <w:szCs w:val="13"/>
                <w:b w:val="1"/>
                <w:bCs w:val="1"/>
                <w:color w:val="auto"/>
                <w:w w:val="95"/>
              </w:rPr>
              <w:t>Earnings in</w:t>
            </w:r>
          </w:p>
        </w:tc>
        <w:tc>
          <w:tcPr>
            <w:tcW w:w="1360" w:type="dxa"/>
            <w:vAlign w:val="bottom"/>
            <w:tcBorders>
              <w:right w:val="single" w:sz="8" w:color="auto"/>
            </w:tcBorders>
            <w:shd w:val="clear" w:color="auto" w:fill="E5E5E5"/>
          </w:tcPr>
          <w:p>
            <w:pPr>
              <w:jc w:val="center"/>
              <w:spacing w:after="0" w:line="135" w:lineRule="exact"/>
              <w:rPr>
                <w:sz w:val="20"/>
                <w:szCs w:val="20"/>
                <w:color w:val="auto"/>
              </w:rPr>
            </w:pPr>
            <w:r>
              <w:rPr>
                <w:rFonts w:ascii="Arial" w:cs="Arial" w:eastAsia="Arial" w:hAnsi="Arial"/>
                <w:sz w:val="13"/>
                <w:szCs w:val="13"/>
                <w:b w:val="1"/>
                <w:bCs w:val="1"/>
                <w:color w:val="auto"/>
                <w:w w:val="97"/>
              </w:rPr>
              <w:t>Withdrawals/</w:t>
            </w:r>
          </w:p>
        </w:tc>
        <w:tc>
          <w:tcPr>
            <w:tcW w:w="1220" w:type="dxa"/>
            <w:vAlign w:val="bottom"/>
            <w:tcBorders>
              <w:right w:val="single" w:sz="8" w:color="auto"/>
            </w:tcBorders>
            <w:shd w:val="clear" w:color="auto" w:fill="E5E5E5"/>
          </w:tcPr>
          <w:p>
            <w:pPr>
              <w:jc w:val="right"/>
              <w:ind w:right="117"/>
              <w:spacing w:after="0" w:line="135" w:lineRule="exact"/>
              <w:rPr>
                <w:sz w:val="20"/>
                <w:szCs w:val="20"/>
                <w:color w:val="auto"/>
              </w:rPr>
            </w:pPr>
            <w:r>
              <w:rPr>
                <w:rFonts w:ascii="Arial" w:cs="Arial" w:eastAsia="Arial" w:hAnsi="Arial"/>
                <w:sz w:val="13"/>
                <w:szCs w:val="13"/>
                <w:b w:val="1"/>
                <w:bCs w:val="1"/>
                <w:color w:val="auto"/>
              </w:rPr>
              <w:t>Balance at Last</w:t>
            </w:r>
          </w:p>
        </w:tc>
      </w:tr>
      <w:tr>
        <w:trPr>
          <w:trHeight w:val="135"/>
        </w:trPr>
        <w:tc>
          <w:tcPr>
            <w:tcW w:w="1120" w:type="dxa"/>
            <w:vAlign w:val="bottom"/>
            <w:tcBorders>
              <w:left w:val="single" w:sz="8" w:color="auto"/>
              <w:right w:val="single" w:sz="8" w:color="auto"/>
            </w:tcBorders>
            <w:shd w:val="clear" w:color="auto" w:fill="E5E5E5"/>
          </w:tcPr>
          <w:p>
            <w:pPr>
              <w:spacing w:after="0"/>
              <w:rPr>
                <w:sz w:val="11"/>
                <w:szCs w:val="11"/>
                <w:color w:val="auto"/>
              </w:rPr>
            </w:pPr>
          </w:p>
        </w:tc>
        <w:tc>
          <w:tcPr>
            <w:tcW w:w="1540" w:type="dxa"/>
            <w:vAlign w:val="bottom"/>
            <w:tcBorders>
              <w:right w:val="single" w:sz="8" w:color="auto"/>
            </w:tcBorders>
            <w:shd w:val="clear" w:color="auto" w:fill="E5E5E5"/>
          </w:tcPr>
          <w:p>
            <w:pPr>
              <w:spacing w:after="0"/>
              <w:rPr>
                <w:sz w:val="11"/>
                <w:szCs w:val="11"/>
                <w:color w:val="auto"/>
              </w:rPr>
            </w:pPr>
          </w:p>
        </w:tc>
        <w:tc>
          <w:tcPr>
            <w:tcW w:w="1220" w:type="dxa"/>
            <w:vAlign w:val="bottom"/>
            <w:tcBorders>
              <w:right w:val="single" w:sz="8" w:color="auto"/>
            </w:tcBorders>
            <w:shd w:val="clear" w:color="auto" w:fill="E5E5E5"/>
          </w:tcPr>
          <w:p>
            <w:pPr>
              <w:jc w:val="center"/>
              <w:spacing w:after="0" w:line="135" w:lineRule="exact"/>
              <w:rPr>
                <w:sz w:val="20"/>
                <w:szCs w:val="20"/>
                <w:color w:val="auto"/>
              </w:rPr>
            </w:pPr>
            <w:r>
              <w:rPr>
                <w:rFonts w:ascii="Arial" w:cs="Arial" w:eastAsia="Arial" w:hAnsi="Arial"/>
                <w:sz w:val="13"/>
                <w:szCs w:val="13"/>
                <w:b w:val="1"/>
                <w:bCs w:val="1"/>
                <w:color w:val="auto"/>
                <w:w w:val="94"/>
              </w:rPr>
              <w:t>Last Fiscal Year</w:t>
            </w:r>
          </w:p>
        </w:tc>
        <w:tc>
          <w:tcPr>
            <w:tcW w:w="1240" w:type="dxa"/>
            <w:vAlign w:val="bottom"/>
            <w:tcBorders>
              <w:right w:val="single" w:sz="8" w:color="auto"/>
            </w:tcBorders>
            <w:shd w:val="clear" w:color="auto" w:fill="E5E5E5"/>
          </w:tcPr>
          <w:p>
            <w:pPr>
              <w:jc w:val="center"/>
              <w:spacing w:after="0" w:line="135" w:lineRule="exact"/>
              <w:rPr>
                <w:sz w:val="20"/>
                <w:szCs w:val="20"/>
                <w:color w:val="auto"/>
              </w:rPr>
            </w:pPr>
            <w:r>
              <w:rPr>
                <w:rFonts w:ascii="Arial" w:cs="Arial" w:eastAsia="Arial" w:hAnsi="Arial"/>
                <w:sz w:val="13"/>
                <w:szCs w:val="13"/>
                <w:b w:val="1"/>
                <w:bCs w:val="1"/>
                <w:color w:val="auto"/>
                <w:w w:val="94"/>
              </w:rPr>
              <w:t>Last Fiscal Year</w:t>
            </w:r>
          </w:p>
        </w:tc>
        <w:tc>
          <w:tcPr>
            <w:tcW w:w="1180" w:type="dxa"/>
            <w:vAlign w:val="bottom"/>
            <w:tcBorders>
              <w:right w:val="single" w:sz="8" w:color="auto"/>
            </w:tcBorders>
            <w:shd w:val="clear" w:color="auto" w:fill="E5E5E5"/>
          </w:tcPr>
          <w:p>
            <w:pPr>
              <w:jc w:val="center"/>
              <w:spacing w:after="0" w:line="135" w:lineRule="exact"/>
              <w:rPr>
                <w:sz w:val="20"/>
                <w:szCs w:val="20"/>
                <w:color w:val="auto"/>
              </w:rPr>
            </w:pPr>
            <w:r>
              <w:rPr>
                <w:rFonts w:ascii="Arial" w:cs="Arial" w:eastAsia="Arial" w:hAnsi="Arial"/>
                <w:sz w:val="13"/>
                <w:szCs w:val="13"/>
                <w:b w:val="1"/>
                <w:bCs w:val="1"/>
                <w:color w:val="auto"/>
                <w:w w:val="96"/>
              </w:rPr>
              <w:t>Last Fiscal Year</w:t>
            </w:r>
          </w:p>
        </w:tc>
        <w:tc>
          <w:tcPr>
            <w:tcW w:w="1360" w:type="dxa"/>
            <w:vAlign w:val="bottom"/>
            <w:tcBorders>
              <w:right w:val="single" w:sz="8" w:color="auto"/>
            </w:tcBorders>
            <w:shd w:val="clear" w:color="auto" w:fill="E5E5E5"/>
          </w:tcPr>
          <w:p>
            <w:pPr>
              <w:jc w:val="center"/>
              <w:spacing w:after="0" w:line="135" w:lineRule="exact"/>
              <w:rPr>
                <w:sz w:val="20"/>
                <w:szCs w:val="20"/>
                <w:color w:val="auto"/>
              </w:rPr>
            </w:pPr>
            <w:r>
              <w:rPr>
                <w:rFonts w:ascii="Arial" w:cs="Arial" w:eastAsia="Arial" w:hAnsi="Arial"/>
                <w:sz w:val="13"/>
                <w:szCs w:val="13"/>
                <w:b w:val="1"/>
                <w:bCs w:val="1"/>
                <w:color w:val="auto"/>
                <w:w w:val="97"/>
              </w:rPr>
              <w:t>Distributions in Last</w:t>
            </w:r>
          </w:p>
        </w:tc>
        <w:tc>
          <w:tcPr>
            <w:tcW w:w="1220" w:type="dxa"/>
            <w:vAlign w:val="bottom"/>
            <w:tcBorders>
              <w:right w:val="single" w:sz="8" w:color="auto"/>
            </w:tcBorders>
            <w:shd w:val="clear" w:color="auto" w:fill="E5E5E5"/>
          </w:tcPr>
          <w:p>
            <w:pPr>
              <w:jc w:val="right"/>
              <w:ind w:right="117"/>
              <w:spacing w:after="0" w:line="135" w:lineRule="exact"/>
              <w:rPr>
                <w:sz w:val="20"/>
                <w:szCs w:val="20"/>
                <w:color w:val="auto"/>
              </w:rPr>
            </w:pPr>
            <w:r>
              <w:rPr>
                <w:rFonts w:ascii="Arial" w:cs="Arial" w:eastAsia="Arial" w:hAnsi="Arial"/>
                <w:sz w:val="13"/>
                <w:szCs w:val="13"/>
                <w:b w:val="1"/>
                <w:bCs w:val="1"/>
                <w:color w:val="auto"/>
              </w:rPr>
              <w:t>Fiscal Year End</w:t>
            </w:r>
          </w:p>
        </w:tc>
      </w:tr>
      <w:tr>
        <w:trPr>
          <w:trHeight w:val="178"/>
        </w:trPr>
        <w:tc>
          <w:tcPr>
            <w:tcW w:w="1120" w:type="dxa"/>
            <w:vAlign w:val="bottom"/>
            <w:tcBorders>
              <w:left w:val="single" w:sz="8" w:color="auto"/>
              <w:bottom w:val="single" w:sz="8" w:color="auto"/>
              <w:right w:val="single" w:sz="8" w:color="auto"/>
            </w:tcBorders>
            <w:shd w:val="clear" w:color="auto" w:fill="E5E5E5"/>
          </w:tcPr>
          <w:p>
            <w:pPr>
              <w:ind w:left="380"/>
              <w:spacing w:after="0"/>
              <w:rPr>
                <w:sz w:val="20"/>
                <w:szCs w:val="20"/>
                <w:color w:val="auto"/>
              </w:rPr>
            </w:pPr>
            <w:r>
              <w:rPr>
                <w:rFonts w:ascii="Arial" w:cs="Arial" w:eastAsia="Arial" w:hAnsi="Arial"/>
                <w:sz w:val="13"/>
                <w:szCs w:val="13"/>
                <w:b w:val="1"/>
                <w:bCs w:val="1"/>
                <w:color w:val="auto"/>
              </w:rPr>
              <w:t>Name</w:t>
            </w:r>
          </w:p>
        </w:tc>
        <w:tc>
          <w:tcPr>
            <w:tcW w:w="1540" w:type="dxa"/>
            <w:vAlign w:val="bottom"/>
            <w:tcBorders>
              <w:bottom w:val="single" w:sz="8" w:color="auto"/>
              <w:right w:val="single" w:sz="8" w:color="auto"/>
            </w:tcBorders>
            <w:shd w:val="clear" w:color="auto" w:fill="E5E5E5"/>
          </w:tcPr>
          <w:p>
            <w:pPr>
              <w:jc w:val="right"/>
              <w:ind w:right="597"/>
              <w:spacing w:after="0"/>
              <w:rPr>
                <w:sz w:val="20"/>
                <w:szCs w:val="20"/>
                <w:color w:val="auto"/>
              </w:rPr>
            </w:pPr>
            <w:r>
              <w:rPr>
                <w:rFonts w:ascii="Arial" w:cs="Arial" w:eastAsia="Arial" w:hAnsi="Arial"/>
                <w:sz w:val="13"/>
                <w:szCs w:val="13"/>
                <w:b w:val="1"/>
                <w:bCs w:val="1"/>
                <w:color w:val="auto"/>
              </w:rPr>
              <w:t>Plan</w:t>
            </w:r>
          </w:p>
        </w:tc>
        <w:tc>
          <w:tcPr>
            <w:tcW w:w="1220" w:type="dxa"/>
            <w:vAlign w:val="bottom"/>
            <w:tcBorders>
              <w:bottom w:val="single" w:sz="8" w:color="auto"/>
              <w:right w:val="single" w:sz="8" w:color="auto"/>
            </w:tcBorders>
            <w:shd w:val="clear" w:color="auto" w:fill="E5E5E5"/>
          </w:tcPr>
          <w:p>
            <w:pPr>
              <w:jc w:val="right"/>
              <w:ind w:right="457"/>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8"/>
                <w:szCs w:val="8"/>
                <w:b w:val="1"/>
                <w:bCs w:val="1"/>
                <w:color w:val="auto"/>
              </w:rPr>
              <w:t>1</w:t>
            </w:r>
          </w:p>
        </w:tc>
        <w:tc>
          <w:tcPr>
            <w:tcW w:w="1240" w:type="dxa"/>
            <w:vAlign w:val="bottom"/>
            <w:tcBorders>
              <w:bottom w:val="single" w:sz="8" w:color="auto"/>
              <w:right w:val="single" w:sz="8" w:color="auto"/>
            </w:tcBorders>
            <w:shd w:val="clear" w:color="auto" w:fill="E5E5E5"/>
          </w:tcPr>
          <w:p>
            <w:pPr>
              <w:jc w:val="center"/>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8"/>
                <w:szCs w:val="8"/>
                <w:b w:val="1"/>
                <w:bCs w:val="1"/>
                <w:color w:val="auto"/>
              </w:rPr>
              <w:t>2</w:t>
            </w:r>
          </w:p>
        </w:tc>
        <w:tc>
          <w:tcPr>
            <w:tcW w:w="1180" w:type="dxa"/>
            <w:vAlign w:val="bottom"/>
            <w:tcBorders>
              <w:bottom w:val="single" w:sz="8" w:color="auto"/>
              <w:right w:val="single" w:sz="8" w:color="auto"/>
            </w:tcBorders>
            <w:shd w:val="clear" w:color="auto" w:fill="E5E5E5"/>
          </w:tcPr>
          <w:p>
            <w:pPr>
              <w:jc w:val="center"/>
              <w:spacing w:after="0"/>
              <w:rPr>
                <w:sz w:val="20"/>
                <w:szCs w:val="20"/>
                <w:color w:val="auto"/>
              </w:rPr>
            </w:pPr>
            <w:r>
              <w:rPr>
                <w:rFonts w:ascii="Arial" w:cs="Arial" w:eastAsia="Arial" w:hAnsi="Arial"/>
                <w:sz w:val="13"/>
                <w:szCs w:val="13"/>
                <w:b w:val="1"/>
                <w:bCs w:val="1"/>
                <w:color w:val="auto"/>
              </w:rPr>
              <w:t>($)</w:t>
            </w:r>
          </w:p>
        </w:tc>
        <w:tc>
          <w:tcPr>
            <w:tcW w:w="1360" w:type="dxa"/>
            <w:vAlign w:val="bottom"/>
            <w:tcBorders>
              <w:bottom w:val="single" w:sz="8" w:color="auto"/>
              <w:right w:val="single" w:sz="8" w:color="auto"/>
            </w:tcBorders>
            <w:shd w:val="clear" w:color="auto" w:fill="E5E5E5"/>
          </w:tcPr>
          <w:p>
            <w:pPr>
              <w:jc w:val="center"/>
              <w:spacing w:after="0"/>
              <w:rPr>
                <w:sz w:val="20"/>
                <w:szCs w:val="20"/>
                <w:color w:val="auto"/>
              </w:rPr>
            </w:pPr>
            <w:r>
              <w:rPr>
                <w:rFonts w:ascii="Arial" w:cs="Arial" w:eastAsia="Arial" w:hAnsi="Arial"/>
                <w:sz w:val="13"/>
                <w:szCs w:val="13"/>
                <w:b w:val="1"/>
                <w:bCs w:val="1"/>
                <w:color w:val="auto"/>
                <w:w w:val="97"/>
              </w:rPr>
              <w:t>Fiscal Year ($)</w:t>
            </w:r>
          </w:p>
        </w:tc>
        <w:tc>
          <w:tcPr>
            <w:tcW w:w="1220" w:type="dxa"/>
            <w:vAlign w:val="bottom"/>
            <w:tcBorders>
              <w:bottom w:val="single" w:sz="8" w:color="auto"/>
              <w:right w:val="single" w:sz="8" w:color="auto"/>
            </w:tcBorders>
            <w:shd w:val="clear" w:color="auto" w:fill="E5E5E5"/>
          </w:tcPr>
          <w:p>
            <w:pPr>
              <w:jc w:val="right"/>
              <w:ind w:right="457"/>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8"/>
                <w:szCs w:val="8"/>
                <w:b w:val="1"/>
                <w:bCs w:val="1"/>
                <w:color w:val="auto"/>
              </w:rPr>
              <w:t>3</w:t>
            </w:r>
          </w:p>
        </w:tc>
      </w:tr>
      <w:tr>
        <w:trPr>
          <w:trHeight w:val="254"/>
        </w:trPr>
        <w:tc>
          <w:tcPr>
            <w:tcW w:w="11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Mr. Ricks</w:t>
            </w:r>
          </w:p>
        </w:tc>
        <w:tc>
          <w:tcPr>
            <w:tcW w:w="154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nonqualified savings</w:t>
            </w:r>
          </w:p>
        </w:tc>
        <w:tc>
          <w:tcPr>
            <w:tcW w:w="1220" w:type="dxa"/>
            <w:vAlign w:val="bottom"/>
            <w:tcBorders>
              <w:right w:val="single" w:sz="8" w:color="auto"/>
            </w:tcBorders>
          </w:tcPr>
          <w:p>
            <w:pPr>
              <w:jc w:val="right"/>
              <w:ind w:right="177"/>
              <w:spacing w:after="0"/>
              <w:rPr>
                <w:sz w:val="20"/>
                <w:szCs w:val="20"/>
                <w:color w:val="auto"/>
              </w:rPr>
            </w:pPr>
            <w:r>
              <w:rPr>
                <w:rFonts w:ascii="Arial" w:cs="Arial" w:eastAsia="Arial" w:hAnsi="Arial"/>
                <w:sz w:val="13"/>
                <w:szCs w:val="13"/>
                <w:color w:val="auto"/>
              </w:rPr>
              <w:t>$67,800</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$67,800</w:t>
            </w:r>
          </w:p>
        </w:tc>
        <w:tc>
          <w:tcPr>
            <w:tcW w:w="1180" w:type="dxa"/>
            <w:vAlign w:val="bottom"/>
            <w:tcBorders>
              <w:right w:val="single" w:sz="8" w:color="auto"/>
            </w:tcBorders>
          </w:tcPr>
          <w:p>
            <w:pPr>
              <w:jc w:val="right"/>
              <w:ind w:right="197"/>
              <w:spacing w:after="0"/>
              <w:rPr>
                <w:sz w:val="20"/>
                <w:szCs w:val="20"/>
                <w:color w:val="auto"/>
              </w:rPr>
            </w:pPr>
            <w:r>
              <w:rPr>
                <w:rFonts w:ascii="Arial" w:cs="Arial" w:eastAsia="Arial" w:hAnsi="Arial"/>
                <w:sz w:val="13"/>
                <w:szCs w:val="13"/>
                <w:color w:val="auto"/>
              </w:rPr>
              <w:t>$79,349</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6"/>
              </w:rPr>
              <w:t>$0</w:t>
            </w:r>
          </w:p>
        </w:tc>
        <w:tc>
          <w:tcPr>
            <w:tcW w:w="1220" w:type="dxa"/>
            <w:vAlign w:val="bottom"/>
            <w:tcBorders>
              <w:right w:val="single" w:sz="8" w:color="auto"/>
            </w:tcBorders>
          </w:tcPr>
          <w:p>
            <w:pPr>
              <w:jc w:val="right"/>
              <w:ind w:right="197"/>
              <w:spacing w:after="0"/>
              <w:rPr>
                <w:sz w:val="20"/>
                <w:szCs w:val="20"/>
                <w:color w:val="auto"/>
              </w:rPr>
            </w:pPr>
            <w:r>
              <w:rPr>
                <w:rFonts w:ascii="Arial" w:cs="Arial" w:eastAsia="Arial" w:hAnsi="Arial"/>
                <w:sz w:val="13"/>
                <w:szCs w:val="13"/>
                <w:color w:val="auto"/>
              </w:rPr>
              <w:t>$621,637</w:t>
            </w:r>
          </w:p>
        </w:tc>
      </w:tr>
      <w:tr>
        <w:trPr>
          <w:trHeight w:val="280"/>
        </w:trPr>
        <w:tc>
          <w:tcPr>
            <w:tcW w:w="1120" w:type="dxa"/>
            <w:vAlign w:val="bottom"/>
            <w:tcBorders>
              <w:left w:val="single" w:sz="8" w:color="auto"/>
              <w:right w:val="single" w:sz="8" w:color="auto"/>
            </w:tcBorders>
          </w:tcPr>
          <w:p>
            <w:pPr>
              <w:spacing w:after="0"/>
              <w:rPr>
                <w:sz w:val="24"/>
                <w:szCs w:val="24"/>
                <w:color w:val="auto"/>
              </w:rPr>
            </w:pPr>
          </w:p>
        </w:tc>
        <w:tc>
          <w:tcPr>
            <w:tcW w:w="15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deferred compensation</w:t>
            </w:r>
          </w:p>
        </w:tc>
        <w:tc>
          <w:tcPr>
            <w:tcW w:w="1220" w:type="dxa"/>
            <w:vAlign w:val="bottom"/>
            <w:tcBorders>
              <w:bottom w:val="single" w:sz="8" w:color="auto"/>
              <w:right w:val="single" w:sz="8" w:color="auto"/>
            </w:tcBorders>
          </w:tcPr>
          <w:p>
            <w:pPr>
              <w:jc w:val="right"/>
              <w:ind w:right="177"/>
              <w:spacing w:after="0"/>
              <w:rPr>
                <w:sz w:val="20"/>
                <w:szCs w:val="20"/>
                <w:color w:val="auto"/>
              </w:rPr>
            </w:pPr>
            <w:r>
              <w:rPr>
                <w:rFonts w:ascii="Arial" w:cs="Arial" w:eastAsia="Arial" w:hAnsi="Arial"/>
                <w:sz w:val="13"/>
                <w:szCs w:val="13"/>
                <w:color w:val="auto"/>
              </w:rPr>
              <w:t>$0</w:t>
            </w:r>
          </w:p>
        </w:tc>
        <w:tc>
          <w:tcPr>
            <w:tcW w:w="1240" w:type="dxa"/>
            <w:vAlign w:val="bottom"/>
            <w:tcBorders>
              <w:bottom w:val="single" w:sz="8" w:color="auto"/>
              <w:right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jc w:val="right"/>
              <w:ind w:right="197"/>
              <w:spacing w:after="0"/>
              <w:rPr>
                <w:sz w:val="20"/>
                <w:szCs w:val="20"/>
                <w:color w:val="auto"/>
              </w:rPr>
            </w:pPr>
            <w:r>
              <w:rPr>
                <w:rFonts w:ascii="Arial" w:cs="Arial" w:eastAsia="Arial" w:hAnsi="Arial"/>
                <w:sz w:val="13"/>
                <w:szCs w:val="13"/>
                <w:color w:val="auto"/>
              </w:rPr>
              <w:t>$0</w:t>
            </w:r>
          </w:p>
        </w:tc>
        <w:tc>
          <w:tcPr>
            <w:tcW w:w="1360" w:type="dxa"/>
            <w:vAlign w:val="bottom"/>
            <w:tcBorders>
              <w:right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jc w:val="right"/>
              <w:ind w:right="197"/>
              <w:spacing w:after="0"/>
              <w:rPr>
                <w:sz w:val="20"/>
                <w:szCs w:val="20"/>
                <w:color w:val="auto"/>
              </w:rPr>
            </w:pPr>
            <w:r>
              <w:rPr>
                <w:rFonts w:ascii="Arial" w:cs="Arial" w:eastAsia="Arial" w:hAnsi="Arial"/>
                <w:sz w:val="13"/>
                <w:szCs w:val="13"/>
                <w:color w:val="auto"/>
              </w:rPr>
              <w:t>$0</w:t>
            </w:r>
          </w:p>
        </w:tc>
      </w:tr>
      <w:tr>
        <w:trPr>
          <w:trHeight w:val="264"/>
        </w:trPr>
        <w:tc>
          <w:tcPr>
            <w:tcW w:w="1120" w:type="dxa"/>
            <w:vAlign w:val="bottom"/>
            <w:tcBorders>
              <w:left w:val="single" w:sz="8" w:color="auto"/>
              <w:bottom w:val="single" w:sz="8" w:color="auto"/>
              <w:right w:val="single" w:sz="8" w:color="auto"/>
            </w:tcBorders>
          </w:tcPr>
          <w:p>
            <w:pPr>
              <w:spacing w:after="0"/>
              <w:rPr>
                <w:sz w:val="22"/>
                <w:szCs w:val="22"/>
                <w:color w:val="auto"/>
              </w:rPr>
            </w:pPr>
          </w:p>
        </w:tc>
        <w:tc>
          <w:tcPr>
            <w:tcW w:w="15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total</w:t>
            </w:r>
          </w:p>
        </w:tc>
        <w:tc>
          <w:tcPr>
            <w:tcW w:w="1220" w:type="dxa"/>
            <w:vAlign w:val="bottom"/>
            <w:tcBorders>
              <w:bottom w:val="single" w:sz="8" w:color="auto"/>
              <w:right w:val="single" w:sz="8" w:color="auto"/>
            </w:tcBorders>
          </w:tcPr>
          <w:p>
            <w:pPr>
              <w:jc w:val="right"/>
              <w:ind w:right="177"/>
              <w:spacing w:after="0"/>
              <w:rPr>
                <w:sz w:val="20"/>
                <w:szCs w:val="20"/>
                <w:color w:val="auto"/>
              </w:rPr>
            </w:pPr>
            <w:r>
              <w:rPr>
                <w:rFonts w:ascii="Arial" w:cs="Arial" w:eastAsia="Arial" w:hAnsi="Arial"/>
                <w:sz w:val="13"/>
                <w:szCs w:val="13"/>
                <w:color w:val="auto"/>
              </w:rPr>
              <w:t>$67,800</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7"/>
              </w:rPr>
              <w:t>$67,800</w:t>
            </w:r>
          </w:p>
        </w:tc>
        <w:tc>
          <w:tcPr>
            <w:tcW w:w="1180" w:type="dxa"/>
            <w:vAlign w:val="bottom"/>
            <w:tcBorders>
              <w:bottom w:val="single" w:sz="8" w:color="auto"/>
              <w:right w:val="single" w:sz="8" w:color="auto"/>
            </w:tcBorders>
          </w:tcPr>
          <w:p>
            <w:pPr>
              <w:jc w:val="right"/>
              <w:ind w:right="197"/>
              <w:spacing w:after="0"/>
              <w:rPr>
                <w:sz w:val="20"/>
                <w:szCs w:val="20"/>
                <w:color w:val="auto"/>
              </w:rPr>
            </w:pPr>
            <w:r>
              <w:rPr>
                <w:rFonts w:ascii="Arial" w:cs="Arial" w:eastAsia="Arial" w:hAnsi="Arial"/>
                <w:sz w:val="13"/>
                <w:szCs w:val="13"/>
                <w:color w:val="auto"/>
              </w:rPr>
              <w:t>$79,349</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6"/>
              </w:rPr>
              <w:t>$0</w:t>
            </w:r>
          </w:p>
        </w:tc>
        <w:tc>
          <w:tcPr>
            <w:tcW w:w="1220" w:type="dxa"/>
            <w:vAlign w:val="bottom"/>
            <w:tcBorders>
              <w:bottom w:val="single" w:sz="8" w:color="auto"/>
              <w:right w:val="single" w:sz="8" w:color="auto"/>
            </w:tcBorders>
          </w:tcPr>
          <w:p>
            <w:pPr>
              <w:jc w:val="right"/>
              <w:ind w:right="197"/>
              <w:spacing w:after="0"/>
              <w:rPr>
                <w:sz w:val="20"/>
                <w:szCs w:val="20"/>
                <w:color w:val="auto"/>
              </w:rPr>
            </w:pPr>
            <w:r>
              <w:rPr>
                <w:rFonts w:ascii="Arial" w:cs="Arial" w:eastAsia="Arial" w:hAnsi="Arial"/>
                <w:sz w:val="13"/>
                <w:szCs w:val="13"/>
                <w:color w:val="auto"/>
              </w:rPr>
              <w:t>$621,637</w:t>
            </w:r>
          </w:p>
        </w:tc>
      </w:tr>
      <w:tr>
        <w:trPr>
          <w:trHeight w:val="254"/>
        </w:trPr>
        <w:tc>
          <w:tcPr>
            <w:tcW w:w="11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Mr. Conterno</w:t>
            </w:r>
          </w:p>
        </w:tc>
        <w:tc>
          <w:tcPr>
            <w:tcW w:w="154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nonqualified savings</w:t>
            </w:r>
          </w:p>
        </w:tc>
        <w:tc>
          <w:tcPr>
            <w:tcW w:w="1220" w:type="dxa"/>
            <w:vAlign w:val="bottom"/>
            <w:tcBorders>
              <w:right w:val="single" w:sz="8" w:color="auto"/>
            </w:tcBorders>
          </w:tcPr>
          <w:p>
            <w:pPr>
              <w:jc w:val="right"/>
              <w:ind w:right="177"/>
              <w:spacing w:after="0"/>
              <w:rPr>
                <w:sz w:val="20"/>
                <w:szCs w:val="20"/>
                <w:color w:val="auto"/>
              </w:rPr>
            </w:pPr>
            <w:r>
              <w:rPr>
                <w:rFonts w:ascii="Arial" w:cs="Arial" w:eastAsia="Arial" w:hAnsi="Arial"/>
                <w:sz w:val="13"/>
                <w:szCs w:val="13"/>
                <w:color w:val="auto"/>
              </w:rPr>
              <w:t>$29,520</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$29,520</w:t>
            </w:r>
          </w:p>
        </w:tc>
        <w:tc>
          <w:tcPr>
            <w:tcW w:w="1180" w:type="dxa"/>
            <w:vAlign w:val="bottom"/>
            <w:tcBorders>
              <w:right w:val="single" w:sz="8" w:color="auto"/>
            </w:tcBorders>
          </w:tcPr>
          <w:p>
            <w:pPr>
              <w:jc w:val="right"/>
              <w:ind w:right="197"/>
              <w:spacing w:after="0"/>
              <w:rPr>
                <w:sz w:val="20"/>
                <w:szCs w:val="20"/>
                <w:color w:val="auto"/>
              </w:rPr>
            </w:pPr>
            <w:r>
              <w:rPr>
                <w:rFonts w:ascii="Arial" w:cs="Arial" w:eastAsia="Arial" w:hAnsi="Arial"/>
                <w:sz w:val="13"/>
                <w:szCs w:val="13"/>
                <w:color w:val="auto"/>
              </w:rPr>
              <w:t>$133,317</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6"/>
              </w:rPr>
              <w:t>$0</w:t>
            </w:r>
          </w:p>
        </w:tc>
        <w:tc>
          <w:tcPr>
            <w:tcW w:w="1220" w:type="dxa"/>
            <w:vAlign w:val="bottom"/>
            <w:tcBorders>
              <w:right w:val="single" w:sz="8" w:color="auto"/>
            </w:tcBorders>
          </w:tcPr>
          <w:p>
            <w:pPr>
              <w:jc w:val="right"/>
              <w:ind w:right="197"/>
              <w:spacing w:after="0"/>
              <w:rPr>
                <w:sz w:val="20"/>
                <w:szCs w:val="20"/>
                <w:color w:val="auto"/>
              </w:rPr>
            </w:pPr>
            <w:r>
              <w:rPr>
                <w:rFonts w:ascii="Arial" w:cs="Arial" w:eastAsia="Arial" w:hAnsi="Arial"/>
                <w:sz w:val="13"/>
                <w:szCs w:val="13"/>
                <w:color w:val="auto"/>
              </w:rPr>
              <w:t>$902,670</w:t>
            </w:r>
          </w:p>
        </w:tc>
      </w:tr>
      <w:tr>
        <w:trPr>
          <w:trHeight w:val="280"/>
        </w:trPr>
        <w:tc>
          <w:tcPr>
            <w:tcW w:w="1120" w:type="dxa"/>
            <w:vAlign w:val="bottom"/>
            <w:tcBorders>
              <w:left w:val="single" w:sz="8" w:color="auto"/>
              <w:right w:val="single" w:sz="8" w:color="auto"/>
            </w:tcBorders>
          </w:tcPr>
          <w:p>
            <w:pPr>
              <w:spacing w:after="0"/>
              <w:rPr>
                <w:sz w:val="24"/>
                <w:szCs w:val="24"/>
                <w:color w:val="auto"/>
              </w:rPr>
            </w:pPr>
          </w:p>
        </w:tc>
        <w:tc>
          <w:tcPr>
            <w:tcW w:w="15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deferred compensation</w:t>
            </w:r>
          </w:p>
        </w:tc>
        <w:tc>
          <w:tcPr>
            <w:tcW w:w="1220" w:type="dxa"/>
            <w:vAlign w:val="bottom"/>
            <w:tcBorders>
              <w:bottom w:val="single" w:sz="8" w:color="auto"/>
              <w:right w:val="single" w:sz="8" w:color="auto"/>
            </w:tcBorders>
          </w:tcPr>
          <w:p>
            <w:pPr>
              <w:jc w:val="right"/>
              <w:ind w:right="177"/>
              <w:spacing w:after="0"/>
              <w:rPr>
                <w:sz w:val="20"/>
                <w:szCs w:val="20"/>
                <w:color w:val="auto"/>
              </w:rPr>
            </w:pPr>
            <w:r>
              <w:rPr>
                <w:rFonts w:ascii="Arial" w:cs="Arial" w:eastAsia="Arial" w:hAnsi="Arial"/>
                <w:sz w:val="13"/>
                <w:szCs w:val="13"/>
                <w:color w:val="auto"/>
              </w:rPr>
              <w:t>$100,000</w:t>
            </w:r>
          </w:p>
        </w:tc>
        <w:tc>
          <w:tcPr>
            <w:tcW w:w="1240" w:type="dxa"/>
            <w:vAlign w:val="bottom"/>
            <w:tcBorders>
              <w:bottom w:val="single" w:sz="8" w:color="auto"/>
              <w:right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jc w:val="right"/>
              <w:ind w:right="197"/>
              <w:spacing w:after="0"/>
              <w:rPr>
                <w:sz w:val="20"/>
                <w:szCs w:val="20"/>
                <w:color w:val="auto"/>
              </w:rPr>
            </w:pPr>
            <w:r>
              <w:rPr>
                <w:rFonts w:ascii="Arial" w:cs="Arial" w:eastAsia="Arial" w:hAnsi="Arial"/>
                <w:sz w:val="13"/>
                <w:szCs w:val="13"/>
                <w:color w:val="auto"/>
              </w:rPr>
              <w:t>$40,169</w:t>
            </w:r>
          </w:p>
        </w:tc>
        <w:tc>
          <w:tcPr>
            <w:tcW w:w="1360" w:type="dxa"/>
            <w:vAlign w:val="bottom"/>
            <w:tcBorders>
              <w:right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jc w:val="right"/>
              <w:ind w:right="197"/>
              <w:spacing w:after="0"/>
              <w:rPr>
                <w:sz w:val="20"/>
                <w:szCs w:val="20"/>
                <w:color w:val="auto"/>
              </w:rPr>
            </w:pPr>
            <w:r>
              <w:rPr>
                <w:rFonts w:ascii="Arial" w:cs="Arial" w:eastAsia="Arial" w:hAnsi="Arial"/>
                <w:sz w:val="13"/>
                <w:szCs w:val="13"/>
                <w:color w:val="auto"/>
              </w:rPr>
              <w:t>$1,290,943</w:t>
            </w:r>
          </w:p>
        </w:tc>
      </w:tr>
      <w:tr>
        <w:trPr>
          <w:trHeight w:val="264"/>
        </w:trPr>
        <w:tc>
          <w:tcPr>
            <w:tcW w:w="1120" w:type="dxa"/>
            <w:vAlign w:val="bottom"/>
            <w:tcBorders>
              <w:left w:val="single" w:sz="8" w:color="auto"/>
              <w:bottom w:val="single" w:sz="8" w:color="auto"/>
              <w:right w:val="single" w:sz="8" w:color="auto"/>
            </w:tcBorders>
          </w:tcPr>
          <w:p>
            <w:pPr>
              <w:spacing w:after="0"/>
              <w:rPr>
                <w:sz w:val="22"/>
                <w:szCs w:val="22"/>
                <w:color w:val="auto"/>
              </w:rPr>
            </w:pPr>
          </w:p>
        </w:tc>
        <w:tc>
          <w:tcPr>
            <w:tcW w:w="15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total</w:t>
            </w:r>
          </w:p>
        </w:tc>
        <w:tc>
          <w:tcPr>
            <w:tcW w:w="1220" w:type="dxa"/>
            <w:vAlign w:val="bottom"/>
            <w:tcBorders>
              <w:bottom w:val="single" w:sz="8" w:color="auto"/>
              <w:right w:val="single" w:sz="8" w:color="auto"/>
            </w:tcBorders>
          </w:tcPr>
          <w:p>
            <w:pPr>
              <w:jc w:val="right"/>
              <w:ind w:right="177"/>
              <w:spacing w:after="0"/>
              <w:rPr>
                <w:sz w:val="20"/>
                <w:szCs w:val="20"/>
                <w:color w:val="auto"/>
              </w:rPr>
            </w:pPr>
            <w:r>
              <w:rPr>
                <w:rFonts w:ascii="Arial" w:cs="Arial" w:eastAsia="Arial" w:hAnsi="Arial"/>
                <w:sz w:val="13"/>
                <w:szCs w:val="13"/>
                <w:color w:val="auto"/>
              </w:rPr>
              <w:t>$129,520</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7"/>
              </w:rPr>
              <w:t>$29,520</w:t>
            </w:r>
          </w:p>
        </w:tc>
        <w:tc>
          <w:tcPr>
            <w:tcW w:w="1180" w:type="dxa"/>
            <w:vAlign w:val="bottom"/>
            <w:tcBorders>
              <w:bottom w:val="single" w:sz="8" w:color="auto"/>
              <w:right w:val="single" w:sz="8" w:color="auto"/>
            </w:tcBorders>
          </w:tcPr>
          <w:p>
            <w:pPr>
              <w:jc w:val="right"/>
              <w:ind w:right="197"/>
              <w:spacing w:after="0"/>
              <w:rPr>
                <w:sz w:val="20"/>
                <w:szCs w:val="20"/>
                <w:color w:val="auto"/>
              </w:rPr>
            </w:pPr>
            <w:r>
              <w:rPr>
                <w:rFonts w:ascii="Arial" w:cs="Arial" w:eastAsia="Arial" w:hAnsi="Arial"/>
                <w:sz w:val="13"/>
                <w:szCs w:val="13"/>
                <w:color w:val="auto"/>
              </w:rPr>
              <w:t>$173,486</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6"/>
              </w:rPr>
              <w:t>$0</w:t>
            </w:r>
          </w:p>
        </w:tc>
        <w:tc>
          <w:tcPr>
            <w:tcW w:w="1220" w:type="dxa"/>
            <w:vAlign w:val="bottom"/>
            <w:tcBorders>
              <w:bottom w:val="single" w:sz="8" w:color="auto"/>
              <w:right w:val="single" w:sz="8" w:color="auto"/>
            </w:tcBorders>
          </w:tcPr>
          <w:p>
            <w:pPr>
              <w:jc w:val="right"/>
              <w:ind w:right="197"/>
              <w:spacing w:after="0"/>
              <w:rPr>
                <w:sz w:val="20"/>
                <w:szCs w:val="20"/>
                <w:color w:val="auto"/>
              </w:rPr>
            </w:pPr>
            <w:r>
              <w:rPr>
                <w:rFonts w:ascii="Arial" w:cs="Arial" w:eastAsia="Arial" w:hAnsi="Arial"/>
                <w:sz w:val="13"/>
                <w:szCs w:val="13"/>
                <w:color w:val="auto"/>
              </w:rPr>
              <w:t>$2,193,613</w:t>
            </w:r>
          </w:p>
        </w:tc>
      </w:tr>
      <w:tr>
        <w:trPr>
          <w:trHeight w:val="254"/>
        </w:trPr>
        <w:tc>
          <w:tcPr>
            <w:tcW w:w="11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Mr. Rice (retired)</w:t>
            </w:r>
          </w:p>
        </w:tc>
        <w:tc>
          <w:tcPr>
            <w:tcW w:w="154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nonqualified savings</w:t>
            </w:r>
          </w:p>
        </w:tc>
        <w:tc>
          <w:tcPr>
            <w:tcW w:w="1220" w:type="dxa"/>
            <w:vAlign w:val="bottom"/>
            <w:tcBorders>
              <w:right w:val="single" w:sz="8" w:color="auto"/>
            </w:tcBorders>
          </w:tcPr>
          <w:p>
            <w:pPr>
              <w:jc w:val="right"/>
              <w:ind w:right="177"/>
              <w:spacing w:after="0"/>
              <w:rPr>
                <w:sz w:val="20"/>
                <w:szCs w:val="20"/>
                <w:color w:val="auto"/>
              </w:rPr>
            </w:pPr>
            <w:r>
              <w:rPr>
                <w:rFonts w:ascii="Arial" w:cs="Arial" w:eastAsia="Arial" w:hAnsi="Arial"/>
                <w:sz w:val="13"/>
                <w:szCs w:val="13"/>
                <w:color w:val="auto"/>
              </w:rPr>
              <w:t>$49,148</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$49,148</w:t>
            </w:r>
          </w:p>
        </w:tc>
        <w:tc>
          <w:tcPr>
            <w:tcW w:w="1180" w:type="dxa"/>
            <w:vAlign w:val="bottom"/>
            <w:tcBorders>
              <w:right w:val="single" w:sz="8" w:color="auto"/>
            </w:tcBorders>
          </w:tcPr>
          <w:p>
            <w:pPr>
              <w:jc w:val="right"/>
              <w:ind w:right="197"/>
              <w:spacing w:after="0"/>
              <w:rPr>
                <w:sz w:val="20"/>
                <w:szCs w:val="20"/>
                <w:color w:val="auto"/>
              </w:rPr>
            </w:pPr>
            <w:r>
              <w:rPr>
                <w:rFonts w:ascii="Arial" w:cs="Arial" w:eastAsia="Arial" w:hAnsi="Arial"/>
                <w:sz w:val="13"/>
                <w:szCs w:val="13"/>
                <w:color w:val="auto"/>
              </w:rPr>
              <w:t>$313,241</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6"/>
              </w:rPr>
              <w:t>$0</w:t>
            </w:r>
          </w:p>
        </w:tc>
        <w:tc>
          <w:tcPr>
            <w:tcW w:w="1220" w:type="dxa"/>
            <w:vAlign w:val="bottom"/>
            <w:tcBorders>
              <w:right w:val="single" w:sz="8" w:color="auto"/>
            </w:tcBorders>
          </w:tcPr>
          <w:p>
            <w:pPr>
              <w:jc w:val="right"/>
              <w:ind w:right="197"/>
              <w:spacing w:after="0"/>
              <w:rPr>
                <w:sz w:val="20"/>
                <w:szCs w:val="20"/>
                <w:color w:val="auto"/>
              </w:rPr>
            </w:pPr>
            <w:r>
              <w:rPr>
                <w:rFonts w:ascii="Arial" w:cs="Arial" w:eastAsia="Arial" w:hAnsi="Arial"/>
                <w:sz w:val="13"/>
                <w:szCs w:val="13"/>
                <w:color w:val="auto"/>
              </w:rPr>
              <w:t>$1,908,141</w:t>
            </w:r>
          </w:p>
        </w:tc>
      </w:tr>
      <w:tr>
        <w:trPr>
          <w:trHeight w:val="280"/>
        </w:trPr>
        <w:tc>
          <w:tcPr>
            <w:tcW w:w="1120" w:type="dxa"/>
            <w:vAlign w:val="bottom"/>
            <w:tcBorders>
              <w:left w:val="single" w:sz="8" w:color="auto"/>
              <w:right w:val="single" w:sz="8" w:color="auto"/>
            </w:tcBorders>
          </w:tcPr>
          <w:p>
            <w:pPr>
              <w:spacing w:after="0"/>
              <w:rPr>
                <w:sz w:val="24"/>
                <w:szCs w:val="24"/>
                <w:color w:val="auto"/>
              </w:rPr>
            </w:pPr>
          </w:p>
        </w:tc>
        <w:tc>
          <w:tcPr>
            <w:tcW w:w="15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deferred compensation</w:t>
            </w:r>
          </w:p>
        </w:tc>
        <w:tc>
          <w:tcPr>
            <w:tcW w:w="1220" w:type="dxa"/>
            <w:vAlign w:val="bottom"/>
            <w:tcBorders>
              <w:bottom w:val="single" w:sz="8" w:color="auto"/>
              <w:right w:val="single" w:sz="8" w:color="auto"/>
            </w:tcBorders>
          </w:tcPr>
          <w:p>
            <w:pPr>
              <w:jc w:val="right"/>
              <w:ind w:right="177"/>
              <w:spacing w:after="0"/>
              <w:rPr>
                <w:sz w:val="20"/>
                <w:szCs w:val="20"/>
                <w:color w:val="auto"/>
              </w:rPr>
            </w:pPr>
            <w:r>
              <w:rPr>
                <w:rFonts w:ascii="Arial" w:cs="Arial" w:eastAsia="Arial" w:hAnsi="Arial"/>
                <w:sz w:val="13"/>
                <w:szCs w:val="13"/>
                <w:color w:val="auto"/>
              </w:rPr>
              <w:t>$0</w:t>
            </w:r>
          </w:p>
        </w:tc>
        <w:tc>
          <w:tcPr>
            <w:tcW w:w="1240" w:type="dxa"/>
            <w:vAlign w:val="bottom"/>
            <w:tcBorders>
              <w:bottom w:val="single" w:sz="8" w:color="auto"/>
              <w:right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jc w:val="right"/>
              <w:ind w:right="197"/>
              <w:spacing w:after="0"/>
              <w:rPr>
                <w:sz w:val="20"/>
                <w:szCs w:val="20"/>
                <w:color w:val="auto"/>
              </w:rPr>
            </w:pPr>
            <w:r>
              <w:rPr>
                <w:rFonts w:ascii="Arial" w:cs="Arial" w:eastAsia="Arial" w:hAnsi="Arial"/>
                <w:sz w:val="13"/>
                <w:szCs w:val="13"/>
                <w:color w:val="auto"/>
              </w:rPr>
              <w:t>$0</w:t>
            </w:r>
          </w:p>
        </w:tc>
        <w:tc>
          <w:tcPr>
            <w:tcW w:w="1360" w:type="dxa"/>
            <w:vAlign w:val="bottom"/>
            <w:tcBorders>
              <w:right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jc w:val="right"/>
              <w:ind w:right="197"/>
              <w:spacing w:after="0"/>
              <w:rPr>
                <w:sz w:val="20"/>
                <w:szCs w:val="20"/>
                <w:color w:val="auto"/>
              </w:rPr>
            </w:pPr>
            <w:r>
              <w:rPr>
                <w:rFonts w:ascii="Arial" w:cs="Arial" w:eastAsia="Arial" w:hAnsi="Arial"/>
                <w:sz w:val="13"/>
                <w:szCs w:val="13"/>
                <w:color w:val="auto"/>
              </w:rPr>
              <w:t>$0</w:t>
            </w:r>
          </w:p>
        </w:tc>
      </w:tr>
      <w:tr>
        <w:trPr>
          <w:trHeight w:val="264"/>
        </w:trPr>
        <w:tc>
          <w:tcPr>
            <w:tcW w:w="1120" w:type="dxa"/>
            <w:vAlign w:val="bottom"/>
            <w:tcBorders>
              <w:left w:val="single" w:sz="8" w:color="auto"/>
              <w:bottom w:val="single" w:sz="8" w:color="auto"/>
              <w:right w:val="single" w:sz="8" w:color="auto"/>
            </w:tcBorders>
          </w:tcPr>
          <w:p>
            <w:pPr>
              <w:spacing w:after="0"/>
              <w:rPr>
                <w:sz w:val="22"/>
                <w:szCs w:val="22"/>
                <w:color w:val="auto"/>
              </w:rPr>
            </w:pPr>
          </w:p>
        </w:tc>
        <w:tc>
          <w:tcPr>
            <w:tcW w:w="15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total</w:t>
            </w:r>
          </w:p>
        </w:tc>
        <w:tc>
          <w:tcPr>
            <w:tcW w:w="1220" w:type="dxa"/>
            <w:vAlign w:val="bottom"/>
            <w:tcBorders>
              <w:bottom w:val="single" w:sz="8" w:color="auto"/>
              <w:right w:val="single" w:sz="8" w:color="auto"/>
            </w:tcBorders>
          </w:tcPr>
          <w:p>
            <w:pPr>
              <w:jc w:val="right"/>
              <w:ind w:right="177"/>
              <w:spacing w:after="0"/>
              <w:rPr>
                <w:sz w:val="20"/>
                <w:szCs w:val="20"/>
                <w:color w:val="auto"/>
              </w:rPr>
            </w:pPr>
            <w:r>
              <w:rPr>
                <w:rFonts w:ascii="Arial" w:cs="Arial" w:eastAsia="Arial" w:hAnsi="Arial"/>
                <w:sz w:val="13"/>
                <w:szCs w:val="13"/>
                <w:color w:val="auto"/>
              </w:rPr>
              <w:t>$49,148</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7"/>
              </w:rPr>
              <w:t>$49,148</w:t>
            </w:r>
          </w:p>
        </w:tc>
        <w:tc>
          <w:tcPr>
            <w:tcW w:w="1180" w:type="dxa"/>
            <w:vAlign w:val="bottom"/>
            <w:tcBorders>
              <w:bottom w:val="single" w:sz="8" w:color="auto"/>
              <w:right w:val="single" w:sz="8" w:color="auto"/>
            </w:tcBorders>
          </w:tcPr>
          <w:p>
            <w:pPr>
              <w:jc w:val="right"/>
              <w:ind w:right="197"/>
              <w:spacing w:after="0"/>
              <w:rPr>
                <w:sz w:val="20"/>
                <w:szCs w:val="20"/>
                <w:color w:val="auto"/>
              </w:rPr>
            </w:pPr>
            <w:r>
              <w:rPr>
                <w:rFonts w:ascii="Arial" w:cs="Arial" w:eastAsia="Arial" w:hAnsi="Arial"/>
                <w:sz w:val="13"/>
                <w:szCs w:val="13"/>
                <w:color w:val="auto"/>
              </w:rPr>
              <w:t>$313,241</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6"/>
              </w:rPr>
              <w:t>$0</w:t>
            </w:r>
          </w:p>
        </w:tc>
        <w:tc>
          <w:tcPr>
            <w:tcW w:w="1220" w:type="dxa"/>
            <w:vAlign w:val="bottom"/>
            <w:tcBorders>
              <w:bottom w:val="single" w:sz="8" w:color="auto"/>
              <w:right w:val="single" w:sz="8" w:color="auto"/>
            </w:tcBorders>
          </w:tcPr>
          <w:p>
            <w:pPr>
              <w:jc w:val="right"/>
              <w:ind w:right="197"/>
              <w:spacing w:after="0"/>
              <w:rPr>
                <w:sz w:val="20"/>
                <w:szCs w:val="20"/>
                <w:color w:val="auto"/>
              </w:rPr>
            </w:pPr>
            <w:r>
              <w:rPr>
                <w:rFonts w:ascii="Arial" w:cs="Arial" w:eastAsia="Arial" w:hAnsi="Arial"/>
                <w:sz w:val="13"/>
                <w:szCs w:val="13"/>
                <w:color w:val="auto"/>
              </w:rPr>
              <w:t>$1,908,141</w:t>
            </w:r>
          </w:p>
        </w:tc>
      </w:tr>
      <w:tr>
        <w:trPr>
          <w:trHeight w:val="254"/>
        </w:trPr>
        <w:tc>
          <w:tcPr>
            <w:tcW w:w="11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Dr. Lundberg</w:t>
            </w:r>
          </w:p>
        </w:tc>
        <w:tc>
          <w:tcPr>
            <w:tcW w:w="154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nonqualified savings</w:t>
            </w:r>
          </w:p>
        </w:tc>
        <w:tc>
          <w:tcPr>
            <w:tcW w:w="1220" w:type="dxa"/>
            <w:vAlign w:val="bottom"/>
            <w:tcBorders>
              <w:right w:val="single" w:sz="8" w:color="auto"/>
            </w:tcBorders>
          </w:tcPr>
          <w:p>
            <w:pPr>
              <w:jc w:val="right"/>
              <w:ind w:right="177"/>
              <w:spacing w:after="0"/>
              <w:rPr>
                <w:sz w:val="20"/>
                <w:szCs w:val="20"/>
                <w:color w:val="auto"/>
              </w:rPr>
            </w:pPr>
            <w:r>
              <w:rPr>
                <w:rFonts w:ascii="Arial" w:cs="Arial" w:eastAsia="Arial" w:hAnsi="Arial"/>
                <w:sz w:val="13"/>
                <w:szCs w:val="13"/>
                <w:color w:val="auto"/>
              </w:rPr>
              <w:t>$45,279</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$45,279</w:t>
            </w:r>
          </w:p>
        </w:tc>
        <w:tc>
          <w:tcPr>
            <w:tcW w:w="1180" w:type="dxa"/>
            <w:vAlign w:val="bottom"/>
            <w:tcBorders>
              <w:right w:val="single" w:sz="8" w:color="auto"/>
            </w:tcBorders>
          </w:tcPr>
          <w:p>
            <w:pPr>
              <w:jc w:val="right"/>
              <w:ind w:right="197"/>
              <w:spacing w:after="0"/>
              <w:rPr>
                <w:sz w:val="20"/>
                <w:szCs w:val="20"/>
                <w:color w:val="auto"/>
              </w:rPr>
            </w:pPr>
            <w:r>
              <w:rPr>
                <w:rFonts w:ascii="Arial" w:cs="Arial" w:eastAsia="Arial" w:hAnsi="Arial"/>
                <w:sz w:val="13"/>
                <w:szCs w:val="13"/>
                <w:color w:val="auto"/>
              </w:rPr>
              <w:t>$47,378</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6"/>
              </w:rPr>
              <w:t>$0</w:t>
            </w:r>
          </w:p>
        </w:tc>
        <w:tc>
          <w:tcPr>
            <w:tcW w:w="1220" w:type="dxa"/>
            <w:vAlign w:val="bottom"/>
            <w:tcBorders>
              <w:right w:val="single" w:sz="8" w:color="auto"/>
            </w:tcBorders>
          </w:tcPr>
          <w:p>
            <w:pPr>
              <w:jc w:val="right"/>
              <w:ind w:right="197"/>
              <w:spacing w:after="0"/>
              <w:rPr>
                <w:sz w:val="20"/>
                <w:szCs w:val="20"/>
                <w:color w:val="auto"/>
              </w:rPr>
            </w:pPr>
            <w:r>
              <w:rPr>
                <w:rFonts w:ascii="Arial" w:cs="Arial" w:eastAsia="Arial" w:hAnsi="Arial"/>
                <w:sz w:val="13"/>
                <w:szCs w:val="13"/>
                <w:color w:val="auto"/>
              </w:rPr>
              <w:t>$908,217</w:t>
            </w:r>
          </w:p>
        </w:tc>
      </w:tr>
      <w:tr>
        <w:trPr>
          <w:trHeight w:val="280"/>
        </w:trPr>
        <w:tc>
          <w:tcPr>
            <w:tcW w:w="1120" w:type="dxa"/>
            <w:vAlign w:val="bottom"/>
            <w:tcBorders>
              <w:left w:val="single" w:sz="8" w:color="auto"/>
              <w:right w:val="single" w:sz="8" w:color="auto"/>
            </w:tcBorders>
          </w:tcPr>
          <w:p>
            <w:pPr>
              <w:spacing w:after="0"/>
              <w:rPr>
                <w:sz w:val="24"/>
                <w:szCs w:val="24"/>
                <w:color w:val="auto"/>
              </w:rPr>
            </w:pPr>
          </w:p>
        </w:tc>
        <w:tc>
          <w:tcPr>
            <w:tcW w:w="15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deferred compensation</w:t>
            </w:r>
          </w:p>
        </w:tc>
        <w:tc>
          <w:tcPr>
            <w:tcW w:w="1220" w:type="dxa"/>
            <w:vAlign w:val="bottom"/>
            <w:tcBorders>
              <w:bottom w:val="single" w:sz="8" w:color="auto"/>
              <w:right w:val="single" w:sz="8" w:color="auto"/>
            </w:tcBorders>
          </w:tcPr>
          <w:p>
            <w:pPr>
              <w:jc w:val="right"/>
              <w:ind w:right="177"/>
              <w:spacing w:after="0"/>
              <w:rPr>
                <w:sz w:val="20"/>
                <w:szCs w:val="20"/>
                <w:color w:val="auto"/>
              </w:rPr>
            </w:pPr>
            <w:r>
              <w:rPr>
                <w:rFonts w:ascii="Arial" w:cs="Arial" w:eastAsia="Arial" w:hAnsi="Arial"/>
                <w:sz w:val="13"/>
                <w:szCs w:val="13"/>
                <w:color w:val="auto"/>
              </w:rPr>
              <w:t>$0</w:t>
            </w:r>
          </w:p>
        </w:tc>
        <w:tc>
          <w:tcPr>
            <w:tcW w:w="1240" w:type="dxa"/>
            <w:vAlign w:val="bottom"/>
            <w:tcBorders>
              <w:bottom w:val="single" w:sz="8" w:color="auto"/>
              <w:right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jc w:val="right"/>
              <w:ind w:right="197"/>
              <w:spacing w:after="0"/>
              <w:rPr>
                <w:sz w:val="20"/>
                <w:szCs w:val="20"/>
                <w:color w:val="auto"/>
              </w:rPr>
            </w:pPr>
            <w:r>
              <w:rPr>
                <w:rFonts w:ascii="Arial" w:cs="Arial" w:eastAsia="Arial" w:hAnsi="Arial"/>
                <w:sz w:val="13"/>
                <w:szCs w:val="13"/>
                <w:color w:val="auto"/>
              </w:rPr>
              <w:t>$0</w:t>
            </w:r>
          </w:p>
        </w:tc>
        <w:tc>
          <w:tcPr>
            <w:tcW w:w="1360" w:type="dxa"/>
            <w:vAlign w:val="bottom"/>
            <w:tcBorders>
              <w:right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jc w:val="right"/>
              <w:ind w:right="197"/>
              <w:spacing w:after="0"/>
              <w:rPr>
                <w:sz w:val="20"/>
                <w:szCs w:val="20"/>
                <w:color w:val="auto"/>
              </w:rPr>
            </w:pPr>
            <w:r>
              <w:rPr>
                <w:rFonts w:ascii="Arial" w:cs="Arial" w:eastAsia="Arial" w:hAnsi="Arial"/>
                <w:sz w:val="13"/>
                <w:szCs w:val="13"/>
                <w:color w:val="auto"/>
              </w:rPr>
              <w:t>$0</w:t>
            </w:r>
          </w:p>
        </w:tc>
      </w:tr>
      <w:tr>
        <w:trPr>
          <w:trHeight w:val="264"/>
        </w:trPr>
        <w:tc>
          <w:tcPr>
            <w:tcW w:w="1120" w:type="dxa"/>
            <w:vAlign w:val="bottom"/>
            <w:tcBorders>
              <w:left w:val="single" w:sz="8" w:color="auto"/>
              <w:bottom w:val="single" w:sz="8" w:color="auto"/>
              <w:right w:val="single" w:sz="8" w:color="auto"/>
            </w:tcBorders>
          </w:tcPr>
          <w:p>
            <w:pPr>
              <w:spacing w:after="0"/>
              <w:rPr>
                <w:sz w:val="22"/>
                <w:szCs w:val="22"/>
                <w:color w:val="auto"/>
              </w:rPr>
            </w:pPr>
          </w:p>
        </w:tc>
        <w:tc>
          <w:tcPr>
            <w:tcW w:w="15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total</w:t>
            </w:r>
          </w:p>
        </w:tc>
        <w:tc>
          <w:tcPr>
            <w:tcW w:w="1220" w:type="dxa"/>
            <w:vAlign w:val="bottom"/>
            <w:tcBorders>
              <w:bottom w:val="single" w:sz="8" w:color="auto"/>
              <w:right w:val="single" w:sz="8" w:color="auto"/>
            </w:tcBorders>
          </w:tcPr>
          <w:p>
            <w:pPr>
              <w:jc w:val="right"/>
              <w:ind w:right="177"/>
              <w:spacing w:after="0"/>
              <w:rPr>
                <w:sz w:val="20"/>
                <w:szCs w:val="20"/>
                <w:color w:val="auto"/>
              </w:rPr>
            </w:pPr>
            <w:r>
              <w:rPr>
                <w:rFonts w:ascii="Arial" w:cs="Arial" w:eastAsia="Arial" w:hAnsi="Arial"/>
                <w:sz w:val="13"/>
                <w:szCs w:val="13"/>
                <w:color w:val="auto"/>
              </w:rPr>
              <w:t>$45,279</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7"/>
              </w:rPr>
              <w:t>$45,279</w:t>
            </w:r>
          </w:p>
        </w:tc>
        <w:tc>
          <w:tcPr>
            <w:tcW w:w="1180" w:type="dxa"/>
            <w:vAlign w:val="bottom"/>
            <w:tcBorders>
              <w:bottom w:val="single" w:sz="8" w:color="auto"/>
              <w:right w:val="single" w:sz="8" w:color="auto"/>
            </w:tcBorders>
          </w:tcPr>
          <w:p>
            <w:pPr>
              <w:jc w:val="right"/>
              <w:ind w:right="197"/>
              <w:spacing w:after="0"/>
              <w:rPr>
                <w:sz w:val="20"/>
                <w:szCs w:val="20"/>
                <w:color w:val="auto"/>
              </w:rPr>
            </w:pPr>
            <w:r>
              <w:rPr>
                <w:rFonts w:ascii="Arial" w:cs="Arial" w:eastAsia="Arial" w:hAnsi="Arial"/>
                <w:sz w:val="13"/>
                <w:szCs w:val="13"/>
                <w:color w:val="auto"/>
              </w:rPr>
              <w:t>$47,378</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6"/>
              </w:rPr>
              <w:t>$0</w:t>
            </w:r>
          </w:p>
        </w:tc>
        <w:tc>
          <w:tcPr>
            <w:tcW w:w="1220" w:type="dxa"/>
            <w:vAlign w:val="bottom"/>
            <w:tcBorders>
              <w:bottom w:val="single" w:sz="8" w:color="auto"/>
              <w:right w:val="single" w:sz="8" w:color="auto"/>
            </w:tcBorders>
          </w:tcPr>
          <w:p>
            <w:pPr>
              <w:jc w:val="right"/>
              <w:ind w:right="197"/>
              <w:spacing w:after="0"/>
              <w:rPr>
                <w:sz w:val="20"/>
                <w:szCs w:val="20"/>
                <w:color w:val="auto"/>
              </w:rPr>
            </w:pPr>
            <w:r>
              <w:rPr>
                <w:rFonts w:ascii="Arial" w:cs="Arial" w:eastAsia="Arial" w:hAnsi="Arial"/>
                <w:sz w:val="13"/>
                <w:szCs w:val="13"/>
                <w:color w:val="auto"/>
              </w:rPr>
              <w:t>$908,217</w:t>
            </w:r>
          </w:p>
        </w:tc>
      </w:tr>
      <w:tr>
        <w:trPr>
          <w:trHeight w:val="254"/>
        </w:trPr>
        <w:tc>
          <w:tcPr>
            <w:tcW w:w="11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Mr. Harrington</w:t>
            </w:r>
          </w:p>
        </w:tc>
        <w:tc>
          <w:tcPr>
            <w:tcW w:w="154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nonqualified savings</w:t>
            </w:r>
          </w:p>
        </w:tc>
        <w:tc>
          <w:tcPr>
            <w:tcW w:w="1220" w:type="dxa"/>
            <w:vAlign w:val="bottom"/>
            <w:tcBorders>
              <w:right w:val="single" w:sz="8" w:color="auto"/>
            </w:tcBorders>
          </w:tcPr>
          <w:p>
            <w:pPr>
              <w:jc w:val="right"/>
              <w:ind w:right="177"/>
              <w:spacing w:after="0"/>
              <w:rPr>
                <w:sz w:val="20"/>
                <w:szCs w:val="20"/>
                <w:color w:val="auto"/>
              </w:rPr>
            </w:pPr>
            <w:r>
              <w:rPr>
                <w:rFonts w:ascii="Arial" w:cs="Arial" w:eastAsia="Arial" w:hAnsi="Arial"/>
                <w:sz w:val="13"/>
                <w:szCs w:val="13"/>
                <w:color w:val="auto"/>
              </w:rPr>
              <w:t>$35,168</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$35,168</w:t>
            </w:r>
          </w:p>
        </w:tc>
        <w:tc>
          <w:tcPr>
            <w:tcW w:w="1180" w:type="dxa"/>
            <w:vAlign w:val="bottom"/>
            <w:tcBorders>
              <w:right w:val="single" w:sz="8" w:color="auto"/>
            </w:tcBorders>
          </w:tcPr>
          <w:p>
            <w:pPr>
              <w:jc w:val="right"/>
              <w:ind w:right="197"/>
              <w:spacing w:after="0"/>
              <w:rPr>
                <w:sz w:val="20"/>
                <w:szCs w:val="20"/>
                <w:color w:val="auto"/>
              </w:rPr>
            </w:pPr>
            <w:r>
              <w:rPr>
                <w:rFonts w:ascii="Arial" w:cs="Arial" w:eastAsia="Arial" w:hAnsi="Arial"/>
                <w:sz w:val="13"/>
                <w:szCs w:val="13"/>
                <w:color w:val="auto"/>
              </w:rPr>
              <w:t>$66,068</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6"/>
              </w:rPr>
              <w:t>$0</w:t>
            </w:r>
          </w:p>
        </w:tc>
        <w:tc>
          <w:tcPr>
            <w:tcW w:w="1220" w:type="dxa"/>
            <w:vAlign w:val="bottom"/>
            <w:tcBorders>
              <w:right w:val="single" w:sz="8" w:color="auto"/>
            </w:tcBorders>
          </w:tcPr>
          <w:p>
            <w:pPr>
              <w:jc w:val="right"/>
              <w:ind w:right="197"/>
              <w:spacing w:after="0"/>
              <w:rPr>
                <w:sz w:val="20"/>
                <w:szCs w:val="20"/>
                <w:color w:val="auto"/>
              </w:rPr>
            </w:pPr>
            <w:r>
              <w:rPr>
                <w:rFonts w:ascii="Arial" w:cs="Arial" w:eastAsia="Arial" w:hAnsi="Arial"/>
                <w:sz w:val="13"/>
                <w:szCs w:val="13"/>
                <w:color w:val="auto"/>
              </w:rPr>
              <w:t>$519,523</w:t>
            </w:r>
          </w:p>
        </w:tc>
      </w:tr>
      <w:tr>
        <w:trPr>
          <w:trHeight w:val="280"/>
        </w:trPr>
        <w:tc>
          <w:tcPr>
            <w:tcW w:w="1120" w:type="dxa"/>
            <w:vAlign w:val="bottom"/>
            <w:tcBorders>
              <w:left w:val="single" w:sz="8" w:color="auto"/>
              <w:right w:val="single" w:sz="8" w:color="auto"/>
            </w:tcBorders>
          </w:tcPr>
          <w:p>
            <w:pPr>
              <w:spacing w:after="0"/>
              <w:rPr>
                <w:sz w:val="24"/>
                <w:szCs w:val="24"/>
                <w:color w:val="auto"/>
              </w:rPr>
            </w:pPr>
          </w:p>
        </w:tc>
        <w:tc>
          <w:tcPr>
            <w:tcW w:w="15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deferred compensation</w:t>
            </w:r>
          </w:p>
        </w:tc>
        <w:tc>
          <w:tcPr>
            <w:tcW w:w="1220" w:type="dxa"/>
            <w:vAlign w:val="bottom"/>
            <w:tcBorders>
              <w:bottom w:val="single" w:sz="8" w:color="auto"/>
              <w:right w:val="single" w:sz="8" w:color="auto"/>
            </w:tcBorders>
          </w:tcPr>
          <w:p>
            <w:pPr>
              <w:jc w:val="right"/>
              <w:ind w:right="177"/>
              <w:spacing w:after="0"/>
              <w:rPr>
                <w:sz w:val="20"/>
                <w:szCs w:val="20"/>
                <w:color w:val="auto"/>
              </w:rPr>
            </w:pPr>
            <w:r>
              <w:rPr>
                <w:rFonts w:ascii="Arial" w:cs="Arial" w:eastAsia="Arial" w:hAnsi="Arial"/>
                <w:sz w:val="13"/>
                <w:szCs w:val="13"/>
                <w:color w:val="auto"/>
              </w:rPr>
              <w:t>$0</w:t>
            </w:r>
          </w:p>
        </w:tc>
        <w:tc>
          <w:tcPr>
            <w:tcW w:w="1240" w:type="dxa"/>
            <w:vAlign w:val="bottom"/>
            <w:tcBorders>
              <w:bottom w:val="single" w:sz="8" w:color="auto"/>
              <w:right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jc w:val="right"/>
              <w:ind w:right="197"/>
              <w:spacing w:after="0"/>
              <w:rPr>
                <w:sz w:val="20"/>
                <w:szCs w:val="20"/>
                <w:color w:val="auto"/>
              </w:rPr>
            </w:pPr>
            <w:r>
              <w:rPr>
                <w:rFonts w:ascii="Arial" w:cs="Arial" w:eastAsia="Arial" w:hAnsi="Arial"/>
                <w:sz w:val="13"/>
                <w:szCs w:val="13"/>
                <w:color w:val="auto"/>
              </w:rPr>
              <w:t>$5,704</w:t>
            </w:r>
          </w:p>
        </w:tc>
        <w:tc>
          <w:tcPr>
            <w:tcW w:w="1360" w:type="dxa"/>
            <w:vAlign w:val="bottom"/>
            <w:tcBorders>
              <w:right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jc w:val="right"/>
              <w:ind w:right="197"/>
              <w:spacing w:after="0"/>
              <w:rPr>
                <w:sz w:val="20"/>
                <w:szCs w:val="20"/>
                <w:color w:val="auto"/>
              </w:rPr>
            </w:pPr>
            <w:r>
              <w:rPr>
                <w:rFonts w:ascii="Arial" w:cs="Arial" w:eastAsia="Arial" w:hAnsi="Arial"/>
                <w:sz w:val="13"/>
                <w:szCs w:val="13"/>
                <w:color w:val="auto"/>
              </w:rPr>
              <w:t>$180,677</w:t>
            </w:r>
          </w:p>
        </w:tc>
      </w:tr>
      <w:tr>
        <w:trPr>
          <w:trHeight w:val="264"/>
        </w:trPr>
        <w:tc>
          <w:tcPr>
            <w:tcW w:w="1120" w:type="dxa"/>
            <w:vAlign w:val="bottom"/>
            <w:tcBorders>
              <w:left w:val="single" w:sz="8" w:color="auto"/>
              <w:bottom w:val="single" w:sz="8" w:color="auto"/>
              <w:right w:val="single" w:sz="8" w:color="auto"/>
            </w:tcBorders>
          </w:tcPr>
          <w:p>
            <w:pPr>
              <w:spacing w:after="0"/>
              <w:rPr>
                <w:sz w:val="22"/>
                <w:szCs w:val="22"/>
                <w:color w:val="auto"/>
              </w:rPr>
            </w:pPr>
          </w:p>
        </w:tc>
        <w:tc>
          <w:tcPr>
            <w:tcW w:w="15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total</w:t>
            </w:r>
          </w:p>
        </w:tc>
        <w:tc>
          <w:tcPr>
            <w:tcW w:w="1220" w:type="dxa"/>
            <w:vAlign w:val="bottom"/>
            <w:tcBorders>
              <w:bottom w:val="single" w:sz="8" w:color="auto"/>
              <w:right w:val="single" w:sz="8" w:color="auto"/>
            </w:tcBorders>
          </w:tcPr>
          <w:p>
            <w:pPr>
              <w:jc w:val="right"/>
              <w:ind w:right="177"/>
              <w:spacing w:after="0"/>
              <w:rPr>
                <w:sz w:val="20"/>
                <w:szCs w:val="20"/>
                <w:color w:val="auto"/>
              </w:rPr>
            </w:pPr>
            <w:r>
              <w:rPr>
                <w:rFonts w:ascii="Arial" w:cs="Arial" w:eastAsia="Arial" w:hAnsi="Arial"/>
                <w:sz w:val="13"/>
                <w:szCs w:val="13"/>
                <w:color w:val="auto"/>
              </w:rPr>
              <w:t>$35,168</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7"/>
              </w:rPr>
              <w:t>$35,168</w:t>
            </w:r>
          </w:p>
        </w:tc>
        <w:tc>
          <w:tcPr>
            <w:tcW w:w="1180" w:type="dxa"/>
            <w:vAlign w:val="bottom"/>
            <w:tcBorders>
              <w:bottom w:val="single" w:sz="8" w:color="auto"/>
              <w:right w:val="single" w:sz="8" w:color="auto"/>
            </w:tcBorders>
          </w:tcPr>
          <w:p>
            <w:pPr>
              <w:jc w:val="right"/>
              <w:ind w:right="197"/>
              <w:spacing w:after="0"/>
              <w:rPr>
                <w:sz w:val="20"/>
                <w:szCs w:val="20"/>
                <w:color w:val="auto"/>
              </w:rPr>
            </w:pPr>
            <w:r>
              <w:rPr>
                <w:rFonts w:ascii="Arial" w:cs="Arial" w:eastAsia="Arial" w:hAnsi="Arial"/>
                <w:sz w:val="13"/>
                <w:szCs w:val="13"/>
                <w:color w:val="auto"/>
              </w:rPr>
              <w:t>$71,772</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6"/>
              </w:rPr>
              <w:t>$0</w:t>
            </w:r>
          </w:p>
        </w:tc>
        <w:tc>
          <w:tcPr>
            <w:tcW w:w="1220" w:type="dxa"/>
            <w:vAlign w:val="bottom"/>
            <w:tcBorders>
              <w:bottom w:val="single" w:sz="8" w:color="auto"/>
              <w:right w:val="single" w:sz="8" w:color="auto"/>
            </w:tcBorders>
          </w:tcPr>
          <w:p>
            <w:pPr>
              <w:jc w:val="right"/>
              <w:ind w:right="197"/>
              <w:spacing w:after="0"/>
              <w:rPr>
                <w:sz w:val="20"/>
                <w:szCs w:val="20"/>
                <w:color w:val="auto"/>
              </w:rPr>
            </w:pPr>
            <w:r>
              <w:rPr>
                <w:rFonts w:ascii="Arial" w:cs="Arial" w:eastAsia="Arial" w:hAnsi="Arial"/>
                <w:sz w:val="13"/>
                <w:szCs w:val="13"/>
                <w:color w:val="auto"/>
              </w:rPr>
              <w:t>$700,199</w:t>
            </w:r>
          </w:p>
        </w:tc>
      </w:tr>
    </w:tbl>
    <w:p>
      <w:pPr>
        <w:spacing w:after="0" w:line="215" w:lineRule="exact"/>
        <w:rPr>
          <w:sz w:val="20"/>
          <w:szCs w:val="20"/>
          <w:color w:val="auto"/>
        </w:rPr>
      </w:pPr>
    </w:p>
    <w:p>
      <w:pPr>
        <w:ind w:left="120" w:right="340" w:hanging="4"/>
        <w:spacing w:after="0" w:line="225" w:lineRule="auto"/>
        <w:tabs>
          <w:tab w:leader="none" w:pos="300" w:val="left"/>
        </w:tabs>
        <w:numPr>
          <w:ilvl w:val="0"/>
          <w:numId w:val="90"/>
        </w:numPr>
        <w:rPr>
          <w:rFonts w:ascii="Arial" w:cs="Arial" w:eastAsia="Arial" w:hAnsi="Arial"/>
          <w:sz w:val="22"/>
          <w:szCs w:val="22"/>
          <w:color w:val="auto"/>
          <w:vertAlign w:val="superscript"/>
        </w:rPr>
      </w:pPr>
      <w:r>
        <w:rPr>
          <w:rFonts w:ascii="Arial" w:cs="Arial" w:eastAsia="Arial" w:hAnsi="Arial"/>
          <w:sz w:val="18"/>
          <w:szCs w:val="18"/>
          <w:color w:val="auto"/>
        </w:rPr>
        <w:t>The amounts in this column are also included in the Summary Compensation Table, in the “Salary” column (nonqualified savings) or the “Non-Equity Incentive Plan Compensation” column (deferred compensation).</w:t>
      </w:r>
    </w:p>
    <w:p>
      <w:pPr>
        <w:spacing w:after="0" w:line="217" w:lineRule="exact"/>
        <w:rPr>
          <w:sz w:val="20"/>
          <w:szCs w:val="20"/>
          <w:color w:val="auto"/>
        </w:rPr>
      </w:pPr>
    </w:p>
    <w:p>
      <w:pPr>
        <w:ind w:left="120" w:right="60" w:hanging="4"/>
        <w:spacing w:after="0" w:line="225" w:lineRule="auto"/>
        <w:tabs>
          <w:tab w:leader="none" w:pos="300" w:val="left"/>
        </w:tabs>
        <w:numPr>
          <w:ilvl w:val="0"/>
          <w:numId w:val="91"/>
        </w:numPr>
        <w:rPr>
          <w:rFonts w:ascii="Arial" w:cs="Arial" w:eastAsia="Arial" w:hAnsi="Arial"/>
          <w:sz w:val="22"/>
          <w:szCs w:val="22"/>
          <w:color w:val="auto"/>
          <w:vertAlign w:val="superscript"/>
        </w:rPr>
      </w:pPr>
      <w:r>
        <w:rPr>
          <w:rFonts w:ascii="Arial" w:cs="Arial" w:eastAsia="Arial" w:hAnsi="Arial"/>
          <w:sz w:val="18"/>
          <w:szCs w:val="18"/>
          <w:color w:val="auto"/>
        </w:rPr>
        <w:t>The amounts in this column are also included in the Summary Compensation Table, in the “All Other Compensation” column as a portion of the savings plan match.</w:t>
      </w:r>
    </w:p>
    <w:p>
      <w:pPr>
        <w:spacing w:after="0" w:line="217" w:lineRule="exact"/>
        <w:rPr>
          <w:sz w:val="20"/>
          <w:szCs w:val="20"/>
          <w:color w:val="auto"/>
        </w:rPr>
      </w:pPr>
    </w:p>
    <w:p>
      <w:pPr>
        <w:ind w:left="120" w:right="80" w:hanging="4"/>
        <w:spacing w:after="0" w:line="225" w:lineRule="auto"/>
        <w:tabs>
          <w:tab w:leader="none" w:pos="300" w:val="left"/>
        </w:tabs>
        <w:numPr>
          <w:ilvl w:val="0"/>
          <w:numId w:val="92"/>
        </w:numPr>
        <w:rPr>
          <w:rFonts w:ascii="Arial" w:cs="Arial" w:eastAsia="Arial" w:hAnsi="Arial"/>
          <w:sz w:val="22"/>
          <w:szCs w:val="22"/>
          <w:color w:val="auto"/>
          <w:vertAlign w:val="superscript"/>
        </w:rPr>
      </w:pPr>
      <w:r>
        <w:rPr>
          <w:rFonts w:ascii="Arial" w:cs="Arial" w:eastAsia="Arial" w:hAnsi="Arial"/>
          <w:sz w:val="18"/>
          <w:szCs w:val="18"/>
          <w:color w:val="auto"/>
        </w:rPr>
        <w:t>Of the totals in this column, the following amounts have previously been reported in the Summary Compensation Table for this year and for previous years:</w:t>
      </w:r>
    </w:p>
    <w:p>
      <w:pPr>
        <w:spacing w:after="0" w:line="117" w:lineRule="exact"/>
        <w:rPr>
          <w:sz w:val="20"/>
          <w:szCs w:val="20"/>
          <w:color w:val="auto"/>
        </w:rPr>
      </w:pPr>
    </w:p>
    <w:tbl>
      <w:tblPr>
        <w:tblLayout w:type="fixed"/>
        <w:tblInd w:w="2910" w:type="dxa"/>
        <w:tblCellMar>
          <w:top w:w="0" w:type="dxa"/>
          <w:left w:w="0" w:type="dxa"/>
          <w:bottom w:w="0" w:type="dxa"/>
          <w:right w:w="0" w:type="dxa"/>
        </w:tblCellMar>
      </w:tblPr>
      <w:tr>
        <w:trPr>
          <w:trHeight w:val="224"/>
        </w:trPr>
        <w:tc>
          <w:tcPr>
            <w:tcW w:w="1820" w:type="dxa"/>
            <w:vAlign w:val="bottom"/>
            <w:tcBorders>
              <w:top w:val="single" w:sz="8" w:color="auto"/>
              <w:left w:val="single" w:sz="8" w:color="auto"/>
              <w:bottom w:val="single" w:sz="8" w:color="auto"/>
              <w:right w:val="single" w:sz="8" w:color="auto"/>
            </w:tcBorders>
            <w:shd w:val="clear" w:color="auto" w:fill="E5E5E5"/>
          </w:tcPr>
          <w:p>
            <w:pPr>
              <w:ind w:left="40"/>
              <w:spacing w:after="0"/>
              <w:rPr>
                <w:sz w:val="20"/>
                <w:szCs w:val="20"/>
                <w:color w:val="auto"/>
              </w:rPr>
            </w:pPr>
            <w:r>
              <w:rPr>
                <w:rFonts w:ascii="Arial" w:cs="Arial" w:eastAsia="Arial" w:hAnsi="Arial"/>
                <w:sz w:val="14"/>
                <w:szCs w:val="14"/>
                <w:b w:val="1"/>
                <w:bCs w:val="1"/>
                <w:color w:val="auto"/>
              </w:rPr>
              <w:t>Name</w:t>
            </w:r>
          </w:p>
        </w:tc>
        <w:tc>
          <w:tcPr>
            <w:tcW w:w="1380" w:type="dxa"/>
            <w:vAlign w:val="bottom"/>
            <w:tcBorders>
              <w:top w:val="single" w:sz="8" w:color="auto"/>
              <w:bottom w:val="single" w:sz="8" w:color="auto"/>
              <w:right w:val="single" w:sz="8" w:color="auto"/>
            </w:tcBorders>
            <w:shd w:val="clear" w:color="auto" w:fill="E5E5E5"/>
          </w:tcPr>
          <w:p>
            <w:pPr>
              <w:jc w:val="right"/>
              <w:ind w:right="368"/>
              <w:spacing w:after="0"/>
              <w:rPr>
                <w:sz w:val="20"/>
                <w:szCs w:val="20"/>
                <w:color w:val="auto"/>
              </w:rPr>
            </w:pPr>
            <w:r>
              <w:rPr>
                <w:rFonts w:ascii="Arial" w:cs="Arial" w:eastAsia="Arial" w:hAnsi="Arial"/>
                <w:sz w:val="14"/>
                <w:szCs w:val="14"/>
                <w:b w:val="1"/>
                <w:bCs w:val="1"/>
                <w:color w:val="auto"/>
              </w:rPr>
              <w:t>2017 ($)</w:t>
            </w:r>
          </w:p>
        </w:tc>
        <w:tc>
          <w:tcPr>
            <w:tcW w:w="1380" w:type="dxa"/>
            <w:vAlign w:val="bottom"/>
            <w:tcBorders>
              <w:top w:val="single" w:sz="8" w:color="auto"/>
              <w:bottom w:val="single" w:sz="8" w:color="auto"/>
              <w:right w:val="single" w:sz="8" w:color="auto"/>
            </w:tcBorders>
            <w:shd w:val="clear" w:color="auto" w:fill="E5E5E5"/>
          </w:tcPr>
          <w:p>
            <w:pPr>
              <w:ind w:left="40"/>
              <w:spacing w:after="0"/>
              <w:rPr>
                <w:sz w:val="20"/>
                <w:szCs w:val="20"/>
                <w:color w:val="auto"/>
              </w:rPr>
            </w:pPr>
            <w:r>
              <w:rPr>
                <w:rFonts w:ascii="Arial" w:cs="Arial" w:eastAsia="Arial" w:hAnsi="Arial"/>
                <w:sz w:val="14"/>
                <w:szCs w:val="14"/>
                <w:b w:val="1"/>
                <w:bCs w:val="1"/>
                <w:color w:val="auto"/>
              </w:rPr>
              <w:t>Previous Years ($)</w:t>
            </w:r>
          </w:p>
        </w:tc>
        <w:tc>
          <w:tcPr>
            <w:tcW w:w="1400" w:type="dxa"/>
            <w:vAlign w:val="bottom"/>
            <w:tcBorders>
              <w:top w:val="single" w:sz="8" w:color="auto"/>
              <w:bottom w:val="single" w:sz="8" w:color="auto"/>
              <w:right w:val="single" w:sz="8" w:color="auto"/>
            </w:tcBorders>
            <w:shd w:val="clear" w:color="auto" w:fill="E5E5E5"/>
          </w:tcPr>
          <w:p>
            <w:pPr>
              <w:jc w:val="right"/>
              <w:ind w:right="368"/>
              <w:spacing w:after="0"/>
              <w:rPr>
                <w:sz w:val="20"/>
                <w:szCs w:val="20"/>
                <w:color w:val="auto"/>
              </w:rPr>
            </w:pPr>
            <w:r>
              <w:rPr>
                <w:rFonts w:ascii="Arial" w:cs="Arial" w:eastAsia="Arial" w:hAnsi="Arial"/>
                <w:sz w:val="14"/>
                <w:szCs w:val="14"/>
                <w:b w:val="1"/>
                <w:bCs w:val="1"/>
                <w:color w:val="auto"/>
              </w:rPr>
              <w:t>Total ($)</w:t>
            </w:r>
          </w:p>
        </w:tc>
      </w:tr>
      <w:tr>
        <w:trPr>
          <w:trHeight w:val="264"/>
        </w:trPr>
        <w:tc>
          <w:tcPr>
            <w:tcW w:w="1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Mr. Ricks</w:t>
            </w:r>
          </w:p>
        </w:tc>
        <w:tc>
          <w:tcPr>
            <w:tcW w:w="1380" w:type="dxa"/>
            <w:vAlign w:val="bottom"/>
            <w:tcBorders>
              <w:bottom w:val="single" w:sz="8" w:color="auto"/>
              <w:right w:val="single" w:sz="8" w:color="auto"/>
            </w:tcBorders>
          </w:tcPr>
          <w:p>
            <w:pPr>
              <w:jc w:val="center"/>
              <w:ind w:right="268"/>
              <w:spacing w:after="0"/>
              <w:rPr>
                <w:sz w:val="20"/>
                <w:szCs w:val="20"/>
                <w:color w:val="auto"/>
              </w:rPr>
            </w:pPr>
            <w:r>
              <w:rPr>
                <w:rFonts w:ascii="Arial" w:cs="Arial" w:eastAsia="Arial" w:hAnsi="Arial"/>
                <w:sz w:val="14"/>
                <w:szCs w:val="14"/>
                <w:color w:val="auto"/>
              </w:rPr>
              <w:t>$135,600</w:t>
            </w:r>
          </w:p>
        </w:tc>
        <w:tc>
          <w:tcPr>
            <w:tcW w:w="1380" w:type="dxa"/>
            <w:vAlign w:val="bottom"/>
            <w:tcBorders>
              <w:bottom w:val="single" w:sz="8" w:color="auto"/>
              <w:right w:val="single" w:sz="8" w:color="auto"/>
            </w:tcBorders>
          </w:tcPr>
          <w:p>
            <w:pPr>
              <w:jc w:val="center"/>
              <w:ind w:right="228"/>
              <w:spacing w:after="0"/>
              <w:rPr>
                <w:sz w:val="20"/>
                <w:szCs w:val="20"/>
                <w:color w:val="auto"/>
              </w:rPr>
            </w:pPr>
            <w:r>
              <w:rPr>
                <w:rFonts w:ascii="Arial" w:cs="Arial" w:eastAsia="Arial" w:hAnsi="Arial"/>
                <w:sz w:val="14"/>
                <w:szCs w:val="14"/>
                <w:color w:val="auto"/>
              </w:rPr>
              <w:t>N/A</w:t>
            </w:r>
          </w:p>
        </w:tc>
        <w:tc>
          <w:tcPr>
            <w:tcW w:w="1400" w:type="dxa"/>
            <w:vAlign w:val="bottom"/>
            <w:tcBorders>
              <w:bottom w:val="single" w:sz="8" w:color="auto"/>
              <w:right w:val="single" w:sz="8" w:color="auto"/>
            </w:tcBorders>
          </w:tcPr>
          <w:p>
            <w:pPr>
              <w:jc w:val="right"/>
              <w:ind w:right="488"/>
              <w:spacing w:after="0"/>
              <w:rPr>
                <w:sz w:val="20"/>
                <w:szCs w:val="20"/>
                <w:color w:val="auto"/>
              </w:rPr>
            </w:pPr>
            <w:r>
              <w:rPr>
                <w:rFonts w:ascii="Arial" w:cs="Arial" w:eastAsia="Arial" w:hAnsi="Arial"/>
                <w:sz w:val="14"/>
                <w:szCs w:val="14"/>
                <w:color w:val="auto"/>
              </w:rPr>
              <w:t>$135,600</w:t>
            </w:r>
          </w:p>
        </w:tc>
      </w:tr>
      <w:tr>
        <w:trPr>
          <w:trHeight w:val="264"/>
        </w:trPr>
        <w:tc>
          <w:tcPr>
            <w:tcW w:w="1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Mr. Conterno</w:t>
            </w:r>
          </w:p>
        </w:tc>
        <w:tc>
          <w:tcPr>
            <w:tcW w:w="1380" w:type="dxa"/>
            <w:vAlign w:val="bottom"/>
            <w:tcBorders>
              <w:bottom w:val="single" w:sz="8" w:color="auto"/>
              <w:right w:val="single" w:sz="8" w:color="auto"/>
            </w:tcBorders>
          </w:tcPr>
          <w:p>
            <w:pPr>
              <w:jc w:val="center"/>
              <w:ind w:right="268"/>
              <w:spacing w:after="0"/>
              <w:rPr>
                <w:sz w:val="20"/>
                <w:szCs w:val="20"/>
                <w:color w:val="auto"/>
              </w:rPr>
            </w:pPr>
            <w:r>
              <w:rPr>
                <w:rFonts w:ascii="Arial" w:cs="Arial" w:eastAsia="Arial" w:hAnsi="Arial"/>
                <w:sz w:val="14"/>
                <w:szCs w:val="14"/>
                <w:color w:val="auto"/>
              </w:rPr>
              <w:t>$159,040</w:t>
            </w:r>
          </w:p>
        </w:tc>
        <w:tc>
          <w:tcPr>
            <w:tcW w:w="1380" w:type="dxa"/>
            <w:vAlign w:val="bottom"/>
            <w:tcBorders>
              <w:bottom w:val="single" w:sz="8" w:color="auto"/>
              <w:right w:val="single" w:sz="8" w:color="auto"/>
            </w:tcBorders>
          </w:tcPr>
          <w:p>
            <w:pPr>
              <w:jc w:val="center"/>
              <w:ind w:right="228"/>
              <w:spacing w:after="0"/>
              <w:rPr>
                <w:sz w:val="20"/>
                <w:szCs w:val="20"/>
                <w:color w:val="auto"/>
              </w:rPr>
            </w:pPr>
            <w:r>
              <w:rPr>
                <w:rFonts w:ascii="Arial" w:cs="Arial" w:eastAsia="Arial" w:hAnsi="Arial"/>
                <w:sz w:val="14"/>
                <w:szCs w:val="14"/>
                <w:color w:val="auto"/>
              </w:rPr>
              <w:t>$760,600</w:t>
            </w:r>
          </w:p>
        </w:tc>
        <w:tc>
          <w:tcPr>
            <w:tcW w:w="1400" w:type="dxa"/>
            <w:vAlign w:val="bottom"/>
            <w:tcBorders>
              <w:bottom w:val="single" w:sz="8" w:color="auto"/>
              <w:right w:val="single" w:sz="8" w:color="auto"/>
            </w:tcBorders>
          </w:tcPr>
          <w:p>
            <w:pPr>
              <w:jc w:val="right"/>
              <w:ind w:right="488"/>
              <w:spacing w:after="0"/>
              <w:rPr>
                <w:sz w:val="20"/>
                <w:szCs w:val="20"/>
                <w:color w:val="auto"/>
              </w:rPr>
            </w:pPr>
            <w:r>
              <w:rPr>
                <w:rFonts w:ascii="Arial" w:cs="Arial" w:eastAsia="Arial" w:hAnsi="Arial"/>
                <w:sz w:val="14"/>
                <w:szCs w:val="14"/>
                <w:color w:val="auto"/>
              </w:rPr>
              <w:t>$919,640</w:t>
            </w:r>
          </w:p>
        </w:tc>
      </w:tr>
      <w:tr>
        <w:trPr>
          <w:trHeight w:val="264"/>
        </w:trPr>
        <w:tc>
          <w:tcPr>
            <w:tcW w:w="1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Mr. Rice (retired)</w:t>
            </w:r>
          </w:p>
        </w:tc>
        <w:tc>
          <w:tcPr>
            <w:tcW w:w="1380" w:type="dxa"/>
            <w:vAlign w:val="bottom"/>
            <w:tcBorders>
              <w:bottom w:val="single" w:sz="8" w:color="auto"/>
              <w:right w:val="single" w:sz="8" w:color="auto"/>
            </w:tcBorders>
          </w:tcPr>
          <w:p>
            <w:pPr>
              <w:jc w:val="center"/>
              <w:ind w:right="268"/>
              <w:spacing w:after="0"/>
              <w:rPr>
                <w:sz w:val="20"/>
                <w:szCs w:val="20"/>
                <w:color w:val="auto"/>
              </w:rPr>
            </w:pPr>
            <w:r>
              <w:rPr>
                <w:rFonts w:ascii="Arial" w:cs="Arial" w:eastAsia="Arial" w:hAnsi="Arial"/>
                <w:sz w:val="14"/>
                <w:szCs w:val="14"/>
                <w:color w:val="auto"/>
              </w:rPr>
              <w:t>$98,296</w:t>
            </w:r>
          </w:p>
        </w:tc>
        <w:tc>
          <w:tcPr>
            <w:tcW w:w="1380" w:type="dxa"/>
            <w:vAlign w:val="bottom"/>
            <w:tcBorders>
              <w:bottom w:val="single" w:sz="8" w:color="auto"/>
              <w:right w:val="single" w:sz="8" w:color="auto"/>
            </w:tcBorders>
          </w:tcPr>
          <w:p>
            <w:pPr>
              <w:jc w:val="center"/>
              <w:ind w:right="228"/>
              <w:spacing w:after="0"/>
              <w:rPr>
                <w:sz w:val="20"/>
                <w:szCs w:val="20"/>
                <w:color w:val="auto"/>
              </w:rPr>
            </w:pPr>
            <w:r>
              <w:rPr>
                <w:rFonts w:ascii="Arial" w:cs="Arial" w:eastAsia="Arial" w:hAnsi="Arial"/>
                <w:sz w:val="14"/>
                <w:szCs w:val="14"/>
                <w:color w:val="auto"/>
              </w:rPr>
              <w:t>$895,298</w:t>
            </w:r>
          </w:p>
        </w:tc>
        <w:tc>
          <w:tcPr>
            <w:tcW w:w="1400" w:type="dxa"/>
            <w:vAlign w:val="bottom"/>
            <w:tcBorders>
              <w:bottom w:val="single" w:sz="8" w:color="auto"/>
              <w:right w:val="single" w:sz="8" w:color="auto"/>
            </w:tcBorders>
          </w:tcPr>
          <w:p>
            <w:pPr>
              <w:jc w:val="right"/>
              <w:ind w:right="488"/>
              <w:spacing w:after="0"/>
              <w:rPr>
                <w:sz w:val="20"/>
                <w:szCs w:val="20"/>
                <w:color w:val="auto"/>
              </w:rPr>
            </w:pPr>
            <w:r>
              <w:rPr>
                <w:rFonts w:ascii="Arial" w:cs="Arial" w:eastAsia="Arial" w:hAnsi="Arial"/>
                <w:sz w:val="14"/>
                <w:szCs w:val="14"/>
                <w:color w:val="auto"/>
              </w:rPr>
              <w:t>$993,594</w:t>
            </w:r>
          </w:p>
        </w:tc>
      </w:tr>
      <w:tr>
        <w:trPr>
          <w:trHeight w:val="264"/>
        </w:trPr>
        <w:tc>
          <w:tcPr>
            <w:tcW w:w="1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Dr. Lundberg</w:t>
            </w:r>
          </w:p>
        </w:tc>
        <w:tc>
          <w:tcPr>
            <w:tcW w:w="1380" w:type="dxa"/>
            <w:vAlign w:val="bottom"/>
            <w:tcBorders>
              <w:bottom w:val="single" w:sz="8" w:color="auto"/>
              <w:right w:val="single" w:sz="8" w:color="auto"/>
            </w:tcBorders>
          </w:tcPr>
          <w:p>
            <w:pPr>
              <w:jc w:val="center"/>
              <w:ind w:right="268"/>
              <w:spacing w:after="0"/>
              <w:rPr>
                <w:sz w:val="20"/>
                <w:szCs w:val="20"/>
                <w:color w:val="auto"/>
              </w:rPr>
            </w:pPr>
            <w:r>
              <w:rPr>
                <w:rFonts w:ascii="Arial" w:cs="Arial" w:eastAsia="Arial" w:hAnsi="Arial"/>
                <w:sz w:val="14"/>
                <w:szCs w:val="14"/>
                <w:color w:val="auto"/>
              </w:rPr>
              <w:t>$90,557</w:t>
            </w:r>
          </w:p>
        </w:tc>
        <w:tc>
          <w:tcPr>
            <w:tcW w:w="1380" w:type="dxa"/>
            <w:vAlign w:val="bottom"/>
            <w:tcBorders>
              <w:bottom w:val="single" w:sz="8" w:color="auto"/>
              <w:right w:val="single" w:sz="8" w:color="auto"/>
            </w:tcBorders>
          </w:tcPr>
          <w:p>
            <w:pPr>
              <w:jc w:val="center"/>
              <w:ind w:right="228"/>
              <w:spacing w:after="0"/>
              <w:rPr>
                <w:sz w:val="20"/>
                <w:szCs w:val="20"/>
                <w:color w:val="auto"/>
              </w:rPr>
            </w:pPr>
            <w:r>
              <w:rPr>
                <w:rFonts w:ascii="Arial" w:cs="Arial" w:eastAsia="Arial" w:hAnsi="Arial"/>
                <w:sz w:val="14"/>
                <w:szCs w:val="14"/>
                <w:color w:val="auto"/>
              </w:rPr>
              <w:t>$616,819</w:t>
            </w:r>
          </w:p>
        </w:tc>
        <w:tc>
          <w:tcPr>
            <w:tcW w:w="1400" w:type="dxa"/>
            <w:vAlign w:val="bottom"/>
            <w:tcBorders>
              <w:bottom w:val="single" w:sz="8" w:color="auto"/>
              <w:right w:val="single" w:sz="8" w:color="auto"/>
            </w:tcBorders>
          </w:tcPr>
          <w:p>
            <w:pPr>
              <w:jc w:val="right"/>
              <w:ind w:right="488"/>
              <w:spacing w:after="0"/>
              <w:rPr>
                <w:sz w:val="20"/>
                <w:szCs w:val="20"/>
                <w:color w:val="auto"/>
              </w:rPr>
            </w:pPr>
            <w:r>
              <w:rPr>
                <w:rFonts w:ascii="Arial" w:cs="Arial" w:eastAsia="Arial" w:hAnsi="Arial"/>
                <w:sz w:val="14"/>
                <w:szCs w:val="14"/>
                <w:color w:val="auto"/>
              </w:rPr>
              <w:t>$707,376</w:t>
            </w:r>
          </w:p>
        </w:tc>
      </w:tr>
      <w:tr>
        <w:trPr>
          <w:trHeight w:val="264"/>
        </w:trPr>
        <w:tc>
          <w:tcPr>
            <w:tcW w:w="1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Mr. Harrington</w:t>
            </w:r>
          </w:p>
        </w:tc>
        <w:tc>
          <w:tcPr>
            <w:tcW w:w="1380" w:type="dxa"/>
            <w:vAlign w:val="bottom"/>
            <w:tcBorders>
              <w:bottom w:val="single" w:sz="8" w:color="auto"/>
              <w:right w:val="single" w:sz="8" w:color="auto"/>
            </w:tcBorders>
          </w:tcPr>
          <w:p>
            <w:pPr>
              <w:jc w:val="center"/>
              <w:ind w:right="268"/>
              <w:spacing w:after="0"/>
              <w:rPr>
                <w:sz w:val="20"/>
                <w:szCs w:val="20"/>
                <w:color w:val="auto"/>
              </w:rPr>
            </w:pPr>
            <w:r>
              <w:rPr>
                <w:rFonts w:ascii="Arial" w:cs="Arial" w:eastAsia="Arial" w:hAnsi="Arial"/>
                <w:sz w:val="14"/>
                <w:szCs w:val="14"/>
                <w:color w:val="auto"/>
              </w:rPr>
              <w:t>$70,336</w:t>
            </w:r>
          </w:p>
        </w:tc>
        <w:tc>
          <w:tcPr>
            <w:tcW w:w="1380" w:type="dxa"/>
            <w:vAlign w:val="bottom"/>
            <w:tcBorders>
              <w:bottom w:val="single" w:sz="8" w:color="auto"/>
              <w:right w:val="single" w:sz="8" w:color="auto"/>
            </w:tcBorders>
          </w:tcPr>
          <w:p>
            <w:pPr>
              <w:jc w:val="center"/>
              <w:ind w:right="228"/>
              <w:spacing w:after="0"/>
              <w:rPr>
                <w:sz w:val="20"/>
                <w:szCs w:val="20"/>
                <w:color w:val="auto"/>
              </w:rPr>
            </w:pPr>
            <w:r>
              <w:rPr>
                <w:rFonts w:ascii="Arial" w:cs="Arial" w:eastAsia="Arial" w:hAnsi="Arial"/>
                <w:sz w:val="14"/>
                <w:szCs w:val="14"/>
                <w:color w:val="auto"/>
              </w:rPr>
              <w:t>$276,588</w:t>
            </w:r>
          </w:p>
        </w:tc>
        <w:tc>
          <w:tcPr>
            <w:tcW w:w="1400" w:type="dxa"/>
            <w:vAlign w:val="bottom"/>
            <w:tcBorders>
              <w:bottom w:val="single" w:sz="8" w:color="auto"/>
              <w:right w:val="single" w:sz="8" w:color="auto"/>
            </w:tcBorders>
          </w:tcPr>
          <w:p>
            <w:pPr>
              <w:jc w:val="right"/>
              <w:ind w:right="488"/>
              <w:spacing w:after="0"/>
              <w:rPr>
                <w:sz w:val="20"/>
                <w:szCs w:val="20"/>
                <w:color w:val="auto"/>
              </w:rPr>
            </w:pPr>
            <w:r>
              <w:rPr>
                <w:rFonts w:ascii="Arial" w:cs="Arial" w:eastAsia="Arial" w:hAnsi="Arial"/>
                <w:sz w:val="14"/>
                <w:szCs w:val="14"/>
                <w:color w:val="auto"/>
              </w:rPr>
              <w:t>$346,924</w:t>
            </w:r>
          </w:p>
        </w:tc>
      </w:tr>
    </w:tbl>
    <w:p>
      <w:pPr>
        <w:spacing w:after="0" w:line="215"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The Nonqualified Deferred Compensation in 2017 table above shows information about two company programs: the nonqualified savings plan and the Deferred Compensation Plan. The nonqualified savings plan is designed to allow each employee to contribute up to 6 percent of his or her base salary and receive a company match, beyond the contribution limits prescribed by the IRS with regard to 401(k) plans. This plan is administered in the same manner as the 401(k) Plan, with the same participation and investment elections. Executive officers and other U.S. executives may also defer receipt of all or part of their cash compensation under the Deferred Compensation Plan. Amounts deferred by executives under this plan are credited with interest at 120 percent of the applicable federal long-term rate as established the preceding December by the U.S. Treasury Department under Section 1274(d) of the Internal Revenue Code with monthly compounding, which was</w:t>
      </w:r>
    </w:p>
    <w:p>
      <w:pPr>
        <w:spacing w:after="0" w:line="3"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2.7 percent for 2017 and is 3.1 percent for 2018. Participants may elect to receive the funds in a lump sum or in up to 10 annual installments following termination of employment, but may not make withdrawals while employed by the company, except in the event of hardship as approved by the Compensation Committee. All deferral elections and associated distribution schedules are irrevocable. Both plans are unfunded and subject to forfeiture in the event of bankruptcy.</w:t>
      </w:r>
    </w:p>
    <w:p>
      <w:pPr>
        <w:spacing w:after="0" w:line="2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P57</w:t>
      </w:r>
    </w:p>
    <w:p>
      <w:pPr>
        <w:sectPr>
          <w:pgSz w:w="11900" w:h="16838" w:orient="portrait"/>
          <w:cols w:equalWidth="0" w:num="1">
            <w:col w:w="11420"/>
          </w:cols>
          <w:pgMar w:left="240" w:top="576"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u w:val="single" w:color="auto"/>
          <w:color w:val="auto"/>
        </w:rPr>
        <w:t>Payments Upon Termination or Change in Control (as of December 31, 2017)</w:t>
      </w:r>
    </w:p>
    <w:p>
      <w:pPr>
        <w:spacing w:after="0" w:line="8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following table describes the potential payments and benefits under the company’s compensation and benefit plans and arrangements to which the named executive officers would be entitled upon termination of employment. Except for certain terminations following a change in control of the company, as described below, there are no agreements, arrangements, or plans that entitle named executive officers to severance, perquisites, or other enhanced benefits upon termination of their employment. Any agreement to provide such payments or benefits to a terminating executive officer (other than following a change in control) would be at the discretion of the Compensation Committee.</w:t>
      </w:r>
    </w:p>
    <w:p>
      <w:pPr>
        <w:spacing w:after="0" w:line="321" w:lineRule="exact"/>
        <w:rPr>
          <w:sz w:val="20"/>
          <w:szCs w:val="20"/>
          <w:color w:val="auto"/>
        </w:rPr>
      </w:pPr>
    </w:p>
    <w:tbl>
      <w:tblPr>
        <w:tblLayout w:type="fixed"/>
        <w:tblInd w:w="2210" w:type="dxa"/>
        <w:tblCellMar>
          <w:top w:w="0" w:type="dxa"/>
          <w:left w:w="0" w:type="dxa"/>
          <w:bottom w:w="0" w:type="dxa"/>
          <w:right w:w="0" w:type="dxa"/>
        </w:tblCellMar>
      </w:tblPr>
      <w:tr>
        <w:trPr>
          <w:trHeight w:val="189"/>
        </w:trPr>
        <w:tc>
          <w:tcPr>
            <w:tcW w:w="3100" w:type="dxa"/>
            <w:vAlign w:val="bottom"/>
            <w:tcBorders>
              <w:top w:val="single" w:sz="8" w:color="auto"/>
              <w:left w:val="single" w:sz="8" w:color="auto"/>
              <w:right w:val="single" w:sz="8" w:color="auto"/>
            </w:tcBorders>
            <w:shd w:val="clear" w:color="auto" w:fill="E5E5E5"/>
          </w:tcPr>
          <w:p>
            <w:pPr>
              <w:spacing w:after="0"/>
              <w:rPr>
                <w:sz w:val="16"/>
                <w:szCs w:val="16"/>
                <w:color w:val="auto"/>
              </w:rPr>
            </w:pPr>
          </w:p>
        </w:tc>
        <w:tc>
          <w:tcPr>
            <w:tcW w:w="900" w:type="dxa"/>
            <w:vAlign w:val="bottom"/>
            <w:tcBorders>
              <w:top w:val="single" w:sz="8" w:color="auto"/>
              <w:right w:val="single" w:sz="8" w:color="auto"/>
            </w:tcBorders>
            <w:shd w:val="clear" w:color="auto" w:fill="E5E5E5"/>
          </w:tcPr>
          <w:p>
            <w:pPr>
              <w:spacing w:after="0"/>
              <w:rPr>
                <w:sz w:val="16"/>
                <w:szCs w:val="16"/>
                <w:color w:val="auto"/>
              </w:rPr>
            </w:pPr>
          </w:p>
        </w:tc>
        <w:tc>
          <w:tcPr>
            <w:tcW w:w="1060" w:type="dxa"/>
            <w:vAlign w:val="bottom"/>
            <w:tcBorders>
              <w:top w:val="single" w:sz="8" w:color="auto"/>
              <w:right w:val="single" w:sz="8" w:color="auto"/>
            </w:tcBorders>
            <w:shd w:val="clear" w:color="auto" w:fill="E5E5E5"/>
          </w:tcPr>
          <w:p>
            <w:pPr>
              <w:jc w:val="center"/>
              <w:spacing w:after="0"/>
              <w:rPr>
                <w:sz w:val="20"/>
                <w:szCs w:val="20"/>
                <w:color w:val="auto"/>
              </w:rPr>
            </w:pPr>
            <w:r>
              <w:rPr>
                <w:rFonts w:ascii="Arial" w:cs="Arial" w:eastAsia="Arial" w:hAnsi="Arial"/>
                <w:sz w:val="14"/>
                <w:szCs w:val="14"/>
                <w:b w:val="1"/>
                <w:bCs w:val="1"/>
                <w:color w:val="auto"/>
              </w:rPr>
              <w:t>Continuation</w:t>
            </w:r>
          </w:p>
        </w:tc>
        <w:tc>
          <w:tcPr>
            <w:tcW w:w="1020" w:type="dxa"/>
            <w:vAlign w:val="bottom"/>
            <w:tcBorders>
              <w:top w:val="single" w:sz="8" w:color="auto"/>
              <w:right w:val="single" w:sz="8" w:color="auto"/>
            </w:tcBorders>
            <w:shd w:val="clear" w:color="auto" w:fill="E5E5E5"/>
          </w:tcPr>
          <w:p>
            <w:pPr>
              <w:spacing w:after="0"/>
              <w:rPr>
                <w:sz w:val="16"/>
                <w:szCs w:val="16"/>
                <w:color w:val="auto"/>
              </w:rPr>
            </w:pPr>
          </w:p>
        </w:tc>
        <w:tc>
          <w:tcPr>
            <w:tcW w:w="980" w:type="dxa"/>
            <w:vAlign w:val="bottom"/>
            <w:tcBorders>
              <w:top w:val="single" w:sz="8" w:color="auto"/>
              <w:right w:val="single" w:sz="8" w:color="auto"/>
            </w:tcBorders>
            <w:shd w:val="clear" w:color="auto" w:fill="E5E5E5"/>
          </w:tcPr>
          <w:p>
            <w:pPr>
              <w:spacing w:after="0"/>
              <w:rPr>
                <w:sz w:val="16"/>
                <w:szCs w:val="16"/>
                <w:color w:val="auto"/>
              </w:rPr>
            </w:pPr>
          </w:p>
        </w:tc>
      </w:tr>
      <w:tr>
        <w:trPr>
          <w:trHeight w:val="162"/>
        </w:trPr>
        <w:tc>
          <w:tcPr>
            <w:tcW w:w="3100" w:type="dxa"/>
            <w:vAlign w:val="bottom"/>
            <w:tcBorders>
              <w:left w:val="single" w:sz="8" w:color="auto"/>
              <w:right w:val="single" w:sz="8" w:color="auto"/>
            </w:tcBorders>
            <w:shd w:val="clear" w:color="auto" w:fill="E5E5E5"/>
          </w:tcPr>
          <w:p>
            <w:pPr>
              <w:spacing w:after="0"/>
              <w:rPr>
                <w:sz w:val="14"/>
                <w:szCs w:val="14"/>
                <w:color w:val="auto"/>
              </w:rPr>
            </w:pPr>
          </w:p>
        </w:tc>
        <w:tc>
          <w:tcPr>
            <w:tcW w:w="900" w:type="dxa"/>
            <w:vAlign w:val="bottom"/>
            <w:tcBorders>
              <w:right w:val="single" w:sz="8" w:color="auto"/>
            </w:tcBorders>
            <w:shd w:val="clear" w:color="auto" w:fill="E5E5E5"/>
          </w:tcPr>
          <w:p>
            <w:pPr>
              <w:spacing w:after="0"/>
              <w:rPr>
                <w:sz w:val="14"/>
                <w:szCs w:val="14"/>
                <w:color w:val="auto"/>
              </w:rPr>
            </w:pPr>
          </w:p>
        </w:tc>
        <w:tc>
          <w:tcPr>
            <w:tcW w:w="1060" w:type="dxa"/>
            <w:vAlign w:val="bottom"/>
            <w:tcBorders>
              <w:right w:val="single" w:sz="8" w:color="auto"/>
            </w:tcBorders>
            <w:shd w:val="clear" w:color="auto" w:fill="E5E5E5"/>
          </w:tcPr>
          <w:p>
            <w:pPr>
              <w:jc w:val="center"/>
              <w:spacing w:after="0"/>
              <w:rPr>
                <w:sz w:val="20"/>
                <w:szCs w:val="20"/>
                <w:color w:val="auto"/>
              </w:rPr>
            </w:pPr>
            <w:r>
              <w:rPr>
                <w:rFonts w:ascii="Arial" w:cs="Arial" w:eastAsia="Arial" w:hAnsi="Arial"/>
                <w:sz w:val="14"/>
                <w:szCs w:val="14"/>
                <w:b w:val="1"/>
                <w:bCs w:val="1"/>
                <w:color w:val="auto"/>
              </w:rPr>
              <w:t>of Medical /</w:t>
            </w:r>
          </w:p>
        </w:tc>
        <w:tc>
          <w:tcPr>
            <w:tcW w:w="1020" w:type="dxa"/>
            <w:vAlign w:val="bottom"/>
            <w:tcBorders>
              <w:right w:val="single" w:sz="8" w:color="auto"/>
            </w:tcBorders>
            <w:shd w:val="clear" w:color="auto" w:fill="E5E5E5"/>
          </w:tcPr>
          <w:p>
            <w:pPr>
              <w:spacing w:after="0"/>
              <w:rPr>
                <w:sz w:val="14"/>
                <w:szCs w:val="14"/>
                <w:color w:val="auto"/>
              </w:rPr>
            </w:pPr>
          </w:p>
        </w:tc>
        <w:tc>
          <w:tcPr>
            <w:tcW w:w="980" w:type="dxa"/>
            <w:vAlign w:val="bottom"/>
            <w:tcBorders>
              <w:right w:val="single" w:sz="8" w:color="auto"/>
            </w:tcBorders>
            <w:shd w:val="clear" w:color="auto" w:fill="E5E5E5"/>
          </w:tcPr>
          <w:p>
            <w:pPr>
              <w:spacing w:after="0"/>
              <w:rPr>
                <w:sz w:val="14"/>
                <w:szCs w:val="14"/>
                <w:color w:val="auto"/>
              </w:rPr>
            </w:pPr>
          </w:p>
        </w:tc>
      </w:tr>
      <w:tr>
        <w:trPr>
          <w:trHeight w:val="162"/>
        </w:trPr>
        <w:tc>
          <w:tcPr>
            <w:tcW w:w="3100" w:type="dxa"/>
            <w:vAlign w:val="bottom"/>
            <w:tcBorders>
              <w:left w:val="single" w:sz="8" w:color="auto"/>
              <w:right w:val="single" w:sz="8" w:color="auto"/>
            </w:tcBorders>
            <w:shd w:val="clear" w:color="auto" w:fill="E5E5E5"/>
          </w:tcPr>
          <w:p>
            <w:pPr>
              <w:spacing w:after="0"/>
              <w:rPr>
                <w:sz w:val="14"/>
                <w:szCs w:val="14"/>
                <w:color w:val="auto"/>
              </w:rPr>
            </w:pPr>
          </w:p>
        </w:tc>
        <w:tc>
          <w:tcPr>
            <w:tcW w:w="900" w:type="dxa"/>
            <w:vAlign w:val="bottom"/>
            <w:tcBorders>
              <w:right w:val="single" w:sz="8" w:color="auto"/>
            </w:tcBorders>
            <w:shd w:val="clear" w:color="auto" w:fill="E5E5E5"/>
          </w:tcPr>
          <w:p>
            <w:pPr>
              <w:spacing w:after="0"/>
              <w:rPr>
                <w:sz w:val="14"/>
                <w:szCs w:val="14"/>
                <w:color w:val="auto"/>
              </w:rPr>
            </w:pPr>
          </w:p>
        </w:tc>
        <w:tc>
          <w:tcPr>
            <w:tcW w:w="1060" w:type="dxa"/>
            <w:vAlign w:val="bottom"/>
            <w:tcBorders>
              <w:right w:val="single" w:sz="8" w:color="auto"/>
            </w:tcBorders>
            <w:shd w:val="clear" w:color="auto" w:fill="E5E5E5"/>
          </w:tcPr>
          <w:p>
            <w:pPr>
              <w:jc w:val="center"/>
              <w:ind w:right="28"/>
              <w:spacing w:after="0"/>
              <w:rPr>
                <w:sz w:val="20"/>
                <w:szCs w:val="20"/>
                <w:color w:val="auto"/>
              </w:rPr>
            </w:pPr>
            <w:r>
              <w:rPr>
                <w:rFonts w:ascii="Arial" w:cs="Arial" w:eastAsia="Arial" w:hAnsi="Arial"/>
                <w:sz w:val="14"/>
                <w:szCs w:val="14"/>
                <w:b w:val="1"/>
                <w:bCs w:val="1"/>
                <w:color w:val="auto"/>
              </w:rPr>
              <w:t>Welfare</w:t>
            </w:r>
          </w:p>
        </w:tc>
        <w:tc>
          <w:tcPr>
            <w:tcW w:w="1020" w:type="dxa"/>
            <w:vAlign w:val="bottom"/>
            <w:tcBorders>
              <w:right w:val="single" w:sz="8" w:color="auto"/>
            </w:tcBorders>
            <w:shd w:val="clear" w:color="auto" w:fill="E5E5E5"/>
          </w:tcPr>
          <w:p>
            <w:pPr>
              <w:jc w:val="center"/>
              <w:spacing w:after="0"/>
              <w:rPr>
                <w:sz w:val="20"/>
                <w:szCs w:val="20"/>
                <w:color w:val="auto"/>
              </w:rPr>
            </w:pPr>
            <w:r>
              <w:rPr>
                <w:rFonts w:ascii="Arial" w:cs="Arial" w:eastAsia="Arial" w:hAnsi="Arial"/>
                <w:sz w:val="14"/>
                <w:szCs w:val="14"/>
                <w:b w:val="1"/>
                <w:bCs w:val="1"/>
                <w:color w:val="auto"/>
                <w:w w:val="99"/>
              </w:rPr>
              <w:t>Value of</w:t>
            </w:r>
          </w:p>
        </w:tc>
        <w:tc>
          <w:tcPr>
            <w:tcW w:w="980" w:type="dxa"/>
            <w:vAlign w:val="bottom"/>
            <w:tcBorders>
              <w:right w:val="single" w:sz="8" w:color="auto"/>
            </w:tcBorders>
            <w:shd w:val="clear" w:color="auto" w:fill="E5E5E5"/>
          </w:tcPr>
          <w:p>
            <w:pPr>
              <w:spacing w:after="0"/>
              <w:rPr>
                <w:sz w:val="14"/>
                <w:szCs w:val="14"/>
                <w:color w:val="auto"/>
              </w:rPr>
            </w:pPr>
          </w:p>
        </w:tc>
      </w:tr>
      <w:tr>
        <w:trPr>
          <w:trHeight w:val="162"/>
        </w:trPr>
        <w:tc>
          <w:tcPr>
            <w:tcW w:w="3100" w:type="dxa"/>
            <w:vAlign w:val="bottom"/>
            <w:tcBorders>
              <w:left w:val="single" w:sz="8" w:color="auto"/>
              <w:right w:val="single" w:sz="8" w:color="auto"/>
            </w:tcBorders>
            <w:shd w:val="clear" w:color="auto" w:fill="E5E5E5"/>
          </w:tcPr>
          <w:p>
            <w:pPr>
              <w:spacing w:after="0"/>
              <w:rPr>
                <w:sz w:val="14"/>
                <w:szCs w:val="14"/>
                <w:color w:val="auto"/>
              </w:rPr>
            </w:pPr>
          </w:p>
        </w:tc>
        <w:tc>
          <w:tcPr>
            <w:tcW w:w="900" w:type="dxa"/>
            <w:vAlign w:val="bottom"/>
            <w:tcBorders>
              <w:right w:val="single" w:sz="8" w:color="auto"/>
            </w:tcBorders>
            <w:shd w:val="clear" w:color="auto" w:fill="E5E5E5"/>
          </w:tcPr>
          <w:p>
            <w:pPr>
              <w:jc w:val="center"/>
              <w:spacing w:after="0"/>
              <w:rPr>
                <w:sz w:val="20"/>
                <w:szCs w:val="20"/>
                <w:color w:val="auto"/>
              </w:rPr>
            </w:pPr>
            <w:r>
              <w:rPr>
                <w:rFonts w:ascii="Arial" w:cs="Arial" w:eastAsia="Arial" w:hAnsi="Arial"/>
                <w:sz w:val="14"/>
                <w:szCs w:val="14"/>
                <w:b w:val="1"/>
                <w:bCs w:val="1"/>
                <w:color w:val="auto"/>
              </w:rPr>
              <w:t>Cash</w:t>
            </w:r>
          </w:p>
        </w:tc>
        <w:tc>
          <w:tcPr>
            <w:tcW w:w="1060" w:type="dxa"/>
            <w:vAlign w:val="bottom"/>
            <w:tcBorders>
              <w:right w:val="single" w:sz="8" w:color="auto"/>
            </w:tcBorders>
            <w:shd w:val="clear" w:color="auto" w:fill="E5E5E5"/>
          </w:tcPr>
          <w:p>
            <w:pPr>
              <w:jc w:val="center"/>
              <w:ind w:right="8"/>
              <w:spacing w:after="0"/>
              <w:rPr>
                <w:sz w:val="20"/>
                <w:szCs w:val="20"/>
                <w:color w:val="auto"/>
              </w:rPr>
            </w:pPr>
            <w:r>
              <w:rPr>
                <w:rFonts w:ascii="Arial" w:cs="Arial" w:eastAsia="Arial" w:hAnsi="Arial"/>
                <w:sz w:val="14"/>
                <w:szCs w:val="14"/>
                <w:b w:val="1"/>
                <w:bCs w:val="1"/>
                <w:color w:val="auto"/>
              </w:rPr>
              <w:t>Benefits</w:t>
            </w:r>
          </w:p>
        </w:tc>
        <w:tc>
          <w:tcPr>
            <w:tcW w:w="1020" w:type="dxa"/>
            <w:vAlign w:val="bottom"/>
            <w:tcBorders>
              <w:right w:val="single" w:sz="8" w:color="auto"/>
            </w:tcBorders>
            <w:shd w:val="clear" w:color="auto" w:fill="E5E5E5"/>
          </w:tcPr>
          <w:p>
            <w:pPr>
              <w:jc w:val="center"/>
              <w:spacing w:after="0"/>
              <w:rPr>
                <w:sz w:val="20"/>
                <w:szCs w:val="20"/>
                <w:color w:val="auto"/>
              </w:rPr>
            </w:pPr>
            <w:r>
              <w:rPr>
                <w:rFonts w:ascii="Arial" w:cs="Arial" w:eastAsia="Arial" w:hAnsi="Arial"/>
                <w:sz w:val="14"/>
                <w:szCs w:val="14"/>
                <w:b w:val="1"/>
                <w:bCs w:val="1"/>
                <w:color w:val="auto"/>
              </w:rPr>
              <w:t>Acceleration</w:t>
            </w:r>
          </w:p>
        </w:tc>
        <w:tc>
          <w:tcPr>
            <w:tcW w:w="980" w:type="dxa"/>
            <w:vAlign w:val="bottom"/>
            <w:tcBorders>
              <w:right w:val="single" w:sz="8" w:color="auto"/>
            </w:tcBorders>
            <w:shd w:val="clear" w:color="auto" w:fill="E5E5E5"/>
          </w:tcPr>
          <w:p>
            <w:pPr>
              <w:jc w:val="center"/>
              <w:ind w:right="8"/>
              <w:spacing w:after="0"/>
              <w:rPr>
                <w:sz w:val="20"/>
                <w:szCs w:val="20"/>
                <w:color w:val="auto"/>
              </w:rPr>
            </w:pPr>
            <w:r>
              <w:rPr>
                <w:rFonts w:ascii="Arial" w:cs="Arial" w:eastAsia="Arial" w:hAnsi="Arial"/>
                <w:sz w:val="14"/>
                <w:szCs w:val="14"/>
                <w:b w:val="1"/>
                <w:bCs w:val="1"/>
                <w:color w:val="auto"/>
              </w:rPr>
              <w:t>Total</w:t>
            </w:r>
          </w:p>
        </w:tc>
      </w:tr>
      <w:tr>
        <w:trPr>
          <w:trHeight w:val="162"/>
        </w:trPr>
        <w:tc>
          <w:tcPr>
            <w:tcW w:w="3100" w:type="dxa"/>
            <w:vAlign w:val="bottom"/>
            <w:tcBorders>
              <w:left w:val="single" w:sz="8" w:color="auto"/>
              <w:right w:val="single" w:sz="8" w:color="auto"/>
            </w:tcBorders>
            <w:shd w:val="clear" w:color="auto" w:fill="E5E5E5"/>
          </w:tcPr>
          <w:p>
            <w:pPr>
              <w:spacing w:after="0"/>
              <w:rPr>
                <w:sz w:val="14"/>
                <w:szCs w:val="14"/>
                <w:color w:val="auto"/>
              </w:rPr>
            </w:pPr>
          </w:p>
        </w:tc>
        <w:tc>
          <w:tcPr>
            <w:tcW w:w="900" w:type="dxa"/>
            <w:vAlign w:val="bottom"/>
            <w:tcBorders>
              <w:right w:val="single" w:sz="8" w:color="auto"/>
            </w:tcBorders>
            <w:shd w:val="clear" w:color="auto" w:fill="E5E5E5"/>
          </w:tcPr>
          <w:p>
            <w:pPr>
              <w:jc w:val="center"/>
              <w:spacing w:after="0"/>
              <w:rPr>
                <w:sz w:val="20"/>
                <w:szCs w:val="20"/>
                <w:color w:val="auto"/>
              </w:rPr>
            </w:pPr>
            <w:r>
              <w:rPr>
                <w:rFonts w:ascii="Arial" w:cs="Arial" w:eastAsia="Arial" w:hAnsi="Arial"/>
                <w:sz w:val="14"/>
                <w:szCs w:val="14"/>
                <w:b w:val="1"/>
                <w:bCs w:val="1"/>
                <w:color w:val="auto"/>
              </w:rPr>
              <w:t>Severance</w:t>
            </w:r>
          </w:p>
        </w:tc>
        <w:tc>
          <w:tcPr>
            <w:tcW w:w="1060" w:type="dxa"/>
            <w:vAlign w:val="bottom"/>
            <w:tcBorders>
              <w:right w:val="single" w:sz="8" w:color="auto"/>
            </w:tcBorders>
            <w:shd w:val="clear" w:color="auto" w:fill="E5E5E5"/>
          </w:tcPr>
          <w:p>
            <w:pPr>
              <w:jc w:val="center"/>
              <w:ind w:right="8"/>
              <w:spacing w:after="0"/>
              <w:rPr>
                <w:sz w:val="20"/>
                <w:szCs w:val="20"/>
                <w:color w:val="auto"/>
              </w:rPr>
            </w:pPr>
            <w:r>
              <w:rPr>
                <w:rFonts w:ascii="Arial" w:cs="Arial" w:eastAsia="Arial" w:hAnsi="Arial"/>
                <w:sz w:val="14"/>
                <w:szCs w:val="14"/>
                <w:b w:val="1"/>
                <w:bCs w:val="1"/>
                <w:color w:val="auto"/>
              </w:rPr>
              <w:t>(present</w:t>
            </w:r>
          </w:p>
        </w:tc>
        <w:tc>
          <w:tcPr>
            <w:tcW w:w="1020" w:type="dxa"/>
            <w:vAlign w:val="bottom"/>
            <w:tcBorders>
              <w:right w:val="single" w:sz="8" w:color="auto"/>
            </w:tcBorders>
            <w:shd w:val="clear" w:color="auto" w:fill="E5E5E5"/>
          </w:tcPr>
          <w:p>
            <w:pPr>
              <w:jc w:val="center"/>
              <w:spacing w:after="0"/>
              <w:rPr>
                <w:sz w:val="20"/>
                <w:szCs w:val="20"/>
                <w:color w:val="auto"/>
              </w:rPr>
            </w:pPr>
            <w:r>
              <w:rPr>
                <w:rFonts w:ascii="Arial" w:cs="Arial" w:eastAsia="Arial" w:hAnsi="Arial"/>
                <w:sz w:val="14"/>
                <w:szCs w:val="14"/>
                <w:b w:val="1"/>
                <w:bCs w:val="1"/>
                <w:color w:val="auto"/>
              </w:rPr>
              <w:t>of Equity</w:t>
            </w:r>
          </w:p>
        </w:tc>
        <w:tc>
          <w:tcPr>
            <w:tcW w:w="980" w:type="dxa"/>
            <w:vAlign w:val="bottom"/>
            <w:tcBorders>
              <w:right w:val="single" w:sz="8" w:color="auto"/>
            </w:tcBorders>
            <w:shd w:val="clear" w:color="auto" w:fill="E5E5E5"/>
          </w:tcPr>
          <w:p>
            <w:pPr>
              <w:jc w:val="center"/>
              <w:ind w:right="8"/>
              <w:spacing w:after="0"/>
              <w:rPr>
                <w:sz w:val="20"/>
                <w:szCs w:val="20"/>
                <w:color w:val="auto"/>
              </w:rPr>
            </w:pPr>
            <w:r>
              <w:rPr>
                <w:rFonts w:ascii="Arial" w:cs="Arial" w:eastAsia="Arial" w:hAnsi="Arial"/>
                <w:sz w:val="14"/>
                <w:szCs w:val="14"/>
                <w:b w:val="1"/>
                <w:bCs w:val="1"/>
                <w:color w:val="auto"/>
              </w:rPr>
              <w:t>Termination</w:t>
            </w:r>
          </w:p>
        </w:tc>
      </w:tr>
      <w:tr>
        <w:trPr>
          <w:trHeight w:val="202"/>
        </w:trPr>
        <w:tc>
          <w:tcPr>
            <w:tcW w:w="3100" w:type="dxa"/>
            <w:vAlign w:val="bottom"/>
            <w:tcBorders>
              <w:left w:val="single" w:sz="8" w:color="auto"/>
              <w:bottom w:val="single" w:sz="8" w:color="auto"/>
              <w:right w:val="single" w:sz="8" w:color="auto"/>
            </w:tcBorders>
            <w:shd w:val="clear" w:color="auto" w:fill="E5E5E5"/>
          </w:tcPr>
          <w:p>
            <w:pPr>
              <w:spacing w:after="0"/>
              <w:rPr>
                <w:sz w:val="17"/>
                <w:szCs w:val="17"/>
                <w:color w:val="auto"/>
              </w:rPr>
            </w:pPr>
          </w:p>
        </w:tc>
        <w:tc>
          <w:tcPr>
            <w:tcW w:w="900" w:type="dxa"/>
            <w:vAlign w:val="bottom"/>
            <w:tcBorders>
              <w:bottom w:val="single" w:sz="8" w:color="auto"/>
              <w:right w:val="single" w:sz="8" w:color="auto"/>
            </w:tcBorders>
            <w:shd w:val="clear" w:color="auto" w:fill="E5E5E5"/>
          </w:tcPr>
          <w:p>
            <w:pPr>
              <w:jc w:val="center"/>
              <w:spacing w:after="0"/>
              <w:rPr>
                <w:sz w:val="20"/>
                <w:szCs w:val="20"/>
                <w:color w:val="auto"/>
              </w:rPr>
            </w:pPr>
            <w:r>
              <w:rPr>
                <w:rFonts w:ascii="Arial" w:cs="Arial" w:eastAsia="Arial" w:hAnsi="Arial"/>
                <w:sz w:val="14"/>
                <w:szCs w:val="14"/>
                <w:b w:val="1"/>
                <w:bCs w:val="1"/>
                <w:color w:val="auto"/>
              </w:rPr>
              <w:t xml:space="preserve">Payment </w:t>
            </w:r>
            <w:r>
              <w:rPr>
                <w:rFonts w:ascii="Arial" w:cs="Arial" w:eastAsia="Arial" w:hAnsi="Arial"/>
                <w:sz w:val="17"/>
                <w:szCs w:val="17"/>
                <w:b w:val="1"/>
                <w:bCs w:val="1"/>
                <w:color w:val="auto"/>
                <w:vertAlign w:val="superscript"/>
              </w:rPr>
              <w:t>1</w:t>
            </w:r>
          </w:p>
        </w:tc>
        <w:tc>
          <w:tcPr>
            <w:tcW w:w="1060" w:type="dxa"/>
            <w:vAlign w:val="bottom"/>
            <w:tcBorders>
              <w:bottom w:val="single" w:sz="8" w:color="auto"/>
              <w:right w:val="single" w:sz="8" w:color="auto"/>
            </w:tcBorders>
            <w:shd w:val="clear" w:color="auto" w:fill="E5E5E5"/>
          </w:tcPr>
          <w:p>
            <w:pPr>
              <w:jc w:val="center"/>
              <w:spacing w:after="0"/>
              <w:rPr>
                <w:sz w:val="20"/>
                <w:szCs w:val="20"/>
                <w:color w:val="auto"/>
              </w:rPr>
            </w:pPr>
            <w:r>
              <w:rPr>
                <w:rFonts w:ascii="Arial" w:cs="Arial" w:eastAsia="Arial" w:hAnsi="Arial"/>
                <w:sz w:val="14"/>
                <w:szCs w:val="14"/>
                <w:b w:val="1"/>
                <w:bCs w:val="1"/>
                <w:color w:val="auto"/>
                <w:w w:val="98"/>
              </w:rPr>
              <w:t xml:space="preserve">value) </w:t>
            </w:r>
            <w:r>
              <w:rPr>
                <w:rFonts w:ascii="Arial" w:cs="Arial" w:eastAsia="Arial" w:hAnsi="Arial"/>
                <w:sz w:val="17"/>
                <w:szCs w:val="17"/>
                <w:b w:val="1"/>
                <w:bCs w:val="1"/>
                <w:color w:val="auto"/>
                <w:w w:val="98"/>
                <w:vertAlign w:val="superscript"/>
              </w:rPr>
              <w:t>2</w:t>
            </w:r>
          </w:p>
        </w:tc>
        <w:tc>
          <w:tcPr>
            <w:tcW w:w="1020" w:type="dxa"/>
            <w:vAlign w:val="bottom"/>
            <w:tcBorders>
              <w:bottom w:val="single" w:sz="8" w:color="auto"/>
              <w:right w:val="single" w:sz="8" w:color="auto"/>
            </w:tcBorders>
            <w:shd w:val="clear" w:color="auto" w:fill="E5E5E5"/>
          </w:tcPr>
          <w:p>
            <w:pPr>
              <w:jc w:val="center"/>
              <w:spacing w:after="0"/>
              <w:rPr>
                <w:sz w:val="20"/>
                <w:szCs w:val="20"/>
                <w:color w:val="auto"/>
              </w:rPr>
            </w:pPr>
            <w:r>
              <w:rPr>
                <w:rFonts w:ascii="Arial" w:cs="Arial" w:eastAsia="Arial" w:hAnsi="Arial"/>
                <w:sz w:val="14"/>
                <w:szCs w:val="14"/>
                <w:b w:val="1"/>
                <w:bCs w:val="1"/>
                <w:color w:val="auto"/>
              </w:rPr>
              <w:t>Awards</w:t>
            </w:r>
          </w:p>
        </w:tc>
        <w:tc>
          <w:tcPr>
            <w:tcW w:w="980" w:type="dxa"/>
            <w:vAlign w:val="bottom"/>
            <w:tcBorders>
              <w:bottom w:val="single" w:sz="8" w:color="auto"/>
              <w:right w:val="single" w:sz="8" w:color="auto"/>
            </w:tcBorders>
            <w:shd w:val="clear" w:color="auto" w:fill="E5E5E5"/>
          </w:tcPr>
          <w:p>
            <w:pPr>
              <w:jc w:val="center"/>
              <w:spacing w:after="0"/>
              <w:rPr>
                <w:sz w:val="20"/>
                <w:szCs w:val="20"/>
                <w:color w:val="auto"/>
              </w:rPr>
            </w:pPr>
            <w:r>
              <w:rPr>
                <w:rFonts w:ascii="Arial" w:cs="Arial" w:eastAsia="Arial" w:hAnsi="Arial"/>
                <w:sz w:val="14"/>
                <w:szCs w:val="14"/>
                <w:b w:val="1"/>
                <w:bCs w:val="1"/>
                <w:color w:val="auto"/>
              </w:rPr>
              <w:t>Benefits</w:t>
            </w:r>
          </w:p>
        </w:tc>
      </w:tr>
      <w:tr>
        <w:trPr>
          <w:trHeight w:val="225"/>
        </w:trPr>
        <w:tc>
          <w:tcPr>
            <w:tcW w:w="310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Mr. Ricks</w:t>
            </w:r>
          </w:p>
        </w:tc>
        <w:tc>
          <w:tcPr>
            <w:tcW w:w="9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r>
      <w:tr>
        <w:trPr>
          <w:trHeight w:val="39"/>
        </w:trPr>
        <w:tc>
          <w:tcPr>
            <w:tcW w:w="3100" w:type="dxa"/>
            <w:vAlign w:val="bottom"/>
            <w:tcBorders>
              <w:left w:val="single" w:sz="8" w:color="auto"/>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r>
      <w:tr>
        <w:trPr>
          <w:trHeight w:val="203"/>
        </w:trPr>
        <w:tc>
          <w:tcPr>
            <w:tcW w:w="31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4"/>
                <w:szCs w:val="14"/>
                <w:color w:val="auto"/>
              </w:rPr>
              <w:t>• Voluntary retirement</w:t>
            </w:r>
          </w:p>
        </w:tc>
        <w:tc>
          <w:tcPr>
            <w:tcW w:w="9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10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9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$0</w:t>
            </w:r>
          </w:p>
        </w:tc>
      </w:tr>
      <w:tr>
        <w:trPr>
          <w:trHeight w:val="210"/>
        </w:trPr>
        <w:tc>
          <w:tcPr>
            <w:tcW w:w="31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4"/>
                <w:szCs w:val="14"/>
                <w:color w:val="auto"/>
              </w:rPr>
              <w:t>• Involuntary retirement or termination</w:t>
            </w:r>
          </w:p>
        </w:tc>
        <w:tc>
          <w:tcPr>
            <w:tcW w:w="9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10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9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$0</w:t>
            </w:r>
          </w:p>
        </w:tc>
      </w:tr>
      <w:tr>
        <w:trPr>
          <w:trHeight w:val="180"/>
        </w:trPr>
        <w:tc>
          <w:tcPr>
            <w:tcW w:w="3100" w:type="dxa"/>
            <w:vAlign w:val="bottom"/>
            <w:tcBorders>
              <w:left w:val="single" w:sz="8" w:color="auto"/>
              <w:right w:val="single" w:sz="8" w:color="auto"/>
            </w:tcBorders>
          </w:tcPr>
          <w:p>
            <w:pPr>
              <w:ind w:left="160"/>
              <w:spacing w:after="0" w:line="181" w:lineRule="exact"/>
              <w:rPr>
                <w:sz w:val="20"/>
                <w:szCs w:val="20"/>
                <w:color w:val="auto"/>
              </w:rPr>
            </w:pPr>
            <w:r>
              <w:rPr>
                <w:rFonts w:ascii="Arial" w:cs="Arial" w:eastAsia="Arial" w:hAnsi="Arial"/>
                <w:sz w:val="20"/>
                <w:szCs w:val="20"/>
                <w:color w:val="auto"/>
                <w:vertAlign w:val="subscript"/>
              </w:rPr>
              <w:t>•</w:t>
            </w:r>
            <w:r>
              <w:rPr>
                <w:rFonts w:ascii="Arial" w:cs="Arial" w:eastAsia="Arial" w:hAnsi="Arial"/>
                <w:sz w:val="12"/>
                <w:szCs w:val="12"/>
                <w:color w:val="auto"/>
              </w:rPr>
              <w:t xml:space="preserve"> Involuntary or good reason termination after</w:t>
            </w: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$7,000,000</w:t>
            </w:r>
          </w:p>
        </w:tc>
        <w:tc>
          <w:tcPr>
            <w:tcW w:w="10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$39,903</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$6,206,019</w:t>
            </w:r>
          </w:p>
        </w:tc>
        <w:tc>
          <w:tcPr>
            <w:tcW w:w="9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$13,245,922</w:t>
            </w:r>
          </w:p>
        </w:tc>
      </w:tr>
      <w:tr>
        <w:trPr>
          <w:trHeight w:val="178"/>
        </w:trPr>
        <w:tc>
          <w:tcPr>
            <w:tcW w:w="3100" w:type="dxa"/>
            <w:vAlign w:val="bottom"/>
            <w:tcBorders>
              <w:left w:val="single" w:sz="8" w:color="auto"/>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change in control</w:t>
            </w:r>
          </w:p>
        </w:tc>
        <w:tc>
          <w:tcPr>
            <w:tcW w:w="900" w:type="dxa"/>
            <w:vAlign w:val="bottom"/>
            <w:tcBorders>
              <w:bottom w:val="single" w:sz="8" w:color="auto"/>
              <w:right w:val="single" w:sz="8" w:color="auto"/>
            </w:tcBorders>
          </w:tcPr>
          <w:p>
            <w:pPr>
              <w:spacing w:after="0"/>
              <w:rPr>
                <w:sz w:val="15"/>
                <w:szCs w:val="15"/>
                <w:color w:val="auto"/>
              </w:rPr>
            </w:pPr>
          </w:p>
        </w:tc>
        <w:tc>
          <w:tcPr>
            <w:tcW w:w="1060" w:type="dxa"/>
            <w:vAlign w:val="bottom"/>
            <w:tcBorders>
              <w:bottom w:val="single" w:sz="8" w:color="auto"/>
              <w:right w:val="single" w:sz="8" w:color="auto"/>
            </w:tcBorders>
          </w:tcPr>
          <w:p>
            <w:pPr>
              <w:spacing w:after="0"/>
              <w:rPr>
                <w:sz w:val="15"/>
                <w:szCs w:val="15"/>
                <w:color w:val="auto"/>
              </w:rPr>
            </w:pPr>
          </w:p>
        </w:tc>
        <w:tc>
          <w:tcPr>
            <w:tcW w:w="102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r>
      <w:tr>
        <w:trPr>
          <w:trHeight w:val="231"/>
        </w:trPr>
        <w:tc>
          <w:tcPr>
            <w:tcW w:w="310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Mr. Conterno</w:t>
            </w:r>
          </w:p>
        </w:tc>
        <w:tc>
          <w:tcPr>
            <w:tcW w:w="9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r>
      <w:tr>
        <w:trPr>
          <w:trHeight w:val="39"/>
        </w:trPr>
        <w:tc>
          <w:tcPr>
            <w:tcW w:w="3100" w:type="dxa"/>
            <w:vAlign w:val="bottom"/>
            <w:tcBorders>
              <w:left w:val="single" w:sz="8" w:color="auto"/>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r>
      <w:tr>
        <w:trPr>
          <w:trHeight w:val="203"/>
        </w:trPr>
        <w:tc>
          <w:tcPr>
            <w:tcW w:w="31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4"/>
                <w:szCs w:val="14"/>
                <w:color w:val="auto"/>
              </w:rPr>
              <w:t>• Voluntary termination</w:t>
            </w:r>
          </w:p>
        </w:tc>
        <w:tc>
          <w:tcPr>
            <w:tcW w:w="9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10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9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$0</w:t>
            </w:r>
          </w:p>
        </w:tc>
      </w:tr>
      <w:tr>
        <w:trPr>
          <w:trHeight w:val="210"/>
        </w:trPr>
        <w:tc>
          <w:tcPr>
            <w:tcW w:w="31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4"/>
                <w:szCs w:val="14"/>
                <w:color w:val="auto"/>
              </w:rPr>
              <w:t>• Involuntary retirement or termination</w:t>
            </w:r>
          </w:p>
        </w:tc>
        <w:tc>
          <w:tcPr>
            <w:tcW w:w="9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10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9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$0</w:t>
            </w:r>
          </w:p>
        </w:tc>
      </w:tr>
      <w:tr>
        <w:trPr>
          <w:trHeight w:val="180"/>
        </w:trPr>
        <w:tc>
          <w:tcPr>
            <w:tcW w:w="3100" w:type="dxa"/>
            <w:vAlign w:val="bottom"/>
            <w:tcBorders>
              <w:left w:val="single" w:sz="8" w:color="auto"/>
              <w:right w:val="single" w:sz="8" w:color="auto"/>
            </w:tcBorders>
          </w:tcPr>
          <w:p>
            <w:pPr>
              <w:ind w:left="160"/>
              <w:spacing w:after="0" w:line="181" w:lineRule="exact"/>
              <w:rPr>
                <w:sz w:val="20"/>
                <w:szCs w:val="20"/>
                <w:color w:val="auto"/>
              </w:rPr>
            </w:pPr>
            <w:r>
              <w:rPr>
                <w:rFonts w:ascii="Arial" w:cs="Arial" w:eastAsia="Arial" w:hAnsi="Arial"/>
                <w:sz w:val="20"/>
                <w:szCs w:val="20"/>
                <w:color w:val="auto"/>
                <w:vertAlign w:val="subscript"/>
              </w:rPr>
              <w:t>•</w:t>
            </w:r>
            <w:r>
              <w:rPr>
                <w:rFonts w:ascii="Arial" w:cs="Arial" w:eastAsia="Arial" w:hAnsi="Arial"/>
                <w:sz w:val="12"/>
                <w:szCs w:val="12"/>
                <w:color w:val="auto"/>
              </w:rPr>
              <w:t xml:space="preserve"> Involuntary or good reason termination after</w:t>
            </w: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$2,765,160</w:t>
            </w:r>
          </w:p>
        </w:tc>
        <w:tc>
          <w:tcPr>
            <w:tcW w:w="10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$296,844</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$4,347,980</w:t>
            </w:r>
          </w:p>
        </w:tc>
        <w:tc>
          <w:tcPr>
            <w:tcW w:w="9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$7,409,984</w:t>
            </w:r>
          </w:p>
        </w:tc>
      </w:tr>
      <w:tr>
        <w:trPr>
          <w:trHeight w:val="178"/>
        </w:trPr>
        <w:tc>
          <w:tcPr>
            <w:tcW w:w="3100" w:type="dxa"/>
            <w:vAlign w:val="bottom"/>
            <w:tcBorders>
              <w:left w:val="single" w:sz="8" w:color="auto"/>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change in control</w:t>
            </w:r>
          </w:p>
        </w:tc>
        <w:tc>
          <w:tcPr>
            <w:tcW w:w="900" w:type="dxa"/>
            <w:vAlign w:val="bottom"/>
            <w:tcBorders>
              <w:bottom w:val="single" w:sz="8" w:color="auto"/>
              <w:right w:val="single" w:sz="8" w:color="auto"/>
            </w:tcBorders>
          </w:tcPr>
          <w:p>
            <w:pPr>
              <w:spacing w:after="0"/>
              <w:rPr>
                <w:sz w:val="15"/>
                <w:szCs w:val="15"/>
                <w:color w:val="auto"/>
              </w:rPr>
            </w:pPr>
          </w:p>
        </w:tc>
        <w:tc>
          <w:tcPr>
            <w:tcW w:w="1060" w:type="dxa"/>
            <w:vAlign w:val="bottom"/>
            <w:tcBorders>
              <w:bottom w:val="single" w:sz="8" w:color="auto"/>
              <w:right w:val="single" w:sz="8" w:color="auto"/>
            </w:tcBorders>
          </w:tcPr>
          <w:p>
            <w:pPr>
              <w:spacing w:after="0"/>
              <w:rPr>
                <w:sz w:val="15"/>
                <w:szCs w:val="15"/>
                <w:color w:val="auto"/>
              </w:rPr>
            </w:pPr>
          </w:p>
        </w:tc>
        <w:tc>
          <w:tcPr>
            <w:tcW w:w="102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r>
      <w:tr>
        <w:trPr>
          <w:trHeight w:val="231"/>
        </w:trPr>
        <w:tc>
          <w:tcPr>
            <w:tcW w:w="310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Mr. Rice (retired)</w:t>
            </w:r>
          </w:p>
        </w:tc>
        <w:tc>
          <w:tcPr>
            <w:tcW w:w="9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r>
      <w:tr>
        <w:trPr>
          <w:trHeight w:val="39"/>
        </w:trPr>
        <w:tc>
          <w:tcPr>
            <w:tcW w:w="3100" w:type="dxa"/>
            <w:vAlign w:val="bottom"/>
            <w:tcBorders>
              <w:left w:val="single" w:sz="8" w:color="auto"/>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r>
      <w:tr>
        <w:trPr>
          <w:trHeight w:val="203"/>
        </w:trPr>
        <w:tc>
          <w:tcPr>
            <w:tcW w:w="31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4"/>
                <w:szCs w:val="14"/>
                <w:color w:val="auto"/>
              </w:rPr>
              <w:t>• Voluntary retirement</w:t>
            </w:r>
          </w:p>
        </w:tc>
        <w:tc>
          <w:tcPr>
            <w:tcW w:w="9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10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9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$0</w:t>
            </w:r>
          </w:p>
        </w:tc>
      </w:tr>
      <w:tr>
        <w:trPr>
          <w:trHeight w:val="210"/>
        </w:trPr>
        <w:tc>
          <w:tcPr>
            <w:tcW w:w="31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4"/>
                <w:szCs w:val="14"/>
                <w:color w:val="auto"/>
              </w:rPr>
              <w:t>• Involuntary retirement or termination</w:t>
            </w:r>
          </w:p>
        </w:tc>
        <w:tc>
          <w:tcPr>
            <w:tcW w:w="9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10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9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$0</w:t>
            </w:r>
          </w:p>
        </w:tc>
      </w:tr>
      <w:tr>
        <w:trPr>
          <w:trHeight w:val="180"/>
        </w:trPr>
        <w:tc>
          <w:tcPr>
            <w:tcW w:w="3100" w:type="dxa"/>
            <w:vAlign w:val="bottom"/>
            <w:tcBorders>
              <w:left w:val="single" w:sz="8" w:color="auto"/>
              <w:right w:val="single" w:sz="8" w:color="auto"/>
            </w:tcBorders>
          </w:tcPr>
          <w:p>
            <w:pPr>
              <w:ind w:left="160"/>
              <w:spacing w:after="0" w:line="181" w:lineRule="exact"/>
              <w:rPr>
                <w:sz w:val="20"/>
                <w:szCs w:val="20"/>
                <w:color w:val="auto"/>
              </w:rPr>
            </w:pPr>
            <w:r>
              <w:rPr>
                <w:rFonts w:ascii="Arial" w:cs="Arial" w:eastAsia="Arial" w:hAnsi="Arial"/>
                <w:sz w:val="20"/>
                <w:szCs w:val="20"/>
                <w:color w:val="auto"/>
                <w:vertAlign w:val="subscript"/>
              </w:rPr>
              <w:t>•</w:t>
            </w:r>
            <w:r>
              <w:rPr>
                <w:rFonts w:ascii="Arial" w:cs="Arial" w:eastAsia="Arial" w:hAnsi="Arial"/>
                <w:sz w:val="12"/>
                <w:szCs w:val="12"/>
                <w:color w:val="auto"/>
              </w:rPr>
              <w:t xml:space="preserve"> Involuntary or good reason termination after</w:t>
            </w: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$4,370,800</w:t>
            </w:r>
          </w:p>
        </w:tc>
        <w:tc>
          <w:tcPr>
            <w:tcW w:w="10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$45,916</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$4,159,289</w:t>
            </w:r>
          </w:p>
        </w:tc>
        <w:tc>
          <w:tcPr>
            <w:tcW w:w="9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$8,576,005</w:t>
            </w:r>
          </w:p>
        </w:tc>
      </w:tr>
      <w:tr>
        <w:trPr>
          <w:trHeight w:val="178"/>
        </w:trPr>
        <w:tc>
          <w:tcPr>
            <w:tcW w:w="3100" w:type="dxa"/>
            <w:vAlign w:val="bottom"/>
            <w:tcBorders>
              <w:left w:val="single" w:sz="8" w:color="auto"/>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change in control</w:t>
            </w:r>
          </w:p>
        </w:tc>
        <w:tc>
          <w:tcPr>
            <w:tcW w:w="900" w:type="dxa"/>
            <w:vAlign w:val="bottom"/>
            <w:tcBorders>
              <w:bottom w:val="single" w:sz="8" w:color="auto"/>
              <w:right w:val="single" w:sz="8" w:color="auto"/>
            </w:tcBorders>
          </w:tcPr>
          <w:p>
            <w:pPr>
              <w:spacing w:after="0"/>
              <w:rPr>
                <w:sz w:val="15"/>
                <w:szCs w:val="15"/>
                <w:color w:val="auto"/>
              </w:rPr>
            </w:pPr>
          </w:p>
        </w:tc>
        <w:tc>
          <w:tcPr>
            <w:tcW w:w="1060" w:type="dxa"/>
            <w:vAlign w:val="bottom"/>
            <w:tcBorders>
              <w:bottom w:val="single" w:sz="8" w:color="auto"/>
              <w:right w:val="single" w:sz="8" w:color="auto"/>
            </w:tcBorders>
          </w:tcPr>
          <w:p>
            <w:pPr>
              <w:spacing w:after="0"/>
              <w:rPr>
                <w:sz w:val="15"/>
                <w:szCs w:val="15"/>
                <w:color w:val="auto"/>
              </w:rPr>
            </w:pPr>
          </w:p>
        </w:tc>
        <w:tc>
          <w:tcPr>
            <w:tcW w:w="102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r>
      <w:tr>
        <w:trPr>
          <w:trHeight w:val="231"/>
        </w:trPr>
        <w:tc>
          <w:tcPr>
            <w:tcW w:w="310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Dr. Lundberg</w:t>
            </w:r>
          </w:p>
        </w:tc>
        <w:tc>
          <w:tcPr>
            <w:tcW w:w="9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r>
      <w:tr>
        <w:trPr>
          <w:trHeight w:val="39"/>
        </w:trPr>
        <w:tc>
          <w:tcPr>
            <w:tcW w:w="3100" w:type="dxa"/>
            <w:vAlign w:val="bottom"/>
            <w:tcBorders>
              <w:left w:val="single" w:sz="8" w:color="auto"/>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r>
      <w:tr>
        <w:trPr>
          <w:trHeight w:val="203"/>
        </w:trPr>
        <w:tc>
          <w:tcPr>
            <w:tcW w:w="31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4"/>
                <w:szCs w:val="14"/>
                <w:color w:val="auto"/>
              </w:rPr>
              <w:t>• Voluntary retirement</w:t>
            </w:r>
          </w:p>
        </w:tc>
        <w:tc>
          <w:tcPr>
            <w:tcW w:w="9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10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9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$0</w:t>
            </w:r>
          </w:p>
        </w:tc>
      </w:tr>
      <w:tr>
        <w:trPr>
          <w:trHeight w:val="210"/>
        </w:trPr>
        <w:tc>
          <w:tcPr>
            <w:tcW w:w="31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4"/>
                <w:szCs w:val="14"/>
                <w:color w:val="auto"/>
              </w:rPr>
              <w:t>• Involuntary retirement or termination</w:t>
            </w:r>
          </w:p>
        </w:tc>
        <w:tc>
          <w:tcPr>
            <w:tcW w:w="9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10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9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$0</w:t>
            </w:r>
          </w:p>
        </w:tc>
      </w:tr>
      <w:tr>
        <w:trPr>
          <w:trHeight w:val="180"/>
        </w:trPr>
        <w:tc>
          <w:tcPr>
            <w:tcW w:w="3100" w:type="dxa"/>
            <w:vAlign w:val="bottom"/>
            <w:tcBorders>
              <w:left w:val="single" w:sz="8" w:color="auto"/>
              <w:right w:val="single" w:sz="8" w:color="auto"/>
            </w:tcBorders>
          </w:tcPr>
          <w:p>
            <w:pPr>
              <w:ind w:left="160"/>
              <w:spacing w:after="0" w:line="181" w:lineRule="exact"/>
              <w:rPr>
                <w:sz w:val="20"/>
                <w:szCs w:val="20"/>
                <w:color w:val="auto"/>
              </w:rPr>
            </w:pPr>
            <w:r>
              <w:rPr>
                <w:rFonts w:ascii="Arial" w:cs="Arial" w:eastAsia="Arial" w:hAnsi="Arial"/>
                <w:sz w:val="20"/>
                <w:szCs w:val="20"/>
                <w:color w:val="auto"/>
                <w:vertAlign w:val="subscript"/>
              </w:rPr>
              <w:t>•</w:t>
            </w:r>
            <w:r>
              <w:rPr>
                <w:rFonts w:ascii="Arial" w:cs="Arial" w:eastAsia="Arial" w:hAnsi="Arial"/>
                <w:sz w:val="12"/>
                <w:szCs w:val="12"/>
                <w:color w:val="auto"/>
              </w:rPr>
              <w:t xml:space="preserve"> Involuntary or good reason termination after</w:t>
            </w: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$4,112,000</w:t>
            </w:r>
          </w:p>
        </w:tc>
        <w:tc>
          <w:tcPr>
            <w:tcW w:w="10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$63,472</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$3,938,307</w:t>
            </w:r>
          </w:p>
        </w:tc>
        <w:tc>
          <w:tcPr>
            <w:tcW w:w="9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$8,113,779</w:t>
            </w:r>
          </w:p>
        </w:tc>
      </w:tr>
      <w:tr>
        <w:trPr>
          <w:trHeight w:val="178"/>
        </w:trPr>
        <w:tc>
          <w:tcPr>
            <w:tcW w:w="3100" w:type="dxa"/>
            <w:vAlign w:val="bottom"/>
            <w:tcBorders>
              <w:left w:val="single" w:sz="8" w:color="auto"/>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change in control</w:t>
            </w:r>
          </w:p>
        </w:tc>
        <w:tc>
          <w:tcPr>
            <w:tcW w:w="900" w:type="dxa"/>
            <w:vAlign w:val="bottom"/>
            <w:tcBorders>
              <w:bottom w:val="single" w:sz="8" w:color="auto"/>
              <w:right w:val="single" w:sz="8" w:color="auto"/>
            </w:tcBorders>
          </w:tcPr>
          <w:p>
            <w:pPr>
              <w:spacing w:after="0"/>
              <w:rPr>
                <w:sz w:val="15"/>
                <w:szCs w:val="15"/>
                <w:color w:val="auto"/>
              </w:rPr>
            </w:pPr>
          </w:p>
        </w:tc>
        <w:tc>
          <w:tcPr>
            <w:tcW w:w="1060" w:type="dxa"/>
            <w:vAlign w:val="bottom"/>
            <w:tcBorders>
              <w:bottom w:val="single" w:sz="8" w:color="auto"/>
              <w:right w:val="single" w:sz="8" w:color="auto"/>
            </w:tcBorders>
          </w:tcPr>
          <w:p>
            <w:pPr>
              <w:spacing w:after="0"/>
              <w:rPr>
                <w:sz w:val="15"/>
                <w:szCs w:val="15"/>
                <w:color w:val="auto"/>
              </w:rPr>
            </w:pPr>
          </w:p>
        </w:tc>
        <w:tc>
          <w:tcPr>
            <w:tcW w:w="102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r>
      <w:tr>
        <w:trPr>
          <w:trHeight w:val="231"/>
        </w:trPr>
        <w:tc>
          <w:tcPr>
            <w:tcW w:w="310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Mr. Harrington</w:t>
            </w:r>
          </w:p>
        </w:tc>
        <w:tc>
          <w:tcPr>
            <w:tcW w:w="9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r>
      <w:tr>
        <w:trPr>
          <w:trHeight w:val="39"/>
        </w:trPr>
        <w:tc>
          <w:tcPr>
            <w:tcW w:w="3100" w:type="dxa"/>
            <w:vAlign w:val="bottom"/>
            <w:tcBorders>
              <w:left w:val="single" w:sz="8" w:color="auto"/>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r>
      <w:tr>
        <w:trPr>
          <w:trHeight w:val="203"/>
        </w:trPr>
        <w:tc>
          <w:tcPr>
            <w:tcW w:w="31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4"/>
                <w:szCs w:val="14"/>
                <w:color w:val="auto"/>
              </w:rPr>
              <w:t>• Voluntary termination</w:t>
            </w:r>
          </w:p>
        </w:tc>
        <w:tc>
          <w:tcPr>
            <w:tcW w:w="9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10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9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$0</w:t>
            </w:r>
          </w:p>
        </w:tc>
      </w:tr>
      <w:tr>
        <w:trPr>
          <w:trHeight w:val="210"/>
        </w:trPr>
        <w:tc>
          <w:tcPr>
            <w:tcW w:w="31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4"/>
                <w:szCs w:val="14"/>
                <w:color w:val="auto"/>
              </w:rPr>
              <w:t>• Involuntary retirement or termination</w:t>
            </w:r>
          </w:p>
        </w:tc>
        <w:tc>
          <w:tcPr>
            <w:tcW w:w="9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10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9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$0</w:t>
            </w:r>
          </w:p>
        </w:tc>
      </w:tr>
      <w:tr>
        <w:trPr>
          <w:trHeight w:val="180"/>
        </w:trPr>
        <w:tc>
          <w:tcPr>
            <w:tcW w:w="3100" w:type="dxa"/>
            <w:vAlign w:val="bottom"/>
            <w:tcBorders>
              <w:left w:val="single" w:sz="8" w:color="auto"/>
              <w:right w:val="single" w:sz="8" w:color="auto"/>
            </w:tcBorders>
          </w:tcPr>
          <w:p>
            <w:pPr>
              <w:ind w:left="160"/>
              <w:spacing w:after="0" w:line="181" w:lineRule="exact"/>
              <w:rPr>
                <w:sz w:val="20"/>
                <w:szCs w:val="20"/>
                <w:color w:val="auto"/>
              </w:rPr>
            </w:pPr>
            <w:r>
              <w:rPr>
                <w:rFonts w:ascii="Arial" w:cs="Arial" w:eastAsia="Arial" w:hAnsi="Arial"/>
                <w:sz w:val="20"/>
                <w:szCs w:val="20"/>
                <w:color w:val="auto"/>
                <w:vertAlign w:val="subscript"/>
              </w:rPr>
              <w:t>•</w:t>
            </w:r>
            <w:r>
              <w:rPr>
                <w:rFonts w:ascii="Arial" w:cs="Arial" w:eastAsia="Arial" w:hAnsi="Arial"/>
                <w:sz w:val="12"/>
                <w:szCs w:val="12"/>
                <w:color w:val="auto"/>
              </w:rPr>
              <w:t xml:space="preserve"> Involuntary or good reason termination after</w:t>
            </w: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$3,097,080</w:t>
            </w:r>
          </w:p>
        </w:tc>
        <w:tc>
          <w:tcPr>
            <w:tcW w:w="10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$45,916</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$2,517,449</w:t>
            </w:r>
          </w:p>
        </w:tc>
        <w:tc>
          <w:tcPr>
            <w:tcW w:w="9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$5,660,445</w:t>
            </w:r>
          </w:p>
        </w:tc>
      </w:tr>
      <w:tr>
        <w:trPr>
          <w:trHeight w:val="178"/>
        </w:trPr>
        <w:tc>
          <w:tcPr>
            <w:tcW w:w="3100" w:type="dxa"/>
            <w:vAlign w:val="bottom"/>
            <w:tcBorders>
              <w:left w:val="single" w:sz="8" w:color="auto"/>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change in control</w:t>
            </w:r>
          </w:p>
        </w:tc>
        <w:tc>
          <w:tcPr>
            <w:tcW w:w="900" w:type="dxa"/>
            <w:vAlign w:val="bottom"/>
            <w:tcBorders>
              <w:bottom w:val="single" w:sz="8" w:color="auto"/>
              <w:right w:val="single" w:sz="8" w:color="auto"/>
            </w:tcBorders>
          </w:tcPr>
          <w:p>
            <w:pPr>
              <w:spacing w:after="0"/>
              <w:rPr>
                <w:sz w:val="15"/>
                <w:szCs w:val="15"/>
                <w:color w:val="auto"/>
              </w:rPr>
            </w:pPr>
          </w:p>
        </w:tc>
        <w:tc>
          <w:tcPr>
            <w:tcW w:w="1060" w:type="dxa"/>
            <w:vAlign w:val="bottom"/>
            <w:tcBorders>
              <w:bottom w:val="single" w:sz="8" w:color="auto"/>
              <w:right w:val="single" w:sz="8" w:color="auto"/>
            </w:tcBorders>
          </w:tcPr>
          <w:p>
            <w:pPr>
              <w:spacing w:after="0"/>
              <w:rPr>
                <w:sz w:val="15"/>
                <w:szCs w:val="15"/>
                <w:color w:val="auto"/>
              </w:rPr>
            </w:pPr>
          </w:p>
        </w:tc>
        <w:tc>
          <w:tcPr>
            <w:tcW w:w="102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r>
    </w:tbl>
    <w:p>
      <w:pPr>
        <w:spacing w:after="0" w:line="179" w:lineRule="exact"/>
        <w:rPr>
          <w:sz w:val="20"/>
          <w:szCs w:val="20"/>
          <w:color w:val="auto"/>
        </w:rPr>
      </w:pPr>
    </w:p>
    <w:p>
      <w:pPr>
        <w:ind w:left="300" w:hanging="184"/>
        <w:spacing w:after="0"/>
        <w:tabs>
          <w:tab w:leader="none" w:pos="300" w:val="left"/>
        </w:tabs>
        <w:numPr>
          <w:ilvl w:val="0"/>
          <w:numId w:val="93"/>
        </w:numPr>
        <w:rPr>
          <w:rFonts w:ascii="Arial" w:cs="Arial" w:eastAsia="Arial" w:hAnsi="Arial"/>
          <w:sz w:val="22"/>
          <w:szCs w:val="22"/>
          <w:color w:val="auto"/>
          <w:vertAlign w:val="superscript"/>
        </w:rPr>
      </w:pPr>
      <w:r>
        <w:rPr>
          <w:rFonts w:ascii="Arial" w:cs="Arial" w:eastAsia="Arial" w:hAnsi="Arial"/>
          <w:sz w:val="18"/>
          <w:szCs w:val="18"/>
          <w:color w:val="auto"/>
        </w:rPr>
        <w:t>See “Change-in-Control Severance Pay Plan—Cash Severance Payment” below.</w:t>
      </w:r>
    </w:p>
    <w:p>
      <w:pPr>
        <w:spacing w:after="0" w:line="215" w:lineRule="exact"/>
        <w:rPr>
          <w:sz w:val="20"/>
          <w:szCs w:val="20"/>
          <w:color w:val="auto"/>
        </w:rPr>
      </w:pPr>
    </w:p>
    <w:p>
      <w:pPr>
        <w:ind w:left="120" w:right="300" w:hanging="4"/>
        <w:spacing w:after="0" w:line="225" w:lineRule="auto"/>
        <w:tabs>
          <w:tab w:leader="none" w:pos="300" w:val="left"/>
        </w:tabs>
        <w:numPr>
          <w:ilvl w:val="0"/>
          <w:numId w:val="94"/>
        </w:numPr>
        <w:rPr>
          <w:rFonts w:ascii="Arial" w:cs="Arial" w:eastAsia="Arial" w:hAnsi="Arial"/>
          <w:sz w:val="22"/>
          <w:szCs w:val="22"/>
          <w:color w:val="auto"/>
          <w:vertAlign w:val="superscript"/>
        </w:rPr>
      </w:pPr>
      <w:r>
        <w:rPr>
          <w:rFonts w:ascii="Arial" w:cs="Arial" w:eastAsia="Arial" w:hAnsi="Arial"/>
          <w:sz w:val="18"/>
          <w:szCs w:val="18"/>
          <w:color w:val="auto"/>
        </w:rPr>
        <w:t>See “Accrued Pay and Regular Retirement Benefits” and “Change-in-Control Severance Pay Plan—Continuation of medical and welfare benefits” below.</w:t>
      </w:r>
    </w:p>
    <w:p>
      <w:pPr>
        <w:spacing w:after="0" w:line="182"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b w:val="1"/>
          <w:bCs w:val="1"/>
          <w:i w:val="1"/>
          <w:iCs w:val="1"/>
          <w:color w:val="auto"/>
        </w:rPr>
        <w:t xml:space="preserve">Accrued Pay and Regular Retirement Benefits. </w:t>
      </w:r>
      <w:r>
        <w:rPr>
          <w:rFonts w:ascii="Arial" w:cs="Arial" w:eastAsia="Arial" w:hAnsi="Arial"/>
          <w:sz w:val="18"/>
          <w:szCs w:val="18"/>
          <w:color w:val="auto"/>
        </w:rPr>
        <w:t>The amounts shown in the table above do not include certain payments and benefits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extent they are provided on a non-discriminatory basis to salaried employees generally upon termination of employment. These include:</w:t>
      </w:r>
    </w:p>
    <w:p>
      <w:pPr>
        <w:spacing w:after="0" w:line="13" w:lineRule="exact"/>
        <w:rPr>
          <w:sz w:val="20"/>
          <w:szCs w:val="20"/>
          <w:color w:val="auto"/>
        </w:rPr>
      </w:pPr>
    </w:p>
    <w:p>
      <w:pPr>
        <w:ind w:left="340" w:hanging="332"/>
        <w:spacing w:after="0"/>
        <w:tabs>
          <w:tab w:leader="none" w:pos="3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accrued salary and vacation pay.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regular pension benefits under the Retirement Plan and the nonqualified pension plan. See “Retirement Benefits” above.</w:t>
      </w:r>
    </w:p>
    <w:p>
      <w:pPr>
        <w:spacing w:after="0" w:line="9" w:lineRule="exact"/>
        <w:rPr>
          <w:rFonts w:ascii="Arial" w:cs="Arial" w:eastAsia="Arial" w:hAnsi="Arial"/>
          <w:sz w:val="18"/>
          <w:szCs w:val="18"/>
          <w:color w:val="auto"/>
        </w:rPr>
      </w:pPr>
    </w:p>
    <w:p>
      <w:pPr>
        <w:ind w:left="340" w:right="420" w:hanging="332"/>
        <w:spacing w:after="0" w:line="250" w:lineRule="auto"/>
        <w:tabs>
          <w:tab w:leader="none" w:pos="3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welfare benefits provided to all U.S. retirees, including retiree medical and dental insurance. The amounts shown in the table above as “Continuation of Medical / Welfare Benefits” are explained below.</w:t>
      </w:r>
    </w:p>
    <w:p>
      <w:pPr>
        <w:ind w:left="340" w:right="20" w:hanging="332"/>
        <w:spacing w:after="0" w:line="262" w:lineRule="auto"/>
        <w:tabs>
          <w:tab w:leader="none" w:pos="3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distributions of plan balances under the 401(k) Plan, the nonqualified savings plan, and the Deferred Compensation Plan. See the narrative following the Nonqualified Deferred Compensation in 2017 table for information about these plans.</w:t>
      </w:r>
    </w:p>
    <w:p>
      <w:pPr>
        <w:spacing w:after="0" w:line="2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P58</w:t>
      </w:r>
    </w:p>
    <w:p>
      <w:pPr>
        <w:sectPr>
          <w:pgSz w:w="11900" w:h="16838" w:orient="portrait"/>
          <w:cols w:equalWidth="0" w:num="1">
            <w:col w:w="11420"/>
          </w:cols>
          <w:pgMar w:left="240" w:top="792"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i w:val="1"/>
          <w:iCs w:val="1"/>
          <w:color w:val="auto"/>
        </w:rPr>
        <w:t xml:space="preserve">Deferred Compensation. </w:t>
      </w:r>
      <w:r>
        <w:rPr>
          <w:rFonts w:ascii="Arial" w:cs="Arial" w:eastAsia="Arial" w:hAnsi="Arial"/>
          <w:sz w:val="18"/>
          <w:szCs w:val="18"/>
          <w:color w:val="auto"/>
        </w:rPr>
        <w:t>The amounts shown in the table do not include distributions of plan balances under the deferred compensation plan.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Those balances are shown in the Nonqualified Deferred Compensation in 2017 table.</w:t>
      </w:r>
    </w:p>
    <w:p>
      <w:pPr>
        <w:spacing w:after="0" w:line="203"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b w:val="1"/>
          <w:bCs w:val="1"/>
          <w:i w:val="1"/>
          <w:iCs w:val="1"/>
          <w:color w:val="auto"/>
        </w:rPr>
        <w:t xml:space="preserve">Death and Disability. </w:t>
      </w:r>
      <w:r>
        <w:rPr>
          <w:rFonts w:ascii="Arial" w:cs="Arial" w:eastAsia="Arial" w:hAnsi="Arial"/>
          <w:sz w:val="18"/>
          <w:szCs w:val="18"/>
          <w:color w:val="auto"/>
        </w:rPr>
        <w:t>A termination of employment due to death or disability does not entitle named executive officers to any payments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benefits that are not available to U.S. salaried employees generally.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Termination for Cause. </w:t>
      </w:r>
      <w:r>
        <w:rPr>
          <w:rFonts w:ascii="Arial" w:cs="Arial" w:eastAsia="Arial" w:hAnsi="Arial"/>
          <w:sz w:val="18"/>
          <w:szCs w:val="18"/>
          <w:color w:val="auto"/>
        </w:rPr>
        <w:t>Executives terminated for cause receive no severance or enhanced benefits and forfeit any unvested equity grants.</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i w:val="1"/>
          <w:iCs w:val="1"/>
          <w:color w:val="auto"/>
        </w:rPr>
        <w:t xml:space="preserve">Change-in-Control Severance Pay Plan. </w:t>
      </w:r>
      <w:r>
        <w:rPr>
          <w:rFonts w:ascii="Arial" w:cs="Arial" w:eastAsia="Arial" w:hAnsi="Arial"/>
          <w:sz w:val="18"/>
          <w:szCs w:val="18"/>
          <w:color w:val="auto"/>
        </w:rPr>
        <w:t>As described in the CD&amp;A under “Severance Benefits,” the company maintains a change-in-control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severance pay plan for nearly all employees, including the named executive officers. The change-in-control plan defines a change in control very specifically, but generally the terms include the occurrence of one of the following: (i) acquisition of 20 percent or more of the company’s stock; (ii) replacement by the shareholders of one half or more of the Board of Directors; (iii) consummation of a merger, share exchange, or consolidation of the company (other than a transaction that results in the Lilly shareholders prior to the transaction continuing to hold more than 60 percent of the voting stock of the combined entity); or (iv) liquidation of the company or sale or disposition of all or substantially all of its assets. The amounts shown in the table for “involuntary or good-reason termination after change in control” are based on the following assumptions and plan provisions:</w:t>
      </w:r>
    </w:p>
    <w:p>
      <w:pPr>
        <w:spacing w:after="0" w:line="207" w:lineRule="exact"/>
        <w:rPr>
          <w:sz w:val="20"/>
          <w:szCs w:val="20"/>
          <w:color w:val="auto"/>
        </w:rPr>
      </w:pPr>
    </w:p>
    <w:p>
      <w:pPr>
        <w:ind w:left="340" w:right="120" w:hanging="332"/>
        <w:spacing w:after="0" w:line="254" w:lineRule="auto"/>
        <w:tabs>
          <w:tab w:leader="none" w:pos="340"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Covered terminations</w:t>
      </w:r>
      <w:r>
        <w:rPr>
          <w:rFonts w:ascii="Arial" w:cs="Arial" w:eastAsia="Arial" w:hAnsi="Arial"/>
          <w:sz w:val="18"/>
          <w:szCs w:val="18"/>
          <w:color w:val="auto"/>
        </w:rPr>
        <w:t>. The table assumes a termination of employment that is eligible for severance under the terms of the plan, based on the named executive officer’s compensation, benefits, age, and service credit at December 31, 2017. Eligible terminations include an involuntary termination for reasons other than for cause or a voluntary termination by the executive for good reason, within two years following the change in control.</w:t>
      </w:r>
    </w:p>
    <w:p>
      <w:pPr>
        <w:spacing w:after="0" w:line="42" w:lineRule="exact"/>
        <w:rPr>
          <w:rFonts w:ascii="Arial" w:cs="Arial" w:eastAsia="Arial" w:hAnsi="Arial"/>
          <w:sz w:val="18"/>
          <w:szCs w:val="18"/>
          <w:color w:val="auto"/>
        </w:rPr>
      </w:pPr>
    </w:p>
    <w:p>
      <w:pPr>
        <w:ind w:left="660" w:right="100" w:hanging="166"/>
        <w:spacing w:after="0" w:line="265" w:lineRule="auto"/>
        <w:tabs>
          <w:tab w:leader="none" w:pos="660" w:val="left"/>
        </w:tabs>
        <w:numPr>
          <w:ilvl w:val="1"/>
          <w:numId w:val="96"/>
        </w:numPr>
        <w:rPr>
          <w:rFonts w:ascii="Arial" w:cs="Arial" w:eastAsia="Arial" w:hAnsi="Arial"/>
          <w:sz w:val="17"/>
          <w:szCs w:val="17"/>
          <w:color w:val="auto"/>
        </w:rPr>
      </w:pPr>
      <w:r>
        <w:rPr>
          <w:rFonts w:ascii="Arial" w:cs="Arial" w:eastAsia="Arial" w:hAnsi="Arial"/>
          <w:sz w:val="17"/>
          <w:szCs w:val="17"/>
          <w:color w:val="auto"/>
        </w:rPr>
        <w:t>A termination of an executive officer by the company is for cause if it is for any of the following reasons: (i) the employee’s willful and continued refusal to perform, without legal cause, his or her material duties, resulting in demonstrable economic harm to the company;</w:t>
      </w:r>
    </w:p>
    <w:p>
      <w:pPr>
        <w:ind w:left="660" w:right="320" w:hanging="4"/>
        <w:spacing w:after="0" w:line="262" w:lineRule="auto"/>
        <w:tabs>
          <w:tab w:leader="none" w:pos="910" w:val="left"/>
        </w:tabs>
        <w:numPr>
          <w:ilvl w:val="2"/>
          <w:numId w:val="96"/>
        </w:numPr>
        <w:rPr>
          <w:rFonts w:ascii="Arial" w:cs="Arial" w:eastAsia="Arial" w:hAnsi="Arial"/>
          <w:sz w:val="18"/>
          <w:szCs w:val="18"/>
          <w:color w:val="auto"/>
        </w:rPr>
      </w:pPr>
      <w:r>
        <w:rPr>
          <w:rFonts w:ascii="Arial" w:cs="Arial" w:eastAsia="Arial" w:hAnsi="Arial"/>
          <w:sz w:val="18"/>
          <w:szCs w:val="18"/>
          <w:color w:val="auto"/>
        </w:rPr>
        <w:t xml:space="preserve">any act of fraud, dishonesty, or gross misconduct resulting in significant economic harm or other significant harm to the business reputation of the company; or (iii) conviction of or the entering of a plea of guilty or </w:t>
      </w:r>
      <w:r>
        <w:rPr>
          <w:rFonts w:ascii="Arial" w:cs="Arial" w:eastAsia="Arial" w:hAnsi="Arial"/>
          <w:sz w:val="18"/>
          <w:szCs w:val="18"/>
          <w:i w:val="1"/>
          <w:iCs w:val="1"/>
          <w:color w:val="auto"/>
        </w:rPr>
        <w:t>nolo contendere</w:t>
      </w:r>
      <w:r>
        <w:rPr>
          <w:rFonts w:ascii="Arial" w:cs="Arial" w:eastAsia="Arial" w:hAnsi="Arial"/>
          <w:sz w:val="18"/>
          <w:szCs w:val="18"/>
          <w:color w:val="auto"/>
        </w:rPr>
        <w:t xml:space="preserve"> to a felony.</w:t>
      </w:r>
    </w:p>
    <w:p>
      <w:pPr>
        <w:spacing w:after="0" w:line="34" w:lineRule="exact"/>
        <w:rPr>
          <w:rFonts w:ascii="Arial" w:cs="Arial" w:eastAsia="Arial" w:hAnsi="Arial"/>
          <w:sz w:val="18"/>
          <w:szCs w:val="18"/>
          <w:color w:val="auto"/>
        </w:rPr>
      </w:pPr>
    </w:p>
    <w:p>
      <w:pPr>
        <w:ind w:left="660" w:right="80" w:hanging="166"/>
        <w:spacing w:after="0" w:line="265" w:lineRule="auto"/>
        <w:tabs>
          <w:tab w:leader="none" w:pos="660" w:val="left"/>
        </w:tabs>
        <w:numPr>
          <w:ilvl w:val="1"/>
          <w:numId w:val="96"/>
        </w:numPr>
        <w:rPr>
          <w:rFonts w:ascii="Arial" w:cs="Arial" w:eastAsia="Arial" w:hAnsi="Arial"/>
          <w:sz w:val="17"/>
          <w:szCs w:val="17"/>
          <w:color w:val="auto"/>
        </w:rPr>
      </w:pPr>
      <w:r>
        <w:rPr>
          <w:rFonts w:ascii="Arial" w:cs="Arial" w:eastAsia="Arial" w:hAnsi="Arial"/>
          <w:sz w:val="17"/>
          <w:szCs w:val="17"/>
          <w:color w:val="auto"/>
        </w:rPr>
        <w:t>A termination by the executive officer is for good reason if it results from: (i) a material diminution in the nature or status of the executive’s position, title, reporting relationship, duties, responsibilities, or authority, or the assignment to him or her of additional responsibilities that materially increase his or her workload; (ii) any reduction in the executive’s then-current base salary; (iii) a material reduction in the executive’s opportunities to earn incentive bonuses below those in effect for the year prior to the change in control;</w:t>
      </w:r>
    </w:p>
    <w:p>
      <w:pPr>
        <w:ind w:left="960" w:hanging="304"/>
        <w:spacing w:after="0"/>
        <w:tabs>
          <w:tab w:leader="none" w:pos="960" w:val="left"/>
        </w:tabs>
        <w:numPr>
          <w:ilvl w:val="2"/>
          <w:numId w:val="97"/>
        </w:numPr>
        <w:rPr>
          <w:rFonts w:ascii="Arial" w:cs="Arial" w:eastAsia="Arial" w:hAnsi="Arial"/>
          <w:sz w:val="18"/>
          <w:szCs w:val="18"/>
          <w:color w:val="auto"/>
        </w:rPr>
      </w:pPr>
      <w:r>
        <w:rPr>
          <w:rFonts w:ascii="Arial" w:cs="Arial" w:eastAsia="Arial" w:hAnsi="Arial"/>
          <w:sz w:val="18"/>
          <w:szCs w:val="18"/>
          <w:color w:val="auto"/>
        </w:rPr>
        <w:t>a material reduction in the executive’s employee benefits from the benefit levels in effect immediately prior to the change in control;</w:t>
      </w:r>
    </w:p>
    <w:p>
      <w:pPr>
        <w:spacing w:after="0" w:line="9" w:lineRule="exact"/>
        <w:rPr>
          <w:rFonts w:ascii="Arial" w:cs="Arial" w:eastAsia="Arial" w:hAnsi="Arial"/>
          <w:sz w:val="18"/>
          <w:szCs w:val="18"/>
          <w:color w:val="auto"/>
        </w:rPr>
      </w:pPr>
    </w:p>
    <w:p>
      <w:pPr>
        <w:ind w:left="660" w:right="100" w:hanging="4"/>
        <w:spacing w:after="0" w:line="254" w:lineRule="auto"/>
        <w:tabs>
          <w:tab w:leader="none" w:pos="920" w:val="left"/>
        </w:tabs>
        <w:numPr>
          <w:ilvl w:val="2"/>
          <w:numId w:val="97"/>
        </w:numPr>
        <w:rPr>
          <w:rFonts w:ascii="Arial" w:cs="Arial" w:eastAsia="Arial" w:hAnsi="Arial"/>
          <w:sz w:val="18"/>
          <w:szCs w:val="18"/>
          <w:color w:val="auto"/>
        </w:rPr>
      </w:pPr>
      <w:r>
        <w:rPr>
          <w:rFonts w:ascii="Arial" w:cs="Arial" w:eastAsia="Arial" w:hAnsi="Arial"/>
          <w:sz w:val="18"/>
          <w:szCs w:val="18"/>
          <w:color w:val="auto"/>
        </w:rPr>
        <w:t>the failure to grant to the executive stock options, stock units, performance shares, or similar incentive rights during each 12-month period following the change in control on the basis of a number of shares or units and all other material terms at least as favorable to the executive as those rights granted to him or her on an annualized average basis for the three-year period immediately prior to the change in control; or (vi) relocation of the executive by more than 50 miles.</w:t>
      </w:r>
    </w:p>
    <w:p>
      <w:pPr>
        <w:spacing w:after="0" w:line="204" w:lineRule="exact"/>
        <w:rPr>
          <w:rFonts w:ascii="Arial" w:cs="Arial" w:eastAsia="Arial" w:hAnsi="Arial"/>
          <w:sz w:val="18"/>
          <w:szCs w:val="18"/>
          <w:color w:val="auto"/>
        </w:rPr>
      </w:pPr>
    </w:p>
    <w:p>
      <w:pPr>
        <w:ind w:left="340" w:right="20" w:hanging="332"/>
        <w:spacing w:after="0" w:line="262" w:lineRule="auto"/>
        <w:tabs>
          <w:tab w:leader="none" w:pos="340"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Cash severance payment</w:t>
      </w:r>
      <w:r>
        <w:rPr>
          <w:rFonts w:ascii="Arial" w:cs="Arial" w:eastAsia="Arial" w:hAnsi="Arial"/>
          <w:sz w:val="18"/>
          <w:szCs w:val="18"/>
          <w:color w:val="auto"/>
        </w:rPr>
        <w:t>. The cash severance payment amounts to two times the executive officer's annual base salary plus two times the executive officer’s bonus target for that year under the bonus plan.</w:t>
      </w:r>
    </w:p>
    <w:p>
      <w:pPr>
        <w:spacing w:after="0" w:line="196" w:lineRule="exact"/>
        <w:rPr>
          <w:rFonts w:ascii="Arial" w:cs="Arial" w:eastAsia="Arial" w:hAnsi="Arial"/>
          <w:sz w:val="18"/>
          <w:szCs w:val="18"/>
          <w:color w:val="auto"/>
        </w:rPr>
      </w:pPr>
    </w:p>
    <w:p>
      <w:pPr>
        <w:ind w:left="340" w:hanging="332"/>
        <w:spacing w:after="0" w:line="254" w:lineRule="auto"/>
        <w:tabs>
          <w:tab w:leader="none" w:pos="340"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Continuation of medical and welfare benefits</w:t>
      </w:r>
      <w:r>
        <w:rPr>
          <w:rFonts w:ascii="Arial" w:cs="Arial" w:eastAsia="Arial" w:hAnsi="Arial"/>
          <w:sz w:val="18"/>
          <w:szCs w:val="18"/>
          <w:color w:val="auto"/>
        </w:rPr>
        <w:t>. This amount represents the present value of the change-in-control plan’s provision, following a covered termination, of 18 months of continued coverage equivalent to the company’s current active employee medical, dental, life, and long-term disability insurance. Similar actuarial assumptions to those used to calculate incremental pension benefits apply to the calculation for continuation of medical and welfare benefits, with the addition of actual COBRA rates based on current benefit elections.</w:t>
      </w:r>
    </w:p>
    <w:p>
      <w:pPr>
        <w:spacing w:after="0" w:line="204" w:lineRule="exact"/>
        <w:rPr>
          <w:rFonts w:ascii="Arial" w:cs="Arial" w:eastAsia="Arial" w:hAnsi="Arial"/>
          <w:sz w:val="18"/>
          <w:szCs w:val="18"/>
          <w:color w:val="auto"/>
        </w:rPr>
      </w:pPr>
    </w:p>
    <w:p>
      <w:pPr>
        <w:ind w:left="340" w:right="20" w:hanging="332"/>
        <w:spacing w:after="0" w:line="253" w:lineRule="auto"/>
        <w:tabs>
          <w:tab w:leader="none" w:pos="340"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Acceleration of equity awards</w:t>
      </w:r>
      <w:r>
        <w:rPr>
          <w:rFonts w:ascii="Arial" w:cs="Arial" w:eastAsia="Arial" w:hAnsi="Arial"/>
          <w:sz w:val="18"/>
          <w:szCs w:val="18"/>
          <w:color w:val="auto"/>
        </w:rPr>
        <w:t>. Upon a covered termination, any unvested equity awards would convert into restricted stock units of the new company, with the number of shares earned under the awards based on accrued performance at the time of the transaction. The restricted stock units will continue to vest and pay out upon the earlier of the completion of the original award period; upon a covered termination; or if the successor entity does not assume, substitute, or otherwise replace the award. The amount in this column represents the value of the acceleration of unvested equity grants, had a qualifying termination occurred on December 31, 2017.</w:t>
      </w:r>
    </w:p>
    <w:p>
      <w:pPr>
        <w:spacing w:after="0" w:line="2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P59</w:t>
      </w:r>
    </w:p>
    <w:p>
      <w:pPr>
        <w:sectPr>
          <w:pgSz w:w="11900" w:h="16838" w:orient="portrait"/>
          <w:cols w:equalWidth="0" w:num="1">
            <w:col w:w="11420"/>
          </w:cols>
          <w:pgMar w:left="240" w:top="792" w:right="239" w:bottom="1440" w:gutter="0" w:footer="0" w:header="0"/>
        </w:sectPr>
      </w:pPr>
    </w:p>
    <w:bookmarkStart w:id="63" w:name="page64"/>
    <w:bookmarkEnd w:id="63"/>
    <w:p>
      <w:pPr>
        <w:ind w:left="340" w:right="180" w:hanging="332"/>
        <w:spacing w:after="0" w:line="254" w:lineRule="auto"/>
        <w:tabs>
          <w:tab w:leader="none" w:pos="340"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Excise taxes</w:t>
      </w:r>
      <w:r>
        <w:rPr>
          <w:rFonts w:ascii="Arial" w:cs="Arial" w:eastAsia="Arial" w:hAnsi="Arial"/>
          <w:sz w:val="18"/>
          <w:szCs w:val="18"/>
          <w:color w:val="auto"/>
        </w:rPr>
        <w:t>. Upon a change in control, employees may be subject to certain excise taxes under Section 280G of the Internal Revenue Code. The company does not reimburse the affected employees for those excise taxes or any income taxes payable by the employee. To reduce the employee's exposure to excise taxes, the employee’s change-in-control benefit may be decreased to maximize the after-tax benefit to the individual.</w:t>
      </w:r>
    </w:p>
    <w:p>
      <w:pPr>
        <w:spacing w:after="0" w:line="182" w:lineRule="exact"/>
        <w:rPr>
          <w:sz w:val="20"/>
          <w:szCs w:val="20"/>
          <w:color w:val="auto"/>
        </w:rPr>
      </w:pPr>
    </w:p>
    <w:p>
      <w:pPr>
        <w:jc w:val="both"/>
        <w:spacing w:after="0" w:line="269" w:lineRule="auto"/>
        <w:rPr>
          <w:sz w:val="20"/>
          <w:szCs w:val="20"/>
          <w:color w:val="auto"/>
        </w:rPr>
      </w:pPr>
      <w:r>
        <w:rPr>
          <w:rFonts w:ascii="Arial" w:cs="Arial" w:eastAsia="Arial" w:hAnsi="Arial"/>
          <w:sz w:val="18"/>
          <w:szCs w:val="18"/>
          <w:b w:val="1"/>
          <w:bCs w:val="1"/>
          <w:i w:val="1"/>
          <w:iCs w:val="1"/>
          <w:color w:val="auto"/>
        </w:rPr>
        <w:t xml:space="preserve">Payments Upon Change in Control Alone. </w:t>
      </w:r>
      <w:r>
        <w:rPr>
          <w:rFonts w:ascii="Arial" w:cs="Arial" w:eastAsia="Arial" w:hAnsi="Arial"/>
          <w:sz w:val="18"/>
          <w:szCs w:val="18"/>
          <w:color w:val="auto"/>
        </w:rPr>
        <w:t>In general, the change-in-control plan is a “double trigger” plan, meaning payments are made only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if the employee suffers a covered termination of employment within two years following the change in control, or in the case of equity awards, if the successor entity does not assume, substitute, or otherwise replace the awards.</w:t>
      </w:r>
    </w:p>
    <w:p>
      <w:pPr>
        <w:spacing w:after="0" w:line="151" w:lineRule="exact"/>
        <w:rPr>
          <w:sz w:val="20"/>
          <w:szCs w:val="20"/>
          <w:color w:val="auto"/>
        </w:rPr>
      </w:pPr>
    </w:p>
    <w:p>
      <w:pPr>
        <w:spacing w:after="0"/>
        <w:rPr>
          <w:sz w:val="20"/>
          <w:szCs w:val="20"/>
          <w:color w:val="auto"/>
        </w:rPr>
      </w:pPr>
      <w:r>
        <w:rPr>
          <w:rFonts w:ascii="Arial" w:cs="Arial" w:eastAsia="Arial" w:hAnsi="Arial"/>
          <w:sz w:val="29"/>
          <w:szCs w:val="29"/>
          <w:b w:val="1"/>
          <w:bCs w:val="1"/>
          <w:color w:val="FF0000"/>
        </w:rPr>
        <w:t>Compensation Committee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720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Background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the Independent Consultant in assessing Executive Compensation</w:t>
      </w:r>
    </w:p>
    <w:p>
      <w:pPr>
        <w:spacing w:after="0" w:line="85"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The Compensation Committee has retained Cimi B. Silverberg of Frederic W. Cook &amp; Co., Inc., as its independent compensation consultant. Ms. Silverberg reports directly to the committee. Neither she nor her firm is permitted to have any business or personal relationship with management or the members of the committee. The consultant’s responsibilities are to:</w:t>
      </w:r>
    </w:p>
    <w:p>
      <w:pPr>
        <w:spacing w:after="0" w:line="202" w:lineRule="exact"/>
        <w:rPr>
          <w:sz w:val="20"/>
          <w:szCs w:val="20"/>
          <w:color w:val="auto"/>
        </w:rPr>
      </w:pPr>
    </w:p>
    <w:p>
      <w:pPr>
        <w:ind w:left="340" w:right="1220" w:hanging="170"/>
        <w:spacing w:after="0" w:line="250" w:lineRule="auto"/>
        <w:tabs>
          <w:tab w:leader="none" w:pos="3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review the company’s total compensation philosophy, peer group, and target competitive positioning for reasonableness and appropriateness</w:t>
      </w:r>
    </w:p>
    <w:p>
      <w:pPr>
        <w:ind w:left="340" w:hanging="170"/>
        <w:spacing w:after="0"/>
        <w:tabs>
          <w:tab w:leader="none" w:pos="3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review the company’s executive compensation program and advise the committee of evolving best practices</w:t>
      </w:r>
    </w:p>
    <w:p>
      <w:pPr>
        <w:spacing w:after="0" w:line="9" w:lineRule="exact"/>
        <w:rPr>
          <w:rFonts w:ascii="Arial" w:cs="Arial" w:eastAsia="Arial" w:hAnsi="Arial"/>
          <w:sz w:val="18"/>
          <w:szCs w:val="18"/>
          <w:color w:val="auto"/>
        </w:rPr>
      </w:pPr>
    </w:p>
    <w:p>
      <w:pPr>
        <w:ind w:left="340" w:hanging="170"/>
        <w:spacing w:after="0"/>
        <w:tabs>
          <w:tab w:leader="none" w:pos="3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provide independent analyses and recommendations to the committee on the CEO’s pay</w:t>
      </w:r>
    </w:p>
    <w:p>
      <w:pPr>
        <w:spacing w:after="0" w:line="9" w:lineRule="exact"/>
        <w:rPr>
          <w:rFonts w:ascii="Arial" w:cs="Arial" w:eastAsia="Arial" w:hAnsi="Arial"/>
          <w:sz w:val="18"/>
          <w:szCs w:val="18"/>
          <w:color w:val="auto"/>
        </w:rPr>
      </w:pPr>
    </w:p>
    <w:p>
      <w:pPr>
        <w:ind w:left="340" w:hanging="170"/>
        <w:spacing w:after="0"/>
        <w:tabs>
          <w:tab w:leader="none" w:pos="3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review draft CD&amp;A and related tables for the proxy statement</w:t>
      </w:r>
    </w:p>
    <w:p>
      <w:pPr>
        <w:spacing w:after="0" w:line="9" w:lineRule="exact"/>
        <w:rPr>
          <w:rFonts w:ascii="Arial" w:cs="Arial" w:eastAsia="Arial" w:hAnsi="Arial"/>
          <w:sz w:val="18"/>
          <w:szCs w:val="18"/>
          <w:color w:val="auto"/>
        </w:rPr>
      </w:pPr>
    </w:p>
    <w:p>
      <w:pPr>
        <w:ind w:left="340" w:hanging="170"/>
        <w:spacing w:after="0"/>
        <w:tabs>
          <w:tab w:leader="none" w:pos="3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proactively advise the committee on best practices for board governance of executive compensation</w:t>
      </w:r>
    </w:p>
    <w:p>
      <w:pPr>
        <w:spacing w:after="0" w:line="9" w:lineRule="exact"/>
        <w:rPr>
          <w:rFonts w:ascii="Arial" w:cs="Arial" w:eastAsia="Arial" w:hAnsi="Arial"/>
          <w:sz w:val="18"/>
          <w:szCs w:val="18"/>
          <w:color w:val="auto"/>
        </w:rPr>
      </w:pPr>
    </w:p>
    <w:p>
      <w:pPr>
        <w:ind w:left="340" w:hanging="170"/>
        <w:spacing w:after="0"/>
        <w:tabs>
          <w:tab w:leader="none" w:pos="3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undertake special projects at the request of the committee chair.</w:t>
      </w:r>
    </w:p>
    <w:p>
      <w:pPr>
        <w:spacing w:after="0" w:line="225" w:lineRule="exact"/>
        <w:rPr>
          <w:sz w:val="20"/>
          <w:szCs w:val="20"/>
          <w:color w:val="auto"/>
        </w:rPr>
      </w:pPr>
    </w:p>
    <w:p>
      <w:pPr>
        <w:ind w:right="760"/>
        <w:spacing w:after="0" w:line="262" w:lineRule="auto"/>
        <w:rPr>
          <w:sz w:val="20"/>
          <w:szCs w:val="20"/>
          <w:color w:val="auto"/>
        </w:rPr>
      </w:pPr>
      <w:r>
        <w:rPr>
          <w:rFonts w:ascii="Arial" w:cs="Arial" w:eastAsia="Arial" w:hAnsi="Arial"/>
          <w:sz w:val="18"/>
          <w:szCs w:val="18"/>
          <w:color w:val="auto"/>
        </w:rPr>
        <w:t>Ms. Silverberg interacts directly with members of company management only on matters under the committee’s oversight and with the knowledge and permission of the committee chair.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Executive Officers and Management in assessing Executive Compensation</w:t>
      </w:r>
    </w:p>
    <w:p>
      <w:pPr>
        <w:spacing w:after="0" w:line="8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With the oversight of the CEO and the senior vice president of human resources and diversity, the company’s global compensation group formulates recommendations on compensation philosophy, plan design, and compensation for executive officers (other than the CEO, as noted below). The CEO provides the committee with a performance assessment and compensation recommendation for each of the other executive officers. The committee considers those recommendations with the assistance of its consultant. The CEO and the senior vice president of human resources and diversity attend committee meetings; they are not present for executive sessions or any discussion of their own compensation. Only non-employee directors and the committee’s consultant attend executive sessions.</w:t>
      </w:r>
    </w:p>
    <w:p>
      <w:pPr>
        <w:spacing w:after="0" w:line="209" w:lineRule="exact"/>
        <w:rPr>
          <w:sz w:val="20"/>
          <w:szCs w:val="20"/>
          <w:color w:val="auto"/>
        </w:rPr>
      </w:pPr>
    </w:p>
    <w:p>
      <w:pPr>
        <w:ind w:right="1460"/>
        <w:spacing w:after="0" w:line="262" w:lineRule="auto"/>
        <w:rPr>
          <w:sz w:val="20"/>
          <w:szCs w:val="20"/>
          <w:color w:val="auto"/>
        </w:rPr>
      </w:pPr>
      <w:r>
        <w:rPr>
          <w:rFonts w:ascii="Arial" w:cs="Arial" w:eastAsia="Arial" w:hAnsi="Arial"/>
          <w:sz w:val="18"/>
          <w:szCs w:val="18"/>
          <w:color w:val="auto"/>
        </w:rPr>
        <w:t>The CEO does not participate in the formulation or discussion of his pay recommendations. He has no prior knowledge of the recommendations that the consultant makes to the committee.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Assessment Process</w:t>
      </w:r>
    </w:p>
    <w:p>
      <w:pPr>
        <w:spacing w:after="0" w:line="85"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As part of the company's overall enterprise risk management program, in 2017 the committee reviewed the company’s compensation policies and practices and concluded that the programs and practices are not reasonably likely to have a material adverse effect on the company. The committee noted numerous policy and design features of the company’s compensation programs and governance structure that reduce the likelihood of inappropriate risk-taking, including, but not limited to:</w:t>
      </w:r>
    </w:p>
    <w:p>
      <w:pPr>
        <w:spacing w:after="0" w:line="204" w:lineRule="exact"/>
        <w:rPr>
          <w:sz w:val="20"/>
          <w:szCs w:val="20"/>
          <w:color w:val="auto"/>
        </w:rPr>
      </w:pPr>
    </w:p>
    <w:p>
      <w:pPr>
        <w:ind w:left="340" w:hanging="170"/>
        <w:spacing w:after="0"/>
        <w:tabs>
          <w:tab w:leader="none" w:pos="3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committee comprises of independent directors only</w:t>
      </w:r>
    </w:p>
    <w:p>
      <w:pPr>
        <w:spacing w:after="0" w:line="9" w:lineRule="exact"/>
        <w:rPr>
          <w:rFonts w:ascii="Arial" w:cs="Arial" w:eastAsia="Arial" w:hAnsi="Arial"/>
          <w:sz w:val="18"/>
          <w:szCs w:val="18"/>
          <w:color w:val="auto"/>
        </w:rPr>
      </w:pPr>
    </w:p>
    <w:p>
      <w:pPr>
        <w:ind w:left="340" w:hanging="170"/>
        <w:spacing w:after="0"/>
        <w:tabs>
          <w:tab w:leader="none" w:pos="3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committee engages its own independent compensation consultant</w:t>
      </w:r>
    </w:p>
    <w:p>
      <w:pPr>
        <w:spacing w:after="0" w:line="9" w:lineRule="exact"/>
        <w:rPr>
          <w:rFonts w:ascii="Arial" w:cs="Arial" w:eastAsia="Arial" w:hAnsi="Arial"/>
          <w:sz w:val="18"/>
          <w:szCs w:val="18"/>
          <w:color w:val="auto"/>
        </w:rPr>
      </w:pPr>
    </w:p>
    <w:p>
      <w:pPr>
        <w:ind w:left="340" w:hanging="170"/>
        <w:spacing w:after="0"/>
        <w:tabs>
          <w:tab w:leader="none" w:pos="3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committee has downward discretion to lower compensation plan payouts</w:t>
      </w:r>
    </w:p>
    <w:p>
      <w:pPr>
        <w:spacing w:after="0" w:line="9" w:lineRule="exact"/>
        <w:rPr>
          <w:rFonts w:ascii="Arial" w:cs="Arial" w:eastAsia="Arial" w:hAnsi="Arial"/>
          <w:sz w:val="18"/>
          <w:szCs w:val="18"/>
          <w:color w:val="auto"/>
        </w:rPr>
      </w:pPr>
    </w:p>
    <w:p>
      <w:pPr>
        <w:ind w:left="340" w:hanging="170"/>
        <w:spacing w:after="0"/>
        <w:tabs>
          <w:tab w:leader="none" w:pos="3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committee approves all adjustments to financial results that affect compensation calculations</w:t>
      </w:r>
    </w:p>
    <w:p>
      <w:pPr>
        <w:spacing w:after="0" w:line="9" w:lineRule="exact"/>
        <w:rPr>
          <w:rFonts w:ascii="Arial" w:cs="Arial" w:eastAsia="Arial" w:hAnsi="Arial"/>
          <w:sz w:val="18"/>
          <w:szCs w:val="18"/>
          <w:color w:val="auto"/>
        </w:rPr>
      </w:pPr>
    </w:p>
    <w:p>
      <w:pPr>
        <w:ind w:left="500" w:right="440" w:hanging="330"/>
        <w:spacing w:after="0" w:line="262" w:lineRule="auto"/>
        <w:tabs>
          <w:tab w:leader="none" w:pos="338" w:val="left"/>
        </w:tabs>
        <w:numPr>
          <w:ilvl w:val="0"/>
          <w:numId w:val="100"/>
        </w:numPr>
        <w:rPr>
          <w:rFonts w:ascii="Arial" w:cs="Arial" w:eastAsia="Arial" w:hAnsi="Arial"/>
          <w:sz w:val="18"/>
          <w:szCs w:val="18"/>
          <w:color w:val="auto"/>
        </w:rPr>
      </w:pPr>
      <w:r>
        <w:rPr>
          <w:rFonts w:ascii="Arial" w:cs="Arial" w:eastAsia="Arial" w:hAnsi="Arial"/>
          <w:sz w:val="18"/>
          <w:szCs w:val="18"/>
          <w:color w:val="auto"/>
        </w:rPr>
        <w:t>Different measures and metrics are used across multiple incentive plans that appropriately balance cash/stock, fixed/variable pay, and short-term/long-term incentives</w:t>
      </w:r>
    </w:p>
    <w:p>
      <w:pPr>
        <w:spacing w:after="0" w:line="2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P60</w:t>
      </w:r>
    </w:p>
    <w:p>
      <w:pPr>
        <w:sectPr>
          <w:pgSz w:w="11900" w:h="16838" w:orient="portrait"/>
          <w:cols w:equalWidth="0" w:num="1">
            <w:col w:w="11420"/>
          </w:cols>
          <w:pgMar w:left="240" w:top="814" w:right="239" w:bottom="1440" w:gutter="0" w:footer="0" w:header="0"/>
        </w:sectPr>
      </w:pPr>
    </w:p>
    <w:bookmarkStart w:id="64" w:name="page65"/>
    <w:bookmarkEnd w:id="64"/>
    <w:p>
      <w:pPr>
        <w:ind w:left="340" w:hanging="170"/>
        <w:spacing w:after="0"/>
        <w:tabs>
          <w:tab w:leader="none" w:pos="3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Incentive plans have predetermined maximum payouts</w:t>
      </w:r>
    </w:p>
    <w:p>
      <w:pPr>
        <w:spacing w:after="0" w:line="9" w:lineRule="exact"/>
        <w:rPr>
          <w:rFonts w:ascii="Arial" w:cs="Arial" w:eastAsia="Arial" w:hAnsi="Arial"/>
          <w:sz w:val="18"/>
          <w:szCs w:val="18"/>
          <w:color w:val="auto"/>
        </w:rPr>
      </w:pPr>
    </w:p>
    <w:p>
      <w:pPr>
        <w:ind w:left="340" w:hanging="170"/>
        <w:spacing w:after="0"/>
        <w:tabs>
          <w:tab w:leader="none" w:pos="3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Performance objectives are challenging but achievable</w:t>
      </w:r>
    </w:p>
    <w:p>
      <w:pPr>
        <w:spacing w:after="0" w:line="9" w:lineRule="exact"/>
        <w:rPr>
          <w:rFonts w:ascii="Arial" w:cs="Arial" w:eastAsia="Arial" w:hAnsi="Arial"/>
          <w:sz w:val="18"/>
          <w:szCs w:val="18"/>
          <w:color w:val="auto"/>
        </w:rPr>
      </w:pPr>
    </w:p>
    <w:p>
      <w:pPr>
        <w:ind w:left="500" w:right="140" w:hanging="330"/>
        <w:spacing w:after="0" w:line="250" w:lineRule="auto"/>
        <w:tabs>
          <w:tab w:leader="none" w:pos="338" w:val="left"/>
        </w:tabs>
        <w:numPr>
          <w:ilvl w:val="0"/>
          <w:numId w:val="101"/>
        </w:numPr>
        <w:rPr>
          <w:rFonts w:ascii="Arial" w:cs="Arial" w:eastAsia="Arial" w:hAnsi="Arial"/>
          <w:sz w:val="18"/>
          <w:szCs w:val="18"/>
          <w:color w:val="auto"/>
        </w:rPr>
      </w:pPr>
      <w:r>
        <w:rPr>
          <w:rFonts w:ascii="Arial" w:cs="Arial" w:eastAsia="Arial" w:hAnsi="Arial"/>
          <w:sz w:val="18"/>
          <w:szCs w:val="18"/>
          <w:color w:val="auto"/>
        </w:rPr>
        <w:t>Programs with operational metrics have a continuum of payout multiples based upon achievement of performance milestones, rather than "cliffs" that might encourage suboptimal or improper behavior</w:t>
      </w:r>
    </w:p>
    <w:p>
      <w:pPr>
        <w:ind w:left="500" w:right="180" w:hanging="330"/>
        <w:spacing w:after="0" w:line="250" w:lineRule="auto"/>
        <w:tabs>
          <w:tab w:leader="none" w:pos="338"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 compensation recovery policy is in place for all members of senior management; negative compensation consequences can be applied in cases of serious compliance violations</w:t>
      </w:r>
    </w:p>
    <w:p>
      <w:pPr>
        <w:ind w:left="340" w:hanging="170"/>
        <w:spacing w:after="0"/>
        <w:tabs>
          <w:tab w:leader="none" w:pos="3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Meaningful share ownership requirements are in place for all members of senior management and the board.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Compensation Committee Report</w:t>
      </w:r>
    </w:p>
    <w:p>
      <w:pPr>
        <w:spacing w:after="0" w:line="85"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The Compensation Committee evaluates and establishes compensation for executive officers and oversees the deferred compensation plan, the company’s management stock plans, and other management incentive and benefit programs. Management has the primary responsibility for the company’s financial statements and reporting process, including the disclosure of executive compensation. With this in mind, the Compensation Committee has reviewed and discussed with management the CD&amp;A above. The committee recommended to the Board of Directors that the CD&amp;A be included in this proxy statement for filing with the SEC.</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Compensation Committee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Ralph Alvarez, Chair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Michael L. Eskew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Ellen R. Marram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Kathi P. Seifert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CEO Pay Ratio</w:t>
      </w:r>
    </w:p>
    <w:p>
      <w:pPr>
        <w:spacing w:after="0" w:line="3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Lilly’s compensation and benefits philosophy and the overall structure of our compensation and benefit programs are broadly similar across the organization to encourage and reward all employees who contribute to our success. We strive to ensure the pay of every Lilly employee reflects the level of their job impact and responsibilities and is competitive within our peer group. Compensation rates are benchmarked and set to be market-competitive in the country in which the jobs are performed. Lilly’s ongoing commitment to pay equity is critical to our success in supporting a diverse workforce with opportunities for all employees to grow, develop, and contribute. Lilly is a global company that employs over 40,000 people with more than half of our workforce located outside of the U.S.</w:t>
      </w:r>
    </w:p>
    <w:p>
      <w:pPr>
        <w:spacing w:after="0" w:line="20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Under rules adopted pursuant to the Dodd-Frank Act of 2010, Lilly is required to calculate and disclose the total compensation paid to its median paid employee, as well as the ratio of the total compensation paid to the median employee as compared to the total compensation paid to Lilly’s CEO. The paragraphs that follow describe our methodology and the resulting CEO Pay ratio.</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Measurement Date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We identified the median employee using our employee population on November 1, 2017.</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Consistently Applied Compensation Measure (CACM)</w:t>
      </w:r>
    </w:p>
    <w:p>
      <w:pPr>
        <w:spacing w:after="0" w:line="31" w:lineRule="exact"/>
        <w:rPr>
          <w:sz w:val="20"/>
          <w:szCs w:val="20"/>
          <w:color w:val="auto"/>
        </w:rPr>
      </w:pPr>
    </w:p>
    <w:p>
      <w:pPr>
        <w:ind w:right="160"/>
        <w:spacing w:after="0" w:line="274" w:lineRule="auto"/>
        <w:rPr>
          <w:sz w:val="20"/>
          <w:szCs w:val="20"/>
          <w:color w:val="auto"/>
        </w:rPr>
      </w:pPr>
      <w:r>
        <w:rPr>
          <w:rFonts w:ascii="Arial" w:cs="Arial" w:eastAsia="Arial" w:hAnsi="Arial"/>
          <w:sz w:val="17"/>
          <w:szCs w:val="17"/>
          <w:color w:val="auto"/>
        </w:rPr>
        <w:t>Under the relevant rules, we were required to identify the median employee by use of a “consistently applied compensation measure,” or CACM. We chose a CACM that closely approximates the annual total direct compensation of our employees. Specifically, we identified the median employee by looking at annual base pay, bonus opportunity at target, and the grant date fair value for standard equity awards. We did not perform adjustments to the compensation paid to part-time employees to calculate what they would have been paid on a full-time basis.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 Minimis Exception</w:t>
      </w:r>
    </w:p>
    <w:p>
      <w:pPr>
        <w:spacing w:after="0" w:line="31" w:lineRule="exact"/>
        <w:rPr>
          <w:sz w:val="20"/>
          <w:szCs w:val="20"/>
          <w:color w:val="auto"/>
        </w:rPr>
      </w:pPr>
    </w:p>
    <w:p>
      <w:pPr>
        <w:ind w:right="620"/>
        <w:spacing w:after="0" w:line="256" w:lineRule="auto"/>
        <w:rPr>
          <w:sz w:val="20"/>
          <w:szCs w:val="20"/>
          <w:color w:val="auto"/>
        </w:rPr>
      </w:pPr>
      <w:r>
        <w:rPr>
          <w:rFonts w:ascii="Arial" w:cs="Arial" w:eastAsia="Arial" w:hAnsi="Arial"/>
          <w:sz w:val="18"/>
          <w:szCs w:val="18"/>
          <w:color w:val="auto"/>
        </w:rPr>
        <w:t>Lilly has employees in 86 countries. In identifying the median employee, we excluded workers in 10 countries totaling 639 workers (approximately 1.5 percent of our workforce). We excluded these employees because they are affiliated with joint ventures or third-party distributors and Lilly does not set their compensation philosophy.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 excluded the following number of workers from the following countries in the identification of the median employee:</w:t>
      </w: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P61</w:t>
      </w:r>
    </w:p>
    <w:p>
      <w:pPr>
        <w:sectPr>
          <w:pgSz w:w="11900" w:h="16838" w:orient="portrait"/>
          <w:cols w:equalWidth="0" w:num="1">
            <w:col w:w="11420"/>
          </w:cols>
          <w:pgMar w:left="240" w:top="598" w:right="239" w:bottom="1440" w:gutter="0" w:footer="0" w:header="0"/>
        </w:sectPr>
      </w:pPr>
    </w:p>
    <w:bookmarkStart w:id="65" w:name="page66"/>
    <w:bookmarkEnd w:id="65"/>
    <w:tbl>
      <w:tblPr>
        <w:tblLayout w:type="fixed"/>
        <w:tblInd w:w="2550" w:type="dxa"/>
        <w:tblCellMar>
          <w:top w:w="0" w:type="dxa"/>
          <w:left w:w="0" w:type="dxa"/>
          <w:bottom w:w="0" w:type="dxa"/>
          <w:right w:w="0" w:type="dxa"/>
        </w:tblCellMar>
      </w:tblPr>
      <w:tr>
        <w:trPr>
          <w:trHeight w:val="264"/>
        </w:trPr>
        <w:tc>
          <w:tcPr>
            <w:tcW w:w="3140" w:type="dxa"/>
            <w:vAlign w:val="bottom"/>
            <w:tcBorders>
              <w:top w:val="single" w:sz="8" w:color="auto"/>
              <w:left w:val="single" w:sz="8" w:color="auto"/>
              <w:bottom w:val="single" w:sz="8" w:color="auto"/>
              <w:right w:val="single" w:sz="8" w:color="auto"/>
            </w:tcBorders>
            <w:shd w:val="clear" w:color="auto" w:fill="DDDDDD"/>
          </w:tcPr>
          <w:p>
            <w:pPr>
              <w:ind w:left="40"/>
              <w:spacing w:after="0"/>
              <w:rPr>
                <w:sz w:val="20"/>
                <w:szCs w:val="20"/>
                <w:color w:val="auto"/>
              </w:rPr>
            </w:pPr>
            <w:r>
              <w:rPr>
                <w:rFonts w:ascii="Arial" w:cs="Arial" w:eastAsia="Arial" w:hAnsi="Arial"/>
                <w:sz w:val="18"/>
                <w:szCs w:val="18"/>
                <w:b w:val="1"/>
                <w:bCs w:val="1"/>
                <w:color w:val="auto"/>
              </w:rPr>
              <w:t>Countries Excluded</w:t>
            </w:r>
          </w:p>
        </w:tc>
        <w:tc>
          <w:tcPr>
            <w:tcW w:w="3240" w:type="dxa"/>
            <w:vAlign w:val="bottom"/>
            <w:tcBorders>
              <w:top w:val="single" w:sz="8" w:color="auto"/>
              <w:bottom w:val="single" w:sz="8" w:color="auto"/>
              <w:right w:val="single" w:sz="8" w:color="auto"/>
            </w:tcBorders>
            <w:shd w:val="clear" w:color="auto" w:fill="DDDDDD"/>
          </w:tcPr>
          <w:p>
            <w:pPr>
              <w:ind w:left="820"/>
              <w:spacing w:after="0"/>
              <w:rPr>
                <w:sz w:val="20"/>
                <w:szCs w:val="20"/>
                <w:color w:val="auto"/>
              </w:rPr>
            </w:pPr>
            <w:r>
              <w:rPr>
                <w:rFonts w:ascii="Arial" w:cs="Arial" w:eastAsia="Arial" w:hAnsi="Arial"/>
                <w:sz w:val="18"/>
                <w:szCs w:val="18"/>
                <w:b w:val="1"/>
                <w:bCs w:val="1"/>
                <w:color w:val="auto"/>
              </w:rPr>
              <w:t>Workers Excluded</w:t>
            </w:r>
          </w:p>
        </w:tc>
      </w:tr>
      <w:tr>
        <w:trPr>
          <w:trHeight w:val="250"/>
        </w:trPr>
        <w:tc>
          <w:tcPr>
            <w:tcW w:w="31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Bahrain</w:t>
            </w:r>
          </w:p>
        </w:tc>
        <w:tc>
          <w:tcPr>
            <w:tcW w:w="3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w:t>
            </w:r>
          </w:p>
        </w:tc>
      </w:tr>
      <w:tr>
        <w:trPr>
          <w:trHeight w:val="250"/>
        </w:trPr>
        <w:tc>
          <w:tcPr>
            <w:tcW w:w="31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Greece</w:t>
            </w:r>
          </w:p>
        </w:tc>
        <w:tc>
          <w:tcPr>
            <w:tcW w:w="3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270</w:t>
            </w:r>
          </w:p>
        </w:tc>
      </w:tr>
      <w:tr>
        <w:trPr>
          <w:trHeight w:val="250"/>
        </w:trPr>
        <w:tc>
          <w:tcPr>
            <w:tcW w:w="31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Indonesia</w:t>
            </w:r>
          </w:p>
        </w:tc>
        <w:tc>
          <w:tcPr>
            <w:tcW w:w="3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30</w:t>
            </w:r>
          </w:p>
        </w:tc>
      </w:tr>
      <w:tr>
        <w:trPr>
          <w:trHeight w:val="250"/>
        </w:trPr>
        <w:tc>
          <w:tcPr>
            <w:tcW w:w="31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Kuwait</w:t>
            </w:r>
          </w:p>
        </w:tc>
        <w:tc>
          <w:tcPr>
            <w:tcW w:w="3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17</w:t>
            </w:r>
          </w:p>
        </w:tc>
      </w:tr>
      <w:tr>
        <w:trPr>
          <w:trHeight w:val="250"/>
        </w:trPr>
        <w:tc>
          <w:tcPr>
            <w:tcW w:w="31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Oman</w:t>
            </w:r>
          </w:p>
        </w:tc>
        <w:tc>
          <w:tcPr>
            <w:tcW w:w="3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w:t>
            </w:r>
          </w:p>
        </w:tc>
      </w:tr>
      <w:tr>
        <w:trPr>
          <w:trHeight w:val="250"/>
        </w:trPr>
        <w:tc>
          <w:tcPr>
            <w:tcW w:w="31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Pakistan</w:t>
            </w:r>
          </w:p>
        </w:tc>
        <w:tc>
          <w:tcPr>
            <w:tcW w:w="3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33</w:t>
            </w:r>
          </w:p>
        </w:tc>
      </w:tr>
      <w:tr>
        <w:trPr>
          <w:trHeight w:val="250"/>
        </w:trPr>
        <w:tc>
          <w:tcPr>
            <w:tcW w:w="31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Qatar</w:t>
            </w:r>
          </w:p>
        </w:tc>
        <w:tc>
          <w:tcPr>
            <w:tcW w:w="3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7</w:t>
            </w:r>
          </w:p>
        </w:tc>
      </w:tr>
      <w:tr>
        <w:trPr>
          <w:trHeight w:val="250"/>
        </w:trPr>
        <w:tc>
          <w:tcPr>
            <w:tcW w:w="31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Saudi Arabia</w:t>
            </w:r>
          </w:p>
        </w:tc>
        <w:tc>
          <w:tcPr>
            <w:tcW w:w="3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145</w:t>
            </w:r>
          </w:p>
        </w:tc>
      </w:tr>
      <w:tr>
        <w:trPr>
          <w:trHeight w:val="250"/>
        </w:trPr>
        <w:tc>
          <w:tcPr>
            <w:tcW w:w="31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United Arab Emirates</w:t>
            </w:r>
          </w:p>
        </w:tc>
        <w:tc>
          <w:tcPr>
            <w:tcW w:w="3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100</w:t>
            </w:r>
          </w:p>
        </w:tc>
      </w:tr>
      <w:tr>
        <w:trPr>
          <w:trHeight w:val="250"/>
        </w:trPr>
        <w:tc>
          <w:tcPr>
            <w:tcW w:w="31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Vietnam</w:t>
            </w:r>
          </w:p>
        </w:tc>
        <w:tc>
          <w:tcPr>
            <w:tcW w:w="3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33</w:t>
            </w:r>
          </w:p>
        </w:tc>
      </w:tr>
      <w:tr>
        <w:trPr>
          <w:trHeight w:val="20"/>
        </w:trPr>
        <w:tc>
          <w:tcPr>
            <w:tcW w:w="3140" w:type="dxa"/>
            <w:vAlign w:val="bottom"/>
            <w:tcBorders>
              <w:bottom w:val="single" w:sz="8" w:color="auto"/>
            </w:tcBorders>
          </w:tcPr>
          <w:p>
            <w:pPr>
              <w:spacing w:after="0" w:line="20" w:lineRule="exact"/>
              <w:rPr>
                <w:sz w:val="1"/>
                <w:szCs w:val="1"/>
                <w:color w:val="auto"/>
              </w:rPr>
            </w:pPr>
          </w:p>
        </w:tc>
        <w:tc>
          <w:tcPr>
            <w:tcW w:w="3240" w:type="dxa"/>
            <w:vAlign w:val="bottom"/>
            <w:tcBorders>
              <w:bottom w:val="single" w:sz="8" w:color="auto"/>
            </w:tcBorders>
          </w:tcPr>
          <w:p>
            <w:pPr>
              <w:spacing w:after="0" w:line="20" w:lineRule="exact"/>
              <w:rPr>
                <w:sz w:val="1"/>
                <w:szCs w:val="1"/>
                <w:color w:val="auto"/>
              </w:rPr>
            </w:pPr>
          </w:p>
        </w:tc>
      </w:tr>
      <w:tr>
        <w:trPr>
          <w:trHeight w:val="230"/>
        </w:trPr>
        <w:tc>
          <w:tcPr>
            <w:tcW w:w="314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3240" w:type="dxa"/>
            <w:vAlign w:val="bottom"/>
          </w:tcPr>
          <w:p>
            <w:pPr>
              <w:jc w:val="center"/>
              <w:spacing w:after="0"/>
              <w:rPr>
                <w:sz w:val="20"/>
                <w:szCs w:val="20"/>
                <w:color w:val="auto"/>
              </w:rPr>
            </w:pPr>
            <w:r>
              <w:rPr>
                <w:rFonts w:ascii="Arial" w:cs="Arial" w:eastAsia="Arial" w:hAnsi="Arial"/>
                <w:sz w:val="18"/>
                <w:szCs w:val="18"/>
                <w:color w:val="auto"/>
                <w:w w:val="99"/>
              </w:rPr>
              <w:t>639</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Methodology and Pay Ratio</w:t>
      </w:r>
    </w:p>
    <w:p>
      <w:pPr>
        <w:spacing w:after="0" w:line="31" w:lineRule="exact"/>
        <w:rPr>
          <w:sz w:val="20"/>
          <w:szCs w:val="20"/>
          <w:color w:val="auto"/>
        </w:rPr>
      </w:pPr>
    </w:p>
    <w:p>
      <w:pPr>
        <w:ind w:right="600"/>
        <w:spacing w:after="0" w:line="256" w:lineRule="auto"/>
        <w:rPr>
          <w:sz w:val="20"/>
          <w:szCs w:val="20"/>
          <w:color w:val="auto"/>
        </w:rPr>
      </w:pPr>
      <w:r>
        <w:rPr>
          <w:rFonts w:ascii="Arial" w:cs="Arial" w:eastAsia="Arial" w:hAnsi="Arial"/>
          <w:sz w:val="18"/>
          <w:szCs w:val="18"/>
          <w:color w:val="auto"/>
        </w:rPr>
        <w:t>After applying our CACM methodology and excluding the employees listed above, we identified the median employee. Once the median employee was identified, we calculated the median employee’s total annual compensation in accordance with the requirements of the Summary Compensation Table.</w:t>
      </w:r>
    </w:p>
    <w:p>
      <w:pPr>
        <w:spacing w:after="0" w:line="202" w:lineRule="exact"/>
        <w:rPr>
          <w:sz w:val="20"/>
          <w:szCs w:val="20"/>
          <w:color w:val="auto"/>
        </w:rPr>
      </w:pPr>
    </w:p>
    <w:p>
      <w:pPr>
        <w:ind w:right="460"/>
        <w:spacing w:after="0" w:line="253" w:lineRule="auto"/>
        <w:rPr>
          <w:sz w:val="20"/>
          <w:szCs w:val="20"/>
          <w:color w:val="auto"/>
        </w:rPr>
      </w:pPr>
      <w:r>
        <w:rPr>
          <w:rFonts w:ascii="Arial" w:cs="Arial" w:eastAsia="Arial" w:hAnsi="Arial"/>
          <w:sz w:val="18"/>
          <w:szCs w:val="18"/>
          <w:color w:val="auto"/>
        </w:rPr>
        <w:t>Our median employee compensation as calculated using Summary Compensation Table requirements was $134,003. Our CEO’s compensation as reported in the Summary Compensation Table was $15,845,991. Therefore, our CEO to median employee pay ratio is 118:1. Our median employee’s total compensation included the amount of a pension enhancement offered under our 2017 voluntary early retirement program. If we eliminated the change in pension value from our median employee and CEO’s total compensation, our CEO to median employee pay ratio would have been 171:1.</w:t>
      </w:r>
    </w:p>
    <w:p>
      <w:pPr>
        <w:spacing w:after="0" w:line="206"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This information is being provided for compliance purposes. Neither the Compensation Committee nor management of the company used the pay ratio measure in making compensation decisions.</w:t>
      </w:r>
    </w:p>
    <w:p>
      <w:pPr>
        <w:spacing w:after="0" w:line="167" w:lineRule="exact"/>
        <w:rPr>
          <w:sz w:val="20"/>
          <w:szCs w:val="20"/>
          <w:color w:val="auto"/>
        </w:rPr>
      </w:pPr>
    </w:p>
    <w:p>
      <w:pPr>
        <w:spacing w:after="0"/>
        <w:rPr>
          <w:sz w:val="20"/>
          <w:szCs w:val="20"/>
          <w:color w:val="auto"/>
        </w:rPr>
      </w:pPr>
      <w:r>
        <w:rPr>
          <w:rFonts w:ascii="Arial" w:cs="Arial" w:eastAsia="Arial" w:hAnsi="Arial"/>
          <w:sz w:val="40"/>
          <w:szCs w:val="40"/>
          <w:b w:val="1"/>
          <w:bCs w:val="1"/>
          <w:color w:val="FF0000"/>
        </w:rPr>
        <w:t>Audit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2720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26" w:lineRule="exact"/>
        <w:rPr>
          <w:sz w:val="20"/>
          <w:szCs w:val="20"/>
          <w:color w:val="auto"/>
        </w:rPr>
      </w:pPr>
    </w:p>
    <w:p>
      <w:pPr>
        <w:spacing w:after="0"/>
        <w:rPr>
          <w:sz w:val="20"/>
          <w:szCs w:val="20"/>
          <w:color w:val="auto"/>
        </w:rPr>
      </w:pPr>
      <w:r>
        <w:rPr>
          <w:rFonts w:ascii="Arial" w:cs="Arial" w:eastAsia="Arial" w:hAnsi="Arial"/>
          <w:sz w:val="29"/>
          <w:szCs w:val="29"/>
          <w:b w:val="1"/>
          <w:bCs w:val="1"/>
          <w:color w:val="FF0000"/>
        </w:rPr>
        <w:t>Item 3. Ratification of the Appointment of Principal Independent Auditor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720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Audit Committee Oversight of Independent Auditor</w:t>
      </w:r>
    </w:p>
    <w:p>
      <w:pPr>
        <w:spacing w:after="0" w:line="85"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The Audit Committee is responsible for the appointment, compensation, retention, and oversight of the independent auditor, and oversees the process for selecting, reviewing, and evaluating the lead audit partner. Further information regarding the committee's oversight of the independent auditor can be found in the Audit Committee charter, available online at https://www.lilly.com/who-we-are/governance or upon request to the company's corporate secretary.</w:t>
      </w:r>
    </w:p>
    <w:p>
      <w:pPr>
        <w:spacing w:after="0" w:line="204" w:lineRule="exact"/>
        <w:rPr>
          <w:sz w:val="20"/>
          <w:szCs w:val="20"/>
          <w:color w:val="auto"/>
        </w:rPr>
      </w:pPr>
    </w:p>
    <w:p>
      <w:pPr>
        <w:ind w:right="300"/>
        <w:spacing w:after="0" w:line="252" w:lineRule="auto"/>
        <w:rPr>
          <w:sz w:val="20"/>
          <w:szCs w:val="20"/>
          <w:color w:val="auto"/>
        </w:rPr>
      </w:pPr>
      <w:r>
        <w:rPr>
          <w:rFonts w:ascii="Arial" w:cs="Arial" w:eastAsia="Arial" w:hAnsi="Arial"/>
          <w:sz w:val="18"/>
          <w:szCs w:val="18"/>
          <w:color w:val="auto"/>
        </w:rPr>
        <w:t>In connection with the decision regarding whether to reappoint the independent auditor each year (subject to shareholder ratification), the committee assesses the independent auditor's performance. This assessment examines three primary criteria: (1) the independent auditor's qualifications and experience; (2) the communication and interactions with the auditor over the course of the year; and (3) the auditor's independence, objectivity, and professional skepticism. These criteria are assessed against an internal and an external scorecard, and are discussed with management during a private session, as well as in executive session. The committee also periodically considers whether a rotation of the company's independent auditor is advisable.</w:t>
      </w:r>
    </w:p>
    <w:p>
      <w:pPr>
        <w:spacing w:after="0" w:line="20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Ernst &amp; Young LLP (EY) has served as the principal independent auditor for the company since 1940. Based on this year's assessment of EY's performance, the Audit Committee believes that the continued retention of EY to serve as the company's principal independent auditor is in the best interests of the company and its shareholders, and has therefore reappointed the firm of EY as principal independent auditor for the company for 2018. In addition to</w:t>
      </w:r>
    </w:p>
    <w:p>
      <w:pPr>
        <w:spacing w:after="0" w:line="2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P62</w:t>
      </w:r>
    </w:p>
    <w:p>
      <w:pPr>
        <w:sectPr>
          <w:pgSz w:w="11900" w:h="16838" w:orient="portrait"/>
          <w:cols w:equalWidth="0" w:num="1">
            <w:col w:w="11420"/>
          </w:cols>
          <w:pgMar w:left="240" w:top="714" w:right="239" w:bottom="1440" w:gutter="0" w:footer="0" w:header="0"/>
        </w:sectPr>
      </w:pPr>
    </w:p>
    <w:bookmarkStart w:id="66" w:name="page67"/>
    <w:bookmarkEnd w:id="66"/>
    <w:p>
      <w:pPr>
        <w:ind w:right="40"/>
        <w:spacing w:after="0" w:line="254" w:lineRule="auto"/>
        <w:rPr>
          <w:sz w:val="20"/>
          <w:szCs w:val="20"/>
          <w:color w:val="auto"/>
        </w:rPr>
      </w:pPr>
      <w:r>
        <w:rPr>
          <w:rFonts w:ascii="Arial" w:cs="Arial" w:eastAsia="Arial" w:hAnsi="Arial"/>
          <w:sz w:val="18"/>
          <w:szCs w:val="18"/>
          <w:color w:val="auto"/>
        </w:rPr>
        <w:t>this year's favorable assessment of EY's performance, we recognize that there are several benefits of retaining a longer-tenured independent auditor. EY has gained institutional knowledge and expertise regarding the company's global operations, accounting policies and practices, and internal controls over financial reporting. Audit and other fees are also competitive with peer companies because of EY's familiarity with the company and its operations. In accordance with the bylaws, this appointment is being submitted to the shareholders for ratification.</w:t>
      </w:r>
    </w:p>
    <w:p>
      <w:pPr>
        <w:spacing w:after="0" w:line="204"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Representatives of EY are expected to be present at the annual meeting and will be available to respond to questions. Those representatives will have the opportunity to make a statement if they wish to do so.</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FF0000"/>
        </w:rPr>
        <w:t>Board Recommendation on Item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23"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b w:val="1"/>
          <w:bCs w:val="1"/>
          <w:color w:val="auto"/>
        </w:rPr>
        <w:t>The Board of Directors recommends that you vote FOR ratifying the appointment of Ernst &amp; Young LLP as principal independent auditor for 2018.</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FF0000"/>
        </w:rPr>
        <w:t>Audit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45"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The Audit Committee reviews the company’s financial reporting process on behalf of the Board. Management has the primary responsibility for the financial statements and the reporting process, including the systems of internal controls and disclosure controls. In this context, the committee has met and held discussions with management and the independent auditor. Management represented to the committee that the company’s consolidated financial statements were prepared in accordance with generally accepted accounting principles (GAAP), and the committee has reviewed and discussed the audited financial statements and related disclosures with management and the independent auditor, including a review of the significant management judgments underlying the financial statements and disclosures.</w:t>
      </w:r>
    </w:p>
    <w:p>
      <w:pPr>
        <w:spacing w:after="0" w:line="209"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The independent auditor reports to the Audit Committee, which has sole authority to appoint and to replace the independent auditor (subject to shareholder ratification).</w:t>
      </w:r>
    </w:p>
    <w:p>
      <w:pPr>
        <w:spacing w:after="0" w:line="196"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The committee has discussed with the independent auditor matters required to be discussed with the Audit Committee by the standards of the Public Company Accounting Oversight Board (PCAOB) and the NYSE, including the quality, not just the acceptability, of the accounting principles, the reasonableness of significant judgments, and the clarity of the disclosures in the financial statements. In addition, the committee has received the written disclosures and the letter from the independent auditor required by applicable requirements of the PCAOB regarding communications with the Audit Committee concerning independence, and has discussed with the independent auditor the auditor’s independence from the company and its management. In concluding that the auditor is independent, the committee determined, among other things, that the nonaudit services provided by EY (as described below) were compatible with its independence. Consistent with the requirements of the Sarbanes-Oxley Act of 2002 (the Sarbanes-Oxley Act), the committee has adopted policies to ensure the independence of the independent auditor, such as prior committee approval of nonaudit services and required audit partner rotation.</w:t>
      </w:r>
    </w:p>
    <w:p>
      <w:pPr>
        <w:spacing w:after="0" w:line="213"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The committee discussed with the company’s internal and independent auditors the overall scope and plans for their respective audits, including internal control testing under Section 404 of the Sarbanes-Oxley Act. The committee periodically meets with the internal and independent auditors, with and without management present, and in private sessions with members of senior management (such as the chief financial officer and the chief accounting officer) to discuss the results of their examinations, their evaluations of the company’s internal controls, and the overall quality of the company’s financial reporting. The committee also periodically meets in executive session.</w:t>
      </w:r>
    </w:p>
    <w:p>
      <w:pPr>
        <w:spacing w:after="0" w:line="20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reliance on the reviews and discussions referred to above, the committee recommended to the Board (and the Board subsequently approved the recommendation) that the audited financial statements be included in the company’s annual report on Form 10-K for the year ended December 31, 2017, for filing with the SEC. The committee has also appointed the company’s independent auditor, subject to shareholder ratification, for 2018.</w:t>
      </w:r>
    </w:p>
    <w:p>
      <w:pPr>
        <w:spacing w:after="0" w:line="200" w:lineRule="exact"/>
        <w:rPr>
          <w:sz w:val="20"/>
          <w:szCs w:val="20"/>
          <w:color w:val="auto"/>
        </w:rPr>
      </w:pPr>
    </w:p>
    <w:p>
      <w:pPr>
        <w:spacing w:after="0" w:line="2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P63</w:t>
      </w:r>
    </w:p>
    <w:p>
      <w:pPr>
        <w:sectPr>
          <w:pgSz w:w="11900" w:h="16838" w:orient="portrait"/>
          <w:cols w:equalWidth="0" w:num="1">
            <w:col w:w="11420"/>
          </w:cols>
          <w:pgMar w:left="240" w:top="598"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u w:val="single" w:color="auto"/>
          <w:color w:val="auto"/>
        </w:rPr>
        <w:t>Audit Committee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Michael L. Eskew, Chair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Katherine Baicker, Ph.D.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Jamere Jackson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Kathi P. Seifert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Jackson P. Tai</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Services Performed by the Independent Auditor</w:t>
      </w:r>
    </w:p>
    <w:p>
      <w:pPr>
        <w:spacing w:after="0" w:line="85"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The Audit Committee pre-approves all services performed by the independent auditor, in part to assess whether the provision of such services might impair the auditor’s independence. The committee’s policy and procedures are as follows:</w:t>
      </w:r>
    </w:p>
    <w:p>
      <w:pPr>
        <w:spacing w:after="0" w:line="1" w:lineRule="exact"/>
        <w:rPr>
          <w:sz w:val="20"/>
          <w:szCs w:val="20"/>
          <w:color w:val="auto"/>
        </w:rPr>
      </w:pPr>
    </w:p>
    <w:p>
      <w:pPr>
        <w:ind w:left="340" w:right="60" w:hanging="170"/>
        <w:spacing w:after="0" w:line="250" w:lineRule="auto"/>
        <w:tabs>
          <w:tab w:leader="none" w:pos="340" w:val="left"/>
        </w:tabs>
        <w:numPr>
          <w:ilvl w:val="0"/>
          <w:numId w:val="10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Audit services: </w:t>
      </w:r>
      <w:r>
        <w:rPr>
          <w:rFonts w:ascii="Arial" w:cs="Arial" w:eastAsia="Arial" w:hAnsi="Arial"/>
          <w:sz w:val="18"/>
          <w:szCs w:val="18"/>
          <w:color w:val="auto"/>
        </w:rPr>
        <w:t>The committee approves the annual audit services engagement and, if necessary, any changes in terms, conditions,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fees resulting from changes in audit scope, company structure, or other matters. Audit services include internal controls attestation work under Section 404 of the Sarbanes-Oxley Act. The committee may also preapprove other audit services, which are those services that only the independent auditor reasonably can provide.</w:t>
      </w:r>
    </w:p>
    <w:p>
      <w:pPr>
        <w:spacing w:after="0" w:line="1" w:lineRule="exact"/>
        <w:rPr>
          <w:rFonts w:ascii="Arial" w:cs="Arial" w:eastAsia="Arial" w:hAnsi="Arial"/>
          <w:sz w:val="18"/>
          <w:szCs w:val="18"/>
          <w:color w:val="auto"/>
        </w:rPr>
      </w:pPr>
    </w:p>
    <w:p>
      <w:pPr>
        <w:jc w:val="both"/>
        <w:ind w:left="340" w:right="260" w:hanging="170"/>
        <w:spacing w:after="0" w:line="250" w:lineRule="auto"/>
        <w:tabs>
          <w:tab w:leader="none" w:pos="340" w:val="left"/>
        </w:tabs>
        <w:numPr>
          <w:ilvl w:val="0"/>
          <w:numId w:val="10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Audit-related services: </w:t>
      </w:r>
      <w:r>
        <w:rPr>
          <w:rFonts w:ascii="Arial" w:cs="Arial" w:eastAsia="Arial" w:hAnsi="Arial"/>
          <w:sz w:val="18"/>
          <w:szCs w:val="18"/>
          <w:color w:val="auto"/>
        </w:rPr>
        <w:t>Audit-related services are assurance and related services that are reasonably related to the performance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audit or reviews of the financial statements, and that are traditionally performed by the independent auditor. The committee believes that the provision of these services does not impair the independence of the auditor.</w:t>
      </w:r>
    </w:p>
    <w:p>
      <w:pPr>
        <w:spacing w:after="0" w:line="1" w:lineRule="exact"/>
        <w:rPr>
          <w:rFonts w:ascii="Arial" w:cs="Arial" w:eastAsia="Arial" w:hAnsi="Arial"/>
          <w:sz w:val="18"/>
          <w:szCs w:val="18"/>
          <w:color w:val="auto"/>
        </w:rPr>
      </w:pPr>
    </w:p>
    <w:p>
      <w:pPr>
        <w:ind w:left="340" w:right="660" w:hanging="170"/>
        <w:spacing w:after="0" w:line="250" w:lineRule="auto"/>
        <w:tabs>
          <w:tab w:leader="none" w:pos="340" w:val="left"/>
        </w:tabs>
        <w:numPr>
          <w:ilvl w:val="0"/>
          <w:numId w:val="10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Tax services: </w:t>
      </w:r>
      <w:r>
        <w:rPr>
          <w:rFonts w:ascii="Arial" w:cs="Arial" w:eastAsia="Arial" w:hAnsi="Arial"/>
          <w:sz w:val="18"/>
          <w:szCs w:val="18"/>
          <w:color w:val="auto"/>
        </w:rPr>
        <w:t>The committee believes that, in appropriate cases, the independent auditor can provide tax compliance services, tax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planning, and tax advice without impairing the auditor’s independence.</w:t>
      </w:r>
    </w:p>
    <w:p>
      <w:pPr>
        <w:jc w:val="both"/>
        <w:ind w:left="340" w:right="280" w:hanging="170"/>
        <w:spacing w:after="0" w:line="250" w:lineRule="auto"/>
        <w:tabs>
          <w:tab w:leader="none" w:pos="340" w:val="left"/>
        </w:tabs>
        <w:numPr>
          <w:ilvl w:val="0"/>
          <w:numId w:val="10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Other services: </w:t>
      </w:r>
      <w:r>
        <w:rPr>
          <w:rFonts w:ascii="Arial" w:cs="Arial" w:eastAsia="Arial" w:hAnsi="Arial"/>
          <w:sz w:val="18"/>
          <w:szCs w:val="18"/>
          <w:color w:val="auto"/>
        </w:rPr>
        <w:t>The committee may approve other services to be provided by the independent auditor if (i) the services are permissible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SEC and PCAOB rules, (ii) the committee believes the provision of the services would not impair the independence of the auditor, and (iii) management believes that the auditor is the best choice to provide the services.</w:t>
      </w:r>
    </w:p>
    <w:p>
      <w:pPr>
        <w:spacing w:after="0" w:line="1" w:lineRule="exact"/>
        <w:rPr>
          <w:rFonts w:ascii="Arial" w:cs="Arial" w:eastAsia="Arial" w:hAnsi="Arial"/>
          <w:sz w:val="18"/>
          <w:szCs w:val="18"/>
          <w:color w:val="auto"/>
        </w:rPr>
      </w:pPr>
    </w:p>
    <w:p>
      <w:pPr>
        <w:ind w:left="340" w:hanging="170"/>
        <w:spacing w:after="0" w:line="253" w:lineRule="auto"/>
        <w:tabs>
          <w:tab w:leader="none" w:pos="340" w:val="left"/>
        </w:tabs>
        <w:numPr>
          <w:ilvl w:val="0"/>
          <w:numId w:val="10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Approval process: </w:t>
      </w:r>
      <w:r>
        <w:rPr>
          <w:rFonts w:ascii="Arial" w:cs="Arial" w:eastAsia="Arial" w:hAnsi="Arial"/>
          <w:sz w:val="18"/>
          <w:szCs w:val="18"/>
          <w:color w:val="auto"/>
        </w:rPr>
        <w:t>At the beginning of each audit year, management requests prior committee approval of the annual audit, statutory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audits, and quarterly reviews for the upcoming audit year as well as any other services known at that time. Management will also present at that time an estimate of all fees for the upcoming audit year. As specific engagements are identified thereafter, they are brought forward to the committee for approval. To the extent approvals are required between regularly scheduled committee meetings, preapproval authority is delegated to the committee chair.</w:t>
      </w:r>
    </w:p>
    <w:p>
      <w:pPr>
        <w:spacing w:after="0" w:line="206" w:lineRule="exact"/>
        <w:rPr>
          <w:sz w:val="20"/>
          <w:szCs w:val="20"/>
          <w:color w:val="auto"/>
        </w:rPr>
      </w:pPr>
    </w:p>
    <w:p>
      <w:pPr>
        <w:ind w:right="440"/>
        <w:spacing w:after="0" w:line="256" w:lineRule="auto"/>
        <w:rPr>
          <w:sz w:val="20"/>
          <w:szCs w:val="20"/>
          <w:color w:val="auto"/>
        </w:rPr>
      </w:pPr>
      <w:r>
        <w:rPr>
          <w:rFonts w:ascii="Arial" w:cs="Arial" w:eastAsia="Arial" w:hAnsi="Arial"/>
          <w:sz w:val="18"/>
          <w:szCs w:val="18"/>
          <w:color w:val="auto"/>
        </w:rPr>
        <w:t>For each engagement, management provides the committee with information about the services and fees, sufficiently detailed to allow the committee to make an informed judgment about the nature and scope of the services and the potential for the services to impair the independence of the auditor.</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After the end of the audit year, management provides the committee with a summary of the actual fees incurred for the completed audit year.</w:t>
      </w: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P64</w:t>
      </w:r>
    </w:p>
    <w:p>
      <w:pPr>
        <w:sectPr>
          <w:pgSz w:w="11900" w:h="16838" w:orient="portrait"/>
          <w:cols w:equalWidth="0" w:num="1">
            <w:col w:w="11420"/>
          </w:cols>
          <w:pgMar w:left="240" w:top="576"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u w:val="single" w:color="auto"/>
          <w:color w:val="auto"/>
        </w:rPr>
        <w:t>Independent Auditor Fees</w:t>
      </w:r>
    </w:p>
    <w:p>
      <w:pPr>
        <w:spacing w:after="0" w:line="153"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The following table shows the fees incurred for services rendered on a worldwide basis by Ernst &amp; Young in 2017 and 2016. All such services were pre-approved by the committee in accordance with the pre-approval policy.</w:t>
      </w:r>
    </w:p>
    <w:p>
      <w:pPr>
        <w:spacing w:after="0" w:line="296" w:lineRule="exact"/>
        <w:rPr>
          <w:sz w:val="20"/>
          <w:szCs w:val="20"/>
          <w:color w:val="auto"/>
        </w:rPr>
      </w:pPr>
    </w:p>
    <w:tbl>
      <w:tblPr>
        <w:tblLayout w:type="fixed"/>
        <w:tblInd w:w="350" w:type="dxa"/>
        <w:tblCellMar>
          <w:top w:w="0" w:type="dxa"/>
          <w:left w:w="0" w:type="dxa"/>
          <w:bottom w:w="0" w:type="dxa"/>
          <w:right w:w="0" w:type="dxa"/>
        </w:tblCellMar>
      </w:tblPr>
      <w:tr>
        <w:trPr>
          <w:trHeight w:val="162"/>
        </w:trPr>
        <w:tc>
          <w:tcPr>
            <w:tcW w:w="884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rPr>
              <w:t>2017</w:t>
            </w:r>
          </w:p>
        </w:tc>
        <w:tc>
          <w:tcPr>
            <w:tcW w:w="960" w:type="dxa"/>
            <w:vAlign w:val="bottom"/>
          </w:tcPr>
          <w:p>
            <w:pPr>
              <w:jc w:val="center"/>
              <w:spacing w:after="0"/>
              <w:rPr>
                <w:sz w:val="20"/>
                <w:szCs w:val="20"/>
                <w:color w:val="auto"/>
              </w:rPr>
            </w:pPr>
            <w:r>
              <w:rPr>
                <w:rFonts w:ascii="Arial" w:cs="Arial" w:eastAsia="Arial" w:hAnsi="Arial"/>
                <w:sz w:val="14"/>
                <w:szCs w:val="14"/>
                <w:color w:val="auto"/>
              </w:rPr>
              <w:t>2016</w:t>
            </w:r>
          </w:p>
        </w:tc>
      </w:tr>
      <w:tr>
        <w:trPr>
          <w:trHeight w:val="172"/>
        </w:trPr>
        <w:tc>
          <w:tcPr>
            <w:tcW w:w="8840" w:type="dxa"/>
            <w:vAlign w:val="bottom"/>
          </w:tcPr>
          <w:p>
            <w:pPr>
              <w:spacing w:after="0"/>
              <w:rPr>
                <w:sz w:val="14"/>
                <w:szCs w:val="14"/>
                <w:color w:val="auto"/>
              </w:rPr>
            </w:pPr>
          </w:p>
        </w:tc>
        <w:tc>
          <w:tcPr>
            <w:tcW w:w="960" w:type="dxa"/>
            <w:vAlign w:val="bottom"/>
          </w:tcPr>
          <w:p>
            <w:pPr>
              <w:ind w:left="120"/>
              <w:spacing w:after="0"/>
              <w:rPr>
                <w:sz w:val="20"/>
                <w:szCs w:val="20"/>
                <w:color w:val="auto"/>
              </w:rPr>
            </w:pPr>
            <w:r>
              <w:rPr>
                <w:rFonts w:ascii="Arial" w:cs="Arial" w:eastAsia="Arial" w:hAnsi="Arial"/>
                <w:sz w:val="14"/>
                <w:szCs w:val="14"/>
                <w:color w:val="auto"/>
              </w:rPr>
              <w:t>($ millions)</w:t>
            </w:r>
          </w:p>
        </w:tc>
        <w:tc>
          <w:tcPr>
            <w:tcW w:w="960" w:type="dxa"/>
            <w:vAlign w:val="bottom"/>
          </w:tcPr>
          <w:p>
            <w:pPr>
              <w:ind w:left="120"/>
              <w:spacing w:after="0"/>
              <w:rPr>
                <w:sz w:val="20"/>
                <w:szCs w:val="20"/>
                <w:color w:val="auto"/>
              </w:rPr>
            </w:pPr>
            <w:r>
              <w:rPr>
                <w:rFonts w:ascii="Arial" w:cs="Arial" w:eastAsia="Arial" w:hAnsi="Arial"/>
                <w:sz w:val="14"/>
                <w:szCs w:val="14"/>
                <w:color w:val="auto"/>
              </w:rPr>
              <w:t>($ millions)</w:t>
            </w:r>
          </w:p>
        </w:tc>
      </w:tr>
      <w:tr>
        <w:trPr>
          <w:trHeight w:val="39"/>
        </w:trPr>
        <w:tc>
          <w:tcPr>
            <w:tcW w:w="88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52"/>
        </w:trPr>
        <w:tc>
          <w:tcPr>
            <w:tcW w:w="8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Audit Fees</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$14.8</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$12.8</w:t>
            </w:r>
          </w:p>
        </w:tc>
      </w:tr>
      <w:tr>
        <w:trPr>
          <w:trHeight w:val="270"/>
        </w:trPr>
        <w:tc>
          <w:tcPr>
            <w:tcW w:w="8840" w:type="dxa"/>
            <w:vAlign w:val="bottom"/>
            <w:tcBorders>
              <w:left w:val="single" w:sz="8" w:color="auto"/>
              <w:right w:val="single" w:sz="8" w:color="auto"/>
            </w:tcBorders>
          </w:tcPr>
          <w:p>
            <w:pPr>
              <w:ind w:left="1440"/>
              <w:spacing w:after="0"/>
              <w:rPr>
                <w:sz w:val="20"/>
                <w:szCs w:val="20"/>
                <w:color w:val="auto"/>
              </w:rPr>
            </w:pPr>
            <w:r>
              <w:rPr>
                <w:rFonts w:ascii="Arial" w:cs="Arial" w:eastAsia="Arial" w:hAnsi="Arial"/>
                <w:sz w:val="14"/>
                <w:szCs w:val="14"/>
                <w:color w:val="auto"/>
              </w:rPr>
              <w:t>Annual audit of consolidated and subsidiary financial statements, including Sarbanes-Oxley 404 attestation</w:t>
            </w:r>
          </w:p>
        </w:tc>
        <w:tc>
          <w:tcPr>
            <w:tcW w:w="960" w:type="dxa"/>
            <w:vAlign w:val="bottom"/>
            <w:tcBorders>
              <w:right w:val="single" w:sz="8" w:color="auto"/>
            </w:tcBorders>
          </w:tcPr>
          <w:p>
            <w:pPr>
              <w:spacing w:after="0"/>
              <w:rPr>
                <w:sz w:val="23"/>
                <w:szCs w:val="23"/>
                <w:color w:val="auto"/>
              </w:rPr>
            </w:pPr>
          </w:p>
        </w:tc>
        <w:tc>
          <w:tcPr>
            <w:tcW w:w="960" w:type="dxa"/>
            <w:vAlign w:val="bottom"/>
            <w:tcBorders>
              <w:right w:val="single" w:sz="8" w:color="auto"/>
            </w:tcBorders>
          </w:tcPr>
          <w:p>
            <w:pPr>
              <w:spacing w:after="0"/>
              <w:rPr>
                <w:sz w:val="23"/>
                <w:szCs w:val="23"/>
                <w:color w:val="auto"/>
              </w:rPr>
            </w:pPr>
          </w:p>
        </w:tc>
      </w:tr>
      <w:tr>
        <w:trPr>
          <w:trHeight w:val="270"/>
        </w:trPr>
        <w:tc>
          <w:tcPr>
            <w:tcW w:w="8840" w:type="dxa"/>
            <w:vAlign w:val="bottom"/>
            <w:tcBorders>
              <w:left w:val="single" w:sz="8" w:color="auto"/>
              <w:right w:val="single" w:sz="8" w:color="auto"/>
            </w:tcBorders>
          </w:tcPr>
          <w:p>
            <w:pPr>
              <w:ind w:left="1440"/>
              <w:spacing w:after="0"/>
              <w:rPr>
                <w:sz w:val="20"/>
                <w:szCs w:val="20"/>
                <w:color w:val="auto"/>
              </w:rPr>
            </w:pPr>
            <w:r>
              <w:rPr>
                <w:rFonts w:ascii="Arial" w:cs="Arial" w:eastAsia="Arial" w:hAnsi="Arial"/>
                <w:sz w:val="14"/>
                <w:szCs w:val="14"/>
                <w:color w:val="auto"/>
              </w:rPr>
              <w:t>Reviews of quarterly financial statements</w:t>
            </w:r>
          </w:p>
        </w:tc>
        <w:tc>
          <w:tcPr>
            <w:tcW w:w="960" w:type="dxa"/>
            <w:vAlign w:val="bottom"/>
            <w:tcBorders>
              <w:right w:val="single" w:sz="8" w:color="auto"/>
            </w:tcBorders>
          </w:tcPr>
          <w:p>
            <w:pPr>
              <w:spacing w:after="0"/>
              <w:rPr>
                <w:sz w:val="23"/>
                <w:szCs w:val="23"/>
                <w:color w:val="auto"/>
              </w:rPr>
            </w:pPr>
          </w:p>
        </w:tc>
        <w:tc>
          <w:tcPr>
            <w:tcW w:w="960" w:type="dxa"/>
            <w:vAlign w:val="bottom"/>
            <w:tcBorders>
              <w:right w:val="single" w:sz="8" w:color="auto"/>
            </w:tcBorders>
          </w:tcPr>
          <w:p>
            <w:pPr>
              <w:spacing w:after="0"/>
              <w:rPr>
                <w:sz w:val="23"/>
                <w:szCs w:val="23"/>
                <w:color w:val="auto"/>
              </w:rPr>
            </w:pPr>
          </w:p>
        </w:tc>
      </w:tr>
      <w:tr>
        <w:trPr>
          <w:trHeight w:val="276"/>
        </w:trPr>
        <w:tc>
          <w:tcPr>
            <w:tcW w:w="8840" w:type="dxa"/>
            <w:vAlign w:val="bottom"/>
            <w:tcBorders>
              <w:left w:val="single" w:sz="8" w:color="auto"/>
              <w:bottom w:val="single" w:sz="8" w:color="auto"/>
              <w:right w:val="single" w:sz="8" w:color="auto"/>
            </w:tcBorders>
          </w:tcPr>
          <w:p>
            <w:pPr>
              <w:ind w:left="1440"/>
              <w:spacing w:after="0"/>
              <w:rPr>
                <w:sz w:val="20"/>
                <w:szCs w:val="20"/>
                <w:color w:val="auto"/>
              </w:rPr>
            </w:pPr>
            <w:r>
              <w:rPr>
                <w:rFonts w:ascii="Arial" w:cs="Arial" w:eastAsia="Arial" w:hAnsi="Arial"/>
                <w:sz w:val="14"/>
                <w:szCs w:val="14"/>
                <w:color w:val="auto"/>
              </w:rPr>
              <w:t>Other services normally provided by the auditor in connection with statutory and regulatory filings</w:t>
            </w:r>
          </w:p>
        </w:tc>
        <w:tc>
          <w:tcPr>
            <w:tcW w:w="96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right w:val="single" w:sz="8" w:color="auto"/>
            </w:tcBorders>
          </w:tcPr>
          <w:p>
            <w:pPr>
              <w:spacing w:after="0"/>
              <w:rPr>
                <w:sz w:val="24"/>
                <w:szCs w:val="24"/>
                <w:color w:val="auto"/>
              </w:rPr>
            </w:pPr>
          </w:p>
        </w:tc>
      </w:tr>
      <w:tr>
        <w:trPr>
          <w:trHeight w:val="258"/>
        </w:trPr>
        <w:tc>
          <w:tcPr>
            <w:tcW w:w="8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Audit-Related Fees</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$0.5</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$0.6</w:t>
            </w:r>
          </w:p>
        </w:tc>
      </w:tr>
      <w:tr>
        <w:trPr>
          <w:trHeight w:val="260"/>
        </w:trPr>
        <w:tc>
          <w:tcPr>
            <w:tcW w:w="8840" w:type="dxa"/>
            <w:vAlign w:val="bottom"/>
            <w:tcBorders>
              <w:left w:val="single" w:sz="8" w:color="auto"/>
              <w:right w:val="single" w:sz="8" w:color="auto"/>
            </w:tcBorders>
          </w:tcPr>
          <w:p>
            <w:pPr>
              <w:ind w:left="1440"/>
              <w:spacing w:after="0"/>
              <w:rPr>
                <w:sz w:val="20"/>
                <w:szCs w:val="20"/>
                <w:color w:val="auto"/>
              </w:rPr>
            </w:pPr>
            <w:r>
              <w:rPr>
                <w:rFonts w:ascii="Arial" w:cs="Arial" w:eastAsia="Arial" w:hAnsi="Arial"/>
                <w:sz w:val="14"/>
                <w:szCs w:val="14"/>
                <w:color w:val="auto"/>
              </w:rPr>
              <w:t>Primarily related to assurance and related services reasonably related to the performance of the audit or reviews of</w:t>
            </w:r>
          </w:p>
        </w:tc>
        <w:tc>
          <w:tcPr>
            <w:tcW w:w="960" w:type="dxa"/>
            <w:vAlign w:val="bottom"/>
            <w:tcBorders>
              <w:right w:val="single" w:sz="8" w:color="auto"/>
            </w:tcBorders>
          </w:tcPr>
          <w:p>
            <w:pPr>
              <w:spacing w:after="0"/>
              <w:rPr>
                <w:sz w:val="22"/>
                <w:szCs w:val="22"/>
                <w:color w:val="auto"/>
              </w:rPr>
            </w:pPr>
          </w:p>
        </w:tc>
        <w:tc>
          <w:tcPr>
            <w:tcW w:w="960" w:type="dxa"/>
            <w:vAlign w:val="bottom"/>
            <w:tcBorders>
              <w:right w:val="single" w:sz="8" w:color="auto"/>
            </w:tcBorders>
          </w:tcPr>
          <w:p>
            <w:pPr>
              <w:spacing w:after="0"/>
              <w:rPr>
                <w:sz w:val="22"/>
                <w:szCs w:val="22"/>
                <w:color w:val="auto"/>
              </w:rPr>
            </w:pPr>
          </w:p>
        </w:tc>
      </w:tr>
      <w:tr>
        <w:trPr>
          <w:trHeight w:val="162"/>
        </w:trPr>
        <w:tc>
          <w:tcPr>
            <w:tcW w:w="8840" w:type="dxa"/>
            <w:vAlign w:val="bottom"/>
            <w:tcBorders>
              <w:left w:val="single" w:sz="8" w:color="auto"/>
              <w:right w:val="single" w:sz="8" w:color="auto"/>
            </w:tcBorders>
          </w:tcPr>
          <w:p>
            <w:pPr>
              <w:ind w:left="1440"/>
              <w:spacing w:after="0"/>
              <w:rPr>
                <w:sz w:val="20"/>
                <w:szCs w:val="20"/>
                <w:color w:val="auto"/>
              </w:rPr>
            </w:pPr>
            <w:r>
              <w:rPr>
                <w:rFonts w:ascii="Arial" w:cs="Arial" w:eastAsia="Arial" w:hAnsi="Arial"/>
                <w:sz w:val="14"/>
                <w:szCs w:val="14"/>
                <w:color w:val="auto"/>
              </w:rPr>
              <w:t>the financial statements primarily related to employee benefit plan and other ancillary audits, and due diligence</w:t>
            </w:r>
          </w:p>
        </w:tc>
        <w:tc>
          <w:tcPr>
            <w:tcW w:w="960" w:type="dxa"/>
            <w:vAlign w:val="bottom"/>
            <w:tcBorders>
              <w:right w:val="single" w:sz="8" w:color="auto"/>
            </w:tcBorders>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r>
      <w:tr>
        <w:trPr>
          <w:trHeight w:val="178"/>
        </w:trPr>
        <w:tc>
          <w:tcPr>
            <w:tcW w:w="8840" w:type="dxa"/>
            <w:vAlign w:val="bottom"/>
            <w:tcBorders>
              <w:left w:val="single" w:sz="8" w:color="auto"/>
              <w:bottom w:val="single" w:sz="8" w:color="auto"/>
              <w:right w:val="single" w:sz="8" w:color="auto"/>
            </w:tcBorders>
          </w:tcPr>
          <w:p>
            <w:pPr>
              <w:ind w:left="1440"/>
              <w:spacing w:after="0"/>
              <w:rPr>
                <w:sz w:val="20"/>
                <w:szCs w:val="20"/>
                <w:color w:val="auto"/>
              </w:rPr>
            </w:pPr>
            <w:r>
              <w:rPr>
                <w:rFonts w:ascii="Arial" w:cs="Arial" w:eastAsia="Arial" w:hAnsi="Arial"/>
                <w:sz w:val="14"/>
                <w:szCs w:val="14"/>
                <w:color w:val="auto"/>
              </w:rPr>
              <w:t>services on potential acquisitions</w:t>
            </w:r>
          </w:p>
        </w:tc>
        <w:tc>
          <w:tcPr>
            <w:tcW w:w="960" w:type="dxa"/>
            <w:vAlign w:val="bottom"/>
            <w:tcBorders>
              <w:bottom w:val="single" w:sz="8" w:color="auto"/>
              <w:right w:val="single" w:sz="8" w:color="auto"/>
            </w:tcBorders>
          </w:tcPr>
          <w:p>
            <w:pPr>
              <w:spacing w:after="0"/>
              <w:rPr>
                <w:sz w:val="15"/>
                <w:szCs w:val="15"/>
                <w:color w:val="auto"/>
              </w:rPr>
            </w:pPr>
          </w:p>
        </w:tc>
        <w:tc>
          <w:tcPr>
            <w:tcW w:w="960" w:type="dxa"/>
            <w:vAlign w:val="bottom"/>
            <w:tcBorders>
              <w:bottom w:val="single" w:sz="8" w:color="auto"/>
              <w:right w:val="single" w:sz="8" w:color="auto"/>
            </w:tcBorders>
          </w:tcPr>
          <w:p>
            <w:pPr>
              <w:spacing w:after="0"/>
              <w:rPr>
                <w:sz w:val="15"/>
                <w:szCs w:val="15"/>
                <w:color w:val="auto"/>
              </w:rPr>
            </w:pPr>
          </w:p>
        </w:tc>
      </w:tr>
      <w:tr>
        <w:trPr>
          <w:trHeight w:val="258"/>
        </w:trPr>
        <w:tc>
          <w:tcPr>
            <w:tcW w:w="8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Tax Fees</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$4.8</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$6.7</w:t>
            </w:r>
          </w:p>
        </w:tc>
      </w:tr>
      <w:tr>
        <w:trPr>
          <w:trHeight w:val="368"/>
        </w:trPr>
        <w:tc>
          <w:tcPr>
            <w:tcW w:w="8840" w:type="dxa"/>
            <w:vAlign w:val="bottom"/>
            <w:tcBorders>
              <w:left w:val="single" w:sz="8" w:color="auto"/>
              <w:right w:val="single" w:sz="8" w:color="auto"/>
            </w:tcBorders>
          </w:tcPr>
          <w:p>
            <w:pPr>
              <w:ind w:left="1440"/>
              <w:spacing w:after="0"/>
              <w:rPr>
                <w:sz w:val="20"/>
                <w:szCs w:val="20"/>
                <w:color w:val="auto"/>
              </w:rPr>
            </w:pPr>
            <w:r>
              <w:rPr>
                <w:rFonts w:ascii="Arial" w:cs="Arial" w:eastAsia="Arial" w:hAnsi="Arial"/>
                <w:sz w:val="14"/>
                <w:szCs w:val="14"/>
                <w:color w:val="auto"/>
              </w:rPr>
              <w:t>Tax compliance services, tax planning, tax advice</w:t>
            </w:r>
          </w:p>
        </w:tc>
        <w:tc>
          <w:tcPr>
            <w:tcW w:w="960" w:type="dxa"/>
            <w:vAlign w:val="bottom"/>
            <w:tcBorders>
              <w:right w:val="single" w:sz="8" w:color="auto"/>
            </w:tcBorders>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r>
      <w:tr>
        <w:trPr>
          <w:trHeight w:val="178"/>
        </w:trPr>
        <w:tc>
          <w:tcPr>
            <w:tcW w:w="8840" w:type="dxa"/>
            <w:vAlign w:val="bottom"/>
            <w:tcBorders>
              <w:left w:val="single" w:sz="8" w:color="auto"/>
              <w:bottom w:val="single" w:sz="8" w:color="auto"/>
              <w:right w:val="single" w:sz="8" w:color="auto"/>
            </w:tcBorders>
          </w:tcPr>
          <w:p>
            <w:pPr>
              <w:ind w:left="1440"/>
              <w:spacing w:after="0"/>
              <w:rPr>
                <w:sz w:val="20"/>
                <w:szCs w:val="20"/>
                <w:color w:val="auto"/>
              </w:rPr>
            </w:pPr>
            <w:r>
              <w:rPr>
                <w:rFonts w:ascii="Arial" w:cs="Arial" w:eastAsia="Arial" w:hAnsi="Arial"/>
                <w:sz w:val="14"/>
                <w:szCs w:val="14"/>
                <w:color w:val="auto"/>
              </w:rPr>
              <w:t>Primarily related to consulting and compliance services</w:t>
            </w:r>
          </w:p>
        </w:tc>
        <w:tc>
          <w:tcPr>
            <w:tcW w:w="960" w:type="dxa"/>
            <w:vAlign w:val="bottom"/>
            <w:tcBorders>
              <w:bottom w:val="single" w:sz="8" w:color="auto"/>
              <w:right w:val="single" w:sz="8" w:color="auto"/>
            </w:tcBorders>
          </w:tcPr>
          <w:p>
            <w:pPr>
              <w:spacing w:after="0"/>
              <w:rPr>
                <w:sz w:val="15"/>
                <w:szCs w:val="15"/>
                <w:color w:val="auto"/>
              </w:rPr>
            </w:pPr>
          </w:p>
        </w:tc>
        <w:tc>
          <w:tcPr>
            <w:tcW w:w="960" w:type="dxa"/>
            <w:vAlign w:val="bottom"/>
            <w:tcBorders>
              <w:bottom w:val="single" w:sz="8" w:color="auto"/>
              <w:right w:val="single" w:sz="8" w:color="auto"/>
            </w:tcBorders>
          </w:tcPr>
          <w:p>
            <w:pPr>
              <w:spacing w:after="0"/>
              <w:rPr>
                <w:sz w:val="15"/>
                <w:szCs w:val="15"/>
                <w:color w:val="auto"/>
              </w:rPr>
            </w:pPr>
          </w:p>
        </w:tc>
      </w:tr>
      <w:tr>
        <w:trPr>
          <w:trHeight w:val="264"/>
        </w:trPr>
        <w:tc>
          <w:tcPr>
            <w:tcW w:w="88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Total</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$20.1</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$20.2</w:t>
            </w:r>
          </w:p>
        </w:tc>
      </w:tr>
      <w:tr>
        <w:trPr>
          <w:trHeight w:val="204"/>
        </w:trPr>
        <w:tc>
          <w:tcPr>
            <w:tcW w:w="8840" w:type="dxa"/>
            <w:vAlign w:val="bottom"/>
          </w:tcPr>
          <w:p>
            <w:pPr>
              <w:ind w:left="40"/>
              <w:spacing w:after="0"/>
              <w:rPr>
                <w:sz w:val="20"/>
                <w:szCs w:val="20"/>
                <w:color w:val="auto"/>
              </w:rPr>
            </w:pPr>
            <w:r>
              <w:rPr>
                <w:rFonts w:ascii="Arial" w:cs="Arial" w:eastAsia="Arial" w:hAnsi="Arial"/>
                <w:sz w:val="14"/>
                <w:szCs w:val="14"/>
                <w:color w:val="auto"/>
              </w:rPr>
              <w:t>*Numbers may not add due to rounding</w:t>
            </w:r>
          </w:p>
        </w:tc>
        <w:tc>
          <w:tcPr>
            <w:tcW w:w="960" w:type="dxa"/>
            <w:vAlign w:val="bottom"/>
          </w:tcPr>
          <w:p>
            <w:pPr>
              <w:spacing w:after="0"/>
              <w:rPr>
                <w:sz w:val="17"/>
                <w:szCs w:val="17"/>
                <w:color w:val="auto"/>
              </w:rPr>
            </w:pPr>
          </w:p>
        </w:tc>
        <w:tc>
          <w:tcPr>
            <w:tcW w:w="960" w:type="dxa"/>
            <w:vAlign w:val="bottom"/>
          </w:tcPr>
          <w:p>
            <w:pPr>
              <w:spacing w:after="0"/>
              <w:rPr>
                <w:sz w:val="17"/>
                <w:szCs w:val="17"/>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40"/>
          <w:szCs w:val="40"/>
          <w:b w:val="1"/>
          <w:bCs w:val="1"/>
          <w:color w:val="EE2724"/>
        </w:rPr>
        <w:t>Management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2720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186" w:lineRule="exact"/>
        <w:rPr>
          <w:sz w:val="20"/>
          <w:szCs w:val="20"/>
          <w:color w:val="auto"/>
        </w:rPr>
      </w:pPr>
    </w:p>
    <w:p>
      <w:pPr>
        <w:ind w:right="500"/>
        <w:spacing w:after="0" w:line="278" w:lineRule="auto"/>
        <w:rPr>
          <w:sz w:val="20"/>
          <w:szCs w:val="20"/>
          <w:color w:val="auto"/>
        </w:rPr>
      </w:pPr>
      <w:r>
        <w:rPr>
          <w:rFonts w:ascii="Arial" w:cs="Arial" w:eastAsia="Arial" w:hAnsi="Arial"/>
          <w:sz w:val="29"/>
          <w:szCs w:val="29"/>
          <w:b w:val="1"/>
          <w:bCs w:val="1"/>
          <w:color w:val="FF0000"/>
        </w:rPr>
        <w:t>Item 4. Proposal to Amend the Company's Articles of Incorporation to Eliminate the Classified Board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wp:posOffset>
            </wp:positionV>
            <wp:extent cx="72720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165"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 company’s articles of incorporation provide that the board of directors is divided into three classes, with each class elected every three years. On the recommendation of the Directors and Corporate Governance Committee, the board has approved, and recommends that the shareholders approve, amendments to provide for the declassification of the company's board. This proposal was brought before shareholders each year between 2007 and 2012, receiving the vote of a strong majority of the outstanding shares at each meeting; however, the proposal requires the vote of 80 percent of the outstanding shares to pass.</w:t>
      </w:r>
    </w:p>
    <w:p>
      <w:pPr>
        <w:spacing w:after="0" w:line="206"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If approved, this proposal would become effective upon the filing of amended and restated articles of incorporation with the Secretary of State of Indiana, which the company would do promptly after shareholder approval is obtained. Directors elected prior to the effectiveness of the amendments would stand for election for one-year terms once their then-current terms expire. This means that directors whose terms expire at the 2019 and 2020 annual meetings of shareholders would be elected for one-year terms, and beginning with the 2021 annual meeting, all directors would be elected for one-year terms at each annual meeting. In the case of any vacancy on the board occurring after the 2018 annual meeting created by an increase in the number of directors, the vacancy would be filled through an interim election by the board with the new director to serve a term ending at the next annual meeting. Vacancies created by resignation, removal, or death would be filled by interim election of the board for a term until the end of the term of the director being replaced. This proposal would not change the present number of directors or the board’s authority to change that number and to fill any vacancies or newly-created directorships.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of Proposal</w:t>
      </w:r>
    </w:p>
    <w:p>
      <w:pPr>
        <w:spacing w:after="0" w:line="31"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 xml:space="preserve">As part of its ongoing review of corporate governance matters, the board, assisted by the Directors and Corporate Governance Committee, considered the advantages and disadvantages of maintaining the classified board structure and eliminating supermajority voting provisions of the articles of incorporation (see </w:t>
      </w:r>
      <w:r>
        <w:rPr>
          <w:rFonts w:ascii="Arial" w:cs="Arial" w:eastAsia="Arial" w:hAnsi="Arial"/>
          <w:sz w:val="18"/>
          <w:szCs w:val="18"/>
          <w:u w:val="single" w:color="auto"/>
          <w:color w:val="auto"/>
        </w:rPr>
        <w:t>Item 5</w:t>
      </w:r>
      <w:r>
        <w:rPr>
          <w:rFonts w:ascii="Arial" w:cs="Arial" w:eastAsia="Arial" w:hAnsi="Arial"/>
          <w:sz w:val="18"/>
          <w:szCs w:val="18"/>
          <w:color w:val="auto"/>
        </w:rPr>
        <w:t xml:space="preserve"> below). The board considered the view of some shareholders who believe that classified boards have the effect of reducing the accountability of directors to shareholders because shareholders are unable to evaluate and elect all directors on an annual basis. The board gave considerable weight to the approval at the 2006 annual meeting of a shareholder proposal requesting that the board take all necessary steps to elect the directors annually, and to the favorable votes of a strong majority of the outstanding shares for management’s proposals in each of the following six years.</w:t>
      </w: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P65</w:t>
      </w:r>
    </w:p>
    <w:p>
      <w:pPr>
        <w:sectPr>
          <w:pgSz w:w="11900" w:h="16838" w:orient="portrait"/>
          <w:cols w:equalWidth="0" w:num="1">
            <w:col w:w="11420"/>
          </w:cols>
          <w:pgMar w:left="240" w:top="576" w:right="239" w:bottom="1440" w:gutter="0" w:footer="0" w:header="0"/>
        </w:sectPr>
      </w:pPr>
    </w:p>
    <w:bookmarkStart w:id="69" w:name="page70"/>
    <w:bookmarkEnd w:id="69"/>
    <w:p>
      <w:pPr>
        <w:ind w:right="40"/>
        <w:spacing w:after="0" w:line="252" w:lineRule="auto"/>
        <w:rPr>
          <w:sz w:val="20"/>
          <w:szCs w:val="20"/>
          <w:color w:val="auto"/>
        </w:rPr>
      </w:pPr>
      <w:r>
        <w:rPr>
          <w:rFonts w:ascii="Arial" w:cs="Arial" w:eastAsia="Arial" w:hAnsi="Arial"/>
          <w:sz w:val="18"/>
          <w:szCs w:val="18"/>
          <w:color w:val="auto"/>
        </w:rPr>
        <w:t>The board also considered benefits of retaining the classified board structure, which has a long history in corporate law. A classified structure may provide continuity and stability in the management of the business and affairs of the company because a majority of directors always has prior experience as directors of the company. In some circumstances classified boards may enhance shareholder value by forcing an entity seeking control of the company to initiate discussions at arm’s length with the board of the company, because the entity cannot replace the entire board in a single election. The board also considered that even without a classified board (and without the supermajority voting requirements, which the board also recommends eliminating), the company has defenses that work together to discourage a would-be acquirer from proceeding with a proposal that undervalues the company and to assist the board in responding to such proposals. These defenses include other provisions of the company’s articles of incorporation and bylaws as well as certain provisions of Indiana corporation law.</w:t>
      </w:r>
    </w:p>
    <w:p>
      <w:pPr>
        <w:spacing w:after="0" w:line="206" w:lineRule="exact"/>
        <w:rPr>
          <w:sz w:val="20"/>
          <w:szCs w:val="20"/>
          <w:color w:val="auto"/>
        </w:rPr>
      </w:pPr>
    </w:p>
    <w:p>
      <w:pPr>
        <w:ind w:right="460"/>
        <w:spacing w:after="0" w:line="256" w:lineRule="auto"/>
        <w:rPr>
          <w:sz w:val="20"/>
          <w:szCs w:val="20"/>
          <w:color w:val="auto"/>
        </w:rPr>
      </w:pPr>
      <w:r>
        <w:rPr>
          <w:rFonts w:ascii="Arial" w:cs="Arial" w:eastAsia="Arial" w:hAnsi="Arial"/>
          <w:sz w:val="18"/>
          <w:szCs w:val="18"/>
          <w:color w:val="auto"/>
        </w:rPr>
        <w:t>The board believes it is important to maintain appropriate defenses to inadequate takeover bids, but also important to retain shareholder confidence by demonstrating that the board is accountable and responsive to shareholders. After balancing these interests, the board has decided to resubmit this proposal to eliminate the classified board structure.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Text of Amendments</w:t>
      </w:r>
    </w:p>
    <w:p>
      <w:pPr>
        <w:spacing w:after="0" w:line="3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 xml:space="preserve">Article 9(b) of the company’s amended articles of incorporation contains the provisions that will be affected if this proposal is adopted. The amendments to the company's amended articles of incorporation, set forth in </w:t>
      </w:r>
      <w:r>
        <w:rPr>
          <w:rFonts w:ascii="Arial" w:cs="Arial" w:eastAsia="Arial" w:hAnsi="Arial"/>
          <w:sz w:val="18"/>
          <w:szCs w:val="18"/>
          <w:u w:val="single" w:color="auto"/>
          <w:color w:val="auto"/>
        </w:rPr>
        <w:t>Appendix B</w:t>
      </w:r>
      <w:r>
        <w:rPr>
          <w:rFonts w:ascii="Arial" w:cs="Arial" w:eastAsia="Arial" w:hAnsi="Arial"/>
          <w:sz w:val="18"/>
          <w:szCs w:val="18"/>
          <w:color w:val="auto"/>
        </w:rPr>
        <w:t xml:space="preserve"> to this proxy statement, shows the proposed changes with deletions indicated by strike-outs and additions indicated by underlining. The board has also adopted conforming amendments to the company’s bylaws, to be effective immediately upon the effectiveness of the amendments to the amended articles of incorporation.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The affirmative vote of at least 80 percent of the outstanding common shares is needed to pass this proposal.</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FF0000"/>
        </w:rPr>
        <w:t>Board Recommendation on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23" w:lineRule="exact"/>
        <w:rPr>
          <w:sz w:val="20"/>
          <w:szCs w:val="20"/>
          <w:color w:val="auto"/>
        </w:rPr>
      </w:pPr>
    </w:p>
    <w:p>
      <w:pPr>
        <w:jc w:val="both"/>
        <w:ind w:right="140"/>
        <w:spacing w:after="0" w:line="287" w:lineRule="auto"/>
        <w:rPr>
          <w:sz w:val="20"/>
          <w:szCs w:val="20"/>
          <w:color w:val="auto"/>
        </w:rPr>
      </w:pPr>
      <w:r>
        <w:rPr>
          <w:rFonts w:ascii="Arial" w:cs="Arial" w:eastAsia="Arial" w:hAnsi="Arial"/>
          <w:sz w:val="18"/>
          <w:szCs w:val="18"/>
          <w:b w:val="1"/>
          <w:bCs w:val="1"/>
          <w:color w:val="auto"/>
        </w:rPr>
        <w:t>The Board of Directors recommends that you vote FOR amending the company's articles of incorporation to eliminate the classified board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2720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59" w:lineRule="exact"/>
        <w:rPr>
          <w:sz w:val="20"/>
          <w:szCs w:val="20"/>
          <w:color w:val="auto"/>
        </w:rPr>
      </w:pPr>
    </w:p>
    <w:p>
      <w:pPr>
        <w:ind w:right="500"/>
        <w:spacing w:after="0" w:line="278" w:lineRule="auto"/>
        <w:rPr>
          <w:sz w:val="20"/>
          <w:szCs w:val="20"/>
          <w:color w:val="auto"/>
        </w:rPr>
      </w:pPr>
      <w:r>
        <w:rPr>
          <w:rFonts w:ascii="Arial" w:cs="Arial" w:eastAsia="Arial" w:hAnsi="Arial"/>
          <w:sz w:val="29"/>
          <w:szCs w:val="29"/>
          <w:b w:val="1"/>
          <w:bCs w:val="1"/>
          <w:color w:val="FF0000"/>
        </w:rPr>
        <w:t>Item 5. Proposal to Amend the Company's Articles of Incorporation to Eliminate Supermajority Voting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wp:posOffset>
            </wp:positionV>
            <wp:extent cx="72720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46"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Under the company’s articles of incorporation, nearly all matters submitted to a vote of shareholders can be adopted by a majority of the votes cast. However, our articles require a few fundamental corporate actions to be approved by the holders of 80 percent of the outstanding shares of common stock (a “supermajority vote”). Those actions are:</w:t>
      </w:r>
    </w:p>
    <w:p>
      <w:pPr>
        <w:spacing w:after="0" w:line="229" w:lineRule="exact"/>
        <w:rPr>
          <w:sz w:val="20"/>
          <w:szCs w:val="20"/>
          <w:color w:val="auto"/>
        </w:rPr>
      </w:pPr>
    </w:p>
    <w:p>
      <w:pPr>
        <w:ind w:left="480" w:right="1760" w:hanging="341"/>
        <w:spacing w:after="0" w:line="313" w:lineRule="auto"/>
        <w:tabs>
          <w:tab w:leader="none" w:pos="4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 xml:space="preserve">amending certain provisions of the articles of incorporation that relate to the number and terms of office of directors: —the company's classified board structure (as described under </w:t>
      </w:r>
      <w:r>
        <w:rPr>
          <w:rFonts w:ascii="Arial" w:cs="Arial" w:eastAsia="Arial" w:hAnsi="Arial"/>
          <w:sz w:val="18"/>
          <w:szCs w:val="18"/>
          <w:u w:val="single" w:color="auto"/>
          <w:color w:val="auto"/>
        </w:rPr>
        <w:t>Item 4</w:t>
      </w:r>
      <w:r>
        <w:rPr>
          <w:rFonts w:ascii="Arial" w:cs="Arial" w:eastAsia="Arial" w:hAnsi="Arial"/>
          <w:sz w:val="18"/>
          <w:szCs w:val="18"/>
          <w:color w:val="auto"/>
        </w:rPr>
        <w:t>, above)</w:t>
      </w:r>
    </w:p>
    <w:p>
      <w:pPr>
        <w:ind w:left="480"/>
        <w:spacing w:after="0"/>
        <w:rPr>
          <w:rFonts w:ascii="Arial" w:cs="Arial" w:eastAsia="Arial" w:hAnsi="Arial"/>
          <w:sz w:val="18"/>
          <w:szCs w:val="18"/>
          <w:color w:val="auto"/>
        </w:rPr>
      </w:pPr>
      <w:r>
        <w:rPr>
          <w:rFonts w:ascii="Arial" w:cs="Arial" w:eastAsia="Arial" w:hAnsi="Arial"/>
          <w:sz w:val="18"/>
          <w:szCs w:val="18"/>
          <w:color w:val="auto"/>
        </w:rPr>
        <w:t>—a provision that the number of directors shall be specified solely by resolution of the board of directors</w:t>
      </w:r>
    </w:p>
    <w:p>
      <w:pPr>
        <w:spacing w:after="0" w:line="63" w:lineRule="exact"/>
        <w:rPr>
          <w:rFonts w:ascii="Arial" w:cs="Arial" w:eastAsia="Arial" w:hAnsi="Arial"/>
          <w:sz w:val="18"/>
          <w:szCs w:val="18"/>
          <w:color w:val="auto"/>
        </w:rPr>
      </w:pPr>
    </w:p>
    <w:p>
      <w:pPr>
        <w:ind w:left="480" w:hanging="341"/>
        <w:spacing w:after="0"/>
        <w:tabs>
          <w:tab w:leader="none" w:pos="4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removing directors prior to the end of their elected term</w:t>
      </w:r>
    </w:p>
    <w:p>
      <w:pPr>
        <w:spacing w:after="0" w:line="63" w:lineRule="exact"/>
        <w:rPr>
          <w:rFonts w:ascii="Arial" w:cs="Arial" w:eastAsia="Arial" w:hAnsi="Arial"/>
          <w:sz w:val="18"/>
          <w:szCs w:val="18"/>
          <w:color w:val="auto"/>
        </w:rPr>
      </w:pPr>
    </w:p>
    <w:p>
      <w:pPr>
        <w:ind w:left="480" w:right="840" w:hanging="341"/>
        <w:spacing w:after="0"/>
        <w:tabs>
          <w:tab w:leader="none" w:pos="4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entering into mergers, consolidations, recapitalizations, or certain other business combinations with a "related person"—a party who has acquired at least five percent of the company's stock (other than the Lilly Endowment or a company benefit plan) without the prior approval of the board of directors</w:t>
      </w:r>
    </w:p>
    <w:p>
      <w:pPr>
        <w:spacing w:after="0" w:line="40" w:lineRule="exact"/>
        <w:rPr>
          <w:rFonts w:ascii="Arial" w:cs="Arial" w:eastAsia="Arial" w:hAnsi="Arial"/>
          <w:sz w:val="18"/>
          <w:szCs w:val="18"/>
          <w:color w:val="auto"/>
        </w:rPr>
      </w:pPr>
    </w:p>
    <w:p>
      <w:pPr>
        <w:ind w:left="480" w:hanging="341"/>
        <w:spacing w:after="0"/>
        <w:tabs>
          <w:tab w:leader="none" w:pos="4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modifying or eliminating any of the above supermajority voting requirements.</w:t>
      </w:r>
    </w:p>
    <w:p>
      <w:pPr>
        <w:spacing w:after="0" w:line="2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P66</w:t>
      </w:r>
    </w:p>
    <w:p>
      <w:pPr>
        <w:sectPr>
          <w:pgSz w:w="11900" w:h="16838" w:orient="portrait"/>
          <w:cols w:equalWidth="0" w:num="1">
            <w:col w:w="11420"/>
          </w:cols>
          <w:pgMar w:left="240" w:top="598"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Background of Proposal</w:t>
      </w:r>
    </w:p>
    <w:p>
      <w:pPr>
        <w:spacing w:after="0" w:line="31" w:lineRule="exact"/>
        <w:rPr>
          <w:sz w:val="20"/>
          <w:szCs w:val="20"/>
          <w:color w:val="auto"/>
        </w:rPr>
      </w:pPr>
    </w:p>
    <w:p>
      <w:pPr>
        <w:ind w:right="320"/>
        <w:spacing w:after="0" w:line="254" w:lineRule="auto"/>
        <w:rPr>
          <w:sz w:val="20"/>
          <w:szCs w:val="20"/>
          <w:color w:val="auto"/>
        </w:rPr>
      </w:pPr>
      <w:r>
        <w:rPr>
          <w:rFonts w:ascii="Arial" w:cs="Arial" w:eastAsia="Arial" w:hAnsi="Arial"/>
          <w:sz w:val="18"/>
          <w:szCs w:val="18"/>
          <w:color w:val="auto"/>
        </w:rPr>
        <w:t>This proposal is the result of the board’s ongoing review of corporate governance matters. In 2007 through 2009, shareholder proposals requesting that the board take action to eliminate all supermajority voting provisions were supported by a majority of votes cast. In 2010 through 2012, the board responded by submitting proposals seeking shareholder approval to eliminate the provisions. In all three years, the proposal received the votes of a strong majority of the outstanding shares, but fell short of the required 80 percent.</w:t>
      </w:r>
    </w:p>
    <w:p>
      <w:pPr>
        <w:spacing w:after="0" w:line="20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Assisted by the Directors and Corporate Governance Committee, the board considered the advantages and disadvantages of maintaining the supermajority voting requirements. The board considered that under certain circumstances, supermajority voting provisions can provide benefits to the company. The provisions can make it more difficult for one or a few large shareholders to take over or restructure the company without negotiating with the board. In the event of an unsolicited bid to take over or restructure the company, supermajority voting provisions may encourage bidders to negotiate with the board and increase the board’s negotiating leverage on behalf of the shareholders. They can also give the board time to consider alternatives that might provide greater value for all shareholders.</w:t>
      </w:r>
    </w:p>
    <w:p>
      <w:pPr>
        <w:spacing w:after="0" w:line="20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board also considered the potential benefits of eliminating the supermajority voting provisions. While it is important to the company’s long-term success for the board to maintain appropriate defenses against inadequate takeover bids, it is also important for the board to maintain shareholder confidence by demonstrating that it is responsive and accountable to shareholders and committed to strong corporate governance. This requires the board to carefully balance sometimes competing interests. In this regard, the board gave considerable weight to the fact that a substantial majority of shares voted have supported eliminating the supermajority voting provisions. Many shareholders believe that supermajority voting provisions impede accountability to shareholders and contribute to board and management entrenchment.</w:t>
      </w:r>
    </w:p>
    <w:p>
      <w:pPr>
        <w:spacing w:after="0" w:line="209"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The board also considered that even without the supermajority vote (and without the classified board, which the board also recommends eliminating), the company has defenses that work together to discourage a would-be acquirer from proceeding with a proposal that undervalues the company and to assist the board in responding to such proposals. These defenses include other provisions of the company’s articles of incorporation and bylaws as well as certain provisions of Indiana corporation law.</w:t>
      </w:r>
    </w:p>
    <w:p>
      <w:pPr>
        <w:spacing w:after="0" w:line="204"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Therefore, the board believes the balance of interests is best served by recommending to shareholders that the articles of incorporation be amended to eliminate the supermajority voting provisions. By recommending these amendments, the board is demonstrating its accountability and willingness to take steps that address shareholder-expressed concerns.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Text of Amendments</w:t>
      </w:r>
    </w:p>
    <w:p>
      <w:pPr>
        <w:spacing w:after="0" w:line="31" w:lineRule="exact"/>
        <w:rPr>
          <w:sz w:val="20"/>
          <w:szCs w:val="20"/>
          <w:color w:val="auto"/>
        </w:rPr>
      </w:pPr>
    </w:p>
    <w:p>
      <w:pPr>
        <w:ind w:right="500"/>
        <w:spacing w:after="0" w:line="256" w:lineRule="auto"/>
        <w:rPr>
          <w:sz w:val="20"/>
          <w:szCs w:val="20"/>
          <w:color w:val="auto"/>
        </w:rPr>
      </w:pPr>
      <w:r>
        <w:rPr>
          <w:rFonts w:ascii="Arial" w:cs="Arial" w:eastAsia="Arial" w:hAnsi="Arial"/>
          <w:sz w:val="18"/>
          <w:szCs w:val="18"/>
          <w:color w:val="auto"/>
        </w:rPr>
        <w:t xml:space="preserve">Articles 9(c), 9(d), and 13 of the company’s amended articles of incorporation contain the provisions that will be affected if this proposal is adopted. The amendments to the company’s amended articles of incorporation set forth in </w:t>
      </w:r>
      <w:r>
        <w:rPr>
          <w:rFonts w:ascii="Arial" w:cs="Arial" w:eastAsia="Arial" w:hAnsi="Arial"/>
          <w:sz w:val="18"/>
          <w:szCs w:val="18"/>
          <w:u w:val="single" w:color="auto"/>
          <w:color w:val="auto"/>
        </w:rPr>
        <w:t>Appendix B</w:t>
      </w:r>
      <w:r>
        <w:rPr>
          <w:rFonts w:ascii="Arial" w:cs="Arial" w:eastAsia="Arial" w:hAnsi="Arial"/>
          <w:sz w:val="18"/>
          <w:szCs w:val="18"/>
          <w:color w:val="auto"/>
        </w:rPr>
        <w:t xml:space="preserve"> to this proxy statement show the proposed changes with deletions indicated by strike-outs and additions indicated by underlining.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The affirmative vote of at least 80 percent of the outstanding common shares is needed to pass this proposal.</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FF0000"/>
        </w:rPr>
        <w:t>Board Recommendation on Item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23"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b w:val="1"/>
          <w:bCs w:val="1"/>
          <w:color w:val="auto"/>
        </w:rPr>
        <w:t>The Board of Directors recommends that you vote FOR amending the company's articles of incorporation to eliminate supermajority voting provisions.</w:t>
      </w:r>
    </w:p>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P67</w:t>
      </w:r>
    </w:p>
    <w:p>
      <w:pPr>
        <w:sectPr>
          <w:pgSz w:w="11900" w:h="16838" w:orient="portrait"/>
          <w:cols w:equalWidth="0" w:num="1">
            <w:col w:w="11420"/>
          </w:cols>
          <w:pgMar w:left="240" w:top="738" w:right="239" w:bottom="1440" w:gutter="0" w:footer="0" w:header="0"/>
        </w:sectPr>
      </w:pPr>
    </w:p>
    <w:bookmarkStart w:id="71" w:name="page72"/>
    <w:bookmarkEnd w:id="71"/>
    <w:p>
      <w:pPr>
        <w:spacing w:after="0"/>
        <w:rPr>
          <w:sz w:val="20"/>
          <w:szCs w:val="20"/>
          <w:color w:val="auto"/>
        </w:rPr>
      </w:pPr>
      <w:r>
        <w:rPr>
          <w:rFonts w:ascii="Arial" w:cs="Arial" w:eastAsia="Arial" w:hAnsi="Arial"/>
          <w:sz w:val="28"/>
          <w:szCs w:val="28"/>
          <w:b w:val="1"/>
          <w:bCs w:val="1"/>
          <w:color w:val="FF0000"/>
        </w:rPr>
        <w:drawing>
          <wp:anchor simplePos="0" relativeHeight="251657728" behindDoc="1" locked="0" layoutInCell="0" allowOverlap="1">
            <wp:simplePos x="0" y="0"/>
            <wp:positionH relativeFrom="page">
              <wp:posOffset>144780</wp:posOffset>
            </wp:positionH>
            <wp:positionV relativeFrom="page">
              <wp:posOffset>436245</wp:posOffset>
            </wp:positionV>
            <wp:extent cx="72720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t>Item 6. Proposal to Approve the Amended and Restated 2002 Lilly Stock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91440</wp:posOffset>
            </wp:positionV>
            <wp:extent cx="72720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02" w:right="239" w:bottom="1440" w:gutter="0" w:footer="0" w:header="0"/>
        </w:sect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of Proposal</w:t>
      </w:r>
    </w:p>
    <w:p>
      <w:pPr>
        <w:spacing w:after="0" w:line="31"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As the 2002 Lilly Stock Plan (the “</w:t>
      </w:r>
      <w:r>
        <w:rPr>
          <w:rFonts w:ascii="Arial" w:cs="Arial" w:eastAsia="Arial" w:hAnsi="Arial"/>
          <w:sz w:val="18"/>
          <w:szCs w:val="18"/>
          <w:b w:val="1"/>
          <w:bCs w:val="1"/>
          <w:color w:val="auto"/>
        </w:rPr>
        <w:t>2002 Plan</w:t>
      </w:r>
      <w:r>
        <w:rPr>
          <w:rFonts w:ascii="Arial" w:cs="Arial" w:eastAsia="Arial" w:hAnsi="Arial"/>
          <w:sz w:val="18"/>
          <w:szCs w:val="18"/>
          <w:color w:val="auto"/>
        </w:rPr>
        <w:t xml:space="preserve">”) nears its April 20, 2020 expiration date, we are asking our shareholders to approve an amendment and restatement of the 2002 Plan (the “Amended 2002 Plan”). The Amended 2002 Plan provides for a </w:t>
      </w:r>
      <w:r>
        <w:rPr>
          <w:rFonts w:ascii="Arial" w:cs="Arial" w:eastAsia="Arial" w:hAnsi="Arial"/>
          <w:sz w:val="18"/>
          <w:szCs w:val="18"/>
          <w:i w:val="1"/>
          <w:iCs w:val="1"/>
          <w:color w:val="auto"/>
        </w:rPr>
        <w:t>decrease</w:t>
      </w:r>
      <w:r>
        <w:rPr>
          <w:rFonts w:ascii="Arial" w:cs="Arial" w:eastAsia="Arial" w:hAnsi="Arial"/>
          <w:sz w:val="18"/>
          <w:szCs w:val="18"/>
          <w:color w:val="auto"/>
        </w:rPr>
        <w:t xml:space="preserve"> – not an increase</w:t>
      </w:r>
    </w:p>
    <w:p>
      <w:pPr>
        <w:spacing w:after="0" w:line="1"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 in the number of shares of common stock available for issuance. Further, the Amended 2002 Plan eliminates certain provisions related to Section 162(m) of the Internal Revenue Code that are no longer applicable in light of tax legislation that was recently enacted while retaining a framework to continue to grant performance-based awards.</w:t>
      </w:r>
    </w:p>
    <w:p>
      <w:pPr>
        <w:spacing w:after="0" w:line="202"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As of February 16, 2018, there were no options outstanding under the 2002 Plan, and 11,753,977 full value awards that were unvested and outstanding.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Changes to the 2002 Plan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summary highlights the proposed material changes to the 2002 Plan.</w:t>
      </w:r>
    </w:p>
    <w:p>
      <w:pPr>
        <w:spacing w:after="0" w:line="225" w:lineRule="exact"/>
        <w:rPr>
          <w:sz w:val="20"/>
          <w:szCs w:val="20"/>
          <w:color w:val="auto"/>
        </w:rPr>
      </w:pPr>
    </w:p>
    <w:p>
      <w:pPr>
        <w:ind w:left="980" w:hanging="319"/>
        <w:spacing w:after="0" w:line="262" w:lineRule="auto"/>
        <w:tabs>
          <w:tab w:leader="none" w:pos="960" w:val="left"/>
        </w:tabs>
        <w:rPr>
          <w:sz w:val="20"/>
          <w:szCs w:val="20"/>
          <w:color w:val="auto"/>
        </w:rPr>
      </w:pPr>
      <w:r>
        <w:rPr>
          <w:rFonts w:ascii="Arial" w:cs="Arial" w:eastAsia="Arial" w:hAnsi="Arial"/>
          <w:sz w:val="18"/>
          <w:szCs w:val="18"/>
          <w:color w:val="auto"/>
        </w:rPr>
        <w:t>•</w:t>
        <w:tab/>
        <w:t xml:space="preserve">53,000,000 shares of common stock would be available for issuance pursuant to future awards granted on or following the effective date of the Amended 2002 Plan. This represents a </w:t>
      </w:r>
      <w:r>
        <w:rPr>
          <w:rFonts w:ascii="Arial" w:cs="Arial" w:eastAsia="Arial" w:hAnsi="Arial"/>
          <w:sz w:val="18"/>
          <w:szCs w:val="18"/>
          <w:i w:val="1"/>
          <w:iCs w:val="1"/>
          <w:color w:val="auto"/>
        </w:rPr>
        <w:t>decrease</w:t>
      </w:r>
      <w:r>
        <w:rPr>
          <w:rFonts w:ascii="Arial" w:cs="Arial" w:eastAsia="Arial" w:hAnsi="Arial"/>
          <w:sz w:val="18"/>
          <w:szCs w:val="18"/>
          <w:color w:val="auto"/>
        </w:rPr>
        <w:t xml:space="preserve"> in the number of shares reserved for issuance under the plan:</w:t>
      </w:r>
    </w:p>
    <w:p>
      <w:pPr>
        <w:spacing w:after="0" w:line="96" w:lineRule="exact"/>
        <w:rPr>
          <w:sz w:val="20"/>
          <w:szCs w:val="20"/>
          <w:color w:val="auto"/>
        </w:rPr>
      </w:pPr>
    </w:p>
    <w:tbl>
      <w:tblPr>
        <w:tblLayout w:type="fixed"/>
        <w:tblInd w:w="980" w:type="dxa"/>
        <w:tblCellMar>
          <w:top w:w="0" w:type="dxa"/>
          <w:left w:w="0" w:type="dxa"/>
          <w:bottom w:w="0" w:type="dxa"/>
          <w:right w:w="0" w:type="dxa"/>
        </w:tblCellMar>
      </w:tblPr>
      <w:tr>
        <w:trPr>
          <w:trHeight w:val="211"/>
        </w:trPr>
        <w:tc>
          <w:tcPr>
            <w:tcW w:w="40" w:type="dxa"/>
            <w:vAlign w:val="bottom"/>
            <w:tcBorders>
              <w:right w:val="single" w:sz="8" w:color="00000A"/>
            </w:tcBorders>
          </w:tcPr>
          <w:p>
            <w:pPr>
              <w:spacing w:after="0"/>
              <w:rPr>
                <w:sz w:val="18"/>
                <w:szCs w:val="18"/>
                <w:color w:val="auto"/>
              </w:rPr>
            </w:pPr>
          </w:p>
        </w:tc>
        <w:tc>
          <w:tcPr>
            <w:tcW w:w="2320" w:type="dxa"/>
            <w:vAlign w:val="bottom"/>
            <w:tcBorders>
              <w:top w:val="single" w:sz="8" w:color="00000A"/>
              <w:right w:val="single" w:sz="8" w:color="00000A"/>
            </w:tcBorders>
          </w:tcPr>
          <w:p>
            <w:pPr>
              <w:spacing w:after="0"/>
              <w:rPr>
                <w:sz w:val="18"/>
                <w:szCs w:val="18"/>
                <w:color w:val="auto"/>
              </w:rPr>
            </w:pPr>
          </w:p>
        </w:tc>
        <w:tc>
          <w:tcPr>
            <w:tcW w:w="2580" w:type="dxa"/>
            <w:vAlign w:val="bottom"/>
            <w:tcBorders>
              <w:top w:val="single" w:sz="8" w:color="00000A"/>
              <w:right w:val="single" w:sz="8" w:color="00000A"/>
            </w:tcBorders>
          </w:tcPr>
          <w:p>
            <w:pPr>
              <w:jc w:val="right"/>
              <w:spacing w:after="0"/>
              <w:rPr>
                <w:sz w:val="20"/>
                <w:szCs w:val="20"/>
                <w:color w:val="auto"/>
              </w:rPr>
            </w:pPr>
            <w:r>
              <w:rPr>
                <w:rFonts w:ascii="Arial" w:cs="Arial" w:eastAsia="Arial" w:hAnsi="Arial"/>
                <w:sz w:val="16"/>
                <w:szCs w:val="16"/>
                <w:b w:val="1"/>
                <w:bCs w:val="1"/>
                <w:color w:val="auto"/>
              </w:rPr>
              <w:t>Immediately Prior to</w:t>
            </w:r>
          </w:p>
        </w:tc>
        <w:tc>
          <w:tcPr>
            <w:tcW w:w="1720" w:type="dxa"/>
            <w:vAlign w:val="bottom"/>
            <w:tcBorders>
              <w:top w:val="single" w:sz="8" w:color="00000A"/>
              <w:right w:val="single" w:sz="8" w:color="00000A"/>
            </w:tcBorders>
          </w:tcPr>
          <w:p>
            <w:pPr>
              <w:jc w:val="right"/>
              <w:spacing w:after="0"/>
              <w:rPr>
                <w:sz w:val="20"/>
                <w:szCs w:val="20"/>
                <w:color w:val="auto"/>
              </w:rPr>
            </w:pPr>
            <w:r>
              <w:rPr>
                <w:rFonts w:ascii="Arial" w:cs="Arial" w:eastAsia="Arial" w:hAnsi="Arial"/>
                <w:sz w:val="16"/>
                <w:szCs w:val="16"/>
                <w:b w:val="1"/>
                <w:bCs w:val="1"/>
                <w:color w:val="auto"/>
              </w:rPr>
              <w:t>After Shareholder</w:t>
            </w:r>
          </w:p>
        </w:tc>
        <w:tc>
          <w:tcPr>
            <w:tcW w:w="2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 w:type="dxa"/>
            <w:vAlign w:val="bottom"/>
            <w:tcBorders>
              <w:right w:val="single" w:sz="8" w:color="00000A"/>
            </w:tcBorders>
          </w:tcPr>
          <w:p>
            <w:pPr>
              <w:spacing w:after="0"/>
              <w:rPr>
                <w:sz w:val="19"/>
                <w:szCs w:val="19"/>
                <w:color w:val="auto"/>
              </w:rPr>
            </w:pPr>
          </w:p>
        </w:tc>
        <w:tc>
          <w:tcPr>
            <w:tcW w:w="2320" w:type="dxa"/>
            <w:vAlign w:val="bottom"/>
            <w:tcBorders>
              <w:bottom w:val="single" w:sz="8" w:color="00000A"/>
              <w:right w:val="single" w:sz="8" w:color="00000A"/>
            </w:tcBorders>
          </w:tcPr>
          <w:p>
            <w:pPr>
              <w:spacing w:after="0"/>
              <w:rPr>
                <w:sz w:val="19"/>
                <w:szCs w:val="19"/>
                <w:color w:val="auto"/>
              </w:rPr>
            </w:pPr>
          </w:p>
        </w:tc>
        <w:tc>
          <w:tcPr>
            <w:tcW w:w="2580" w:type="dxa"/>
            <w:vAlign w:val="bottom"/>
            <w:tcBorders>
              <w:bottom w:val="single" w:sz="8" w:color="00000A"/>
              <w:right w:val="single" w:sz="8" w:color="00000A"/>
            </w:tcBorders>
          </w:tcPr>
          <w:p>
            <w:pPr>
              <w:jc w:val="right"/>
              <w:spacing w:after="0"/>
              <w:rPr>
                <w:sz w:val="20"/>
                <w:szCs w:val="20"/>
                <w:color w:val="auto"/>
              </w:rPr>
            </w:pPr>
            <w:r>
              <w:rPr>
                <w:rFonts w:ascii="Arial" w:cs="Arial" w:eastAsia="Arial" w:hAnsi="Arial"/>
                <w:sz w:val="16"/>
                <w:szCs w:val="16"/>
                <w:b w:val="1"/>
                <w:bCs w:val="1"/>
                <w:color w:val="auto"/>
              </w:rPr>
              <w:t>Shareholder Approval</w:t>
            </w:r>
          </w:p>
        </w:tc>
        <w:tc>
          <w:tcPr>
            <w:tcW w:w="1720" w:type="dxa"/>
            <w:vAlign w:val="bottom"/>
            <w:tcBorders>
              <w:bottom w:val="single" w:sz="8" w:color="00000A"/>
              <w:right w:val="single" w:sz="8" w:color="00000A"/>
            </w:tcBorders>
          </w:tcPr>
          <w:p>
            <w:pPr>
              <w:jc w:val="right"/>
              <w:spacing w:after="0"/>
              <w:rPr>
                <w:sz w:val="20"/>
                <w:szCs w:val="20"/>
                <w:color w:val="auto"/>
              </w:rPr>
            </w:pPr>
            <w:r>
              <w:rPr>
                <w:rFonts w:ascii="Arial" w:cs="Arial" w:eastAsia="Arial" w:hAnsi="Arial"/>
                <w:sz w:val="16"/>
                <w:szCs w:val="16"/>
                <w:b w:val="1"/>
                <w:bCs w:val="1"/>
                <w:color w:val="auto"/>
              </w:rPr>
              <w:t>Approval</w:t>
            </w:r>
          </w:p>
        </w:tc>
        <w:tc>
          <w:tcPr>
            <w:tcW w:w="2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right w:val="single" w:sz="8" w:color="00000A"/>
            </w:tcBorders>
          </w:tcPr>
          <w:p>
            <w:pPr>
              <w:spacing w:after="0"/>
              <w:rPr>
                <w:sz w:val="20"/>
                <w:szCs w:val="20"/>
                <w:color w:val="auto"/>
              </w:rPr>
            </w:pPr>
          </w:p>
        </w:tc>
        <w:tc>
          <w:tcPr>
            <w:tcW w:w="232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16"/>
                <w:szCs w:val="16"/>
                <w:b w:val="1"/>
                <w:bCs w:val="1"/>
                <w:color w:val="auto"/>
              </w:rPr>
              <w:t>Authorized Shares</w:t>
            </w:r>
          </w:p>
        </w:tc>
        <w:tc>
          <w:tcPr>
            <w:tcW w:w="2580" w:type="dxa"/>
            <w:vAlign w:val="bottom"/>
            <w:tcBorders>
              <w:bottom w:val="single" w:sz="8" w:color="00000A"/>
              <w:right w:val="single" w:sz="8" w:color="00000A"/>
            </w:tcBorders>
          </w:tcPr>
          <w:p>
            <w:pPr>
              <w:jc w:val="right"/>
              <w:spacing w:after="0"/>
              <w:rPr>
                <w:sz w:val="20"/>
                <w:szCs w:val="20"/>
                <w:color w:val="auto"/>
              </w:rPr>
            </w:pPr>
            <w:r>
              <w:rPr>
                <w:rFonts w:ascii="Arial" w:cs="Arial" w:eastAsia="Arial" w:hAnsi="Arial"/>
                <w:sz w:val="16"/>
                <w:szCs w:val="16"/>
                <w:color w:val="auto"/>
              </w:rPr>
              <w:t>119,000,000*</w:t>
            </w:r>
          </w:p>
        </w:tc>
        <w:tc>
          <w:tcPr>
            <w:tcW w:w="1720" w:type="dxa"/>
            <w:vAlign w:val="bottom"/>
            <w:tcBorders>
              <w:bottom w:val="single" w:sz="8" w:color="00000A"/>
              <w:right w:val="single" w:sz="8" w:color="00000A"/>
            </w:tcBorders>
          </w:tcPr>
          <w:p>
            <w:pPr>
              <w:jc w:val="right"/>
              <w:spacing w:after="0"/>
              <w:rPr>
                <w:sz w:val="20"/>
                <w:szCs w:val="20"/>
                <w:color w:val="auto"/>
              </w:rPr>
            </w:pPr>
            <w:r>
              <w:rPr>
                <w:rFonts w:ascii="Arial" w:cs="Arial" w:eastAsia="Arial" w:hAnsi="Arial"/>
                <w:sz w:val="16"/>
                <w:szCs w:val="16"/>
                <w:color w:val="auto"/>
              </w:rPr>
              <w:t>75,657,296*</w:t>
            </w:r>
          </w:p>
        </w:tc>
        <w:tc>
          <w:tcPr>
            <w:tcW w:w="2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00000A"/>
            </w:tcBorders>
          </w:tcPr>
          <w:p>
            <w:pPr>
              <w:spacing w:after="0"/>
              <w:rPr>
                <w:sz w:val="19"/>
                <w:szCs w:val="19"/>
                <w:color w:val="auto"/>
              </w:rPr>
            </w:pPr>
          </w:p>
        </w:tc>
        <w:tc>
          <w:tcPr>
            <w:tcW w:w="2320" w:type="dxa"/>
            <w:vAlign w:val="bottom"/>
            <w:tcBorders>
              <w:right w:val="single" w:sz="8" w:color="00000A"/>
            </w:tcBorders>
            <w:vMerge w:val="restart"/>
          </w:tcPr>
          <w:p>
            <w:pPr>
              <w:spacing w:after="0"/>
              <w:rPr>
                <w:sz w:val="20"/>
                <w:szCs w:val="20"/>
                <w:color w:val="auto"/>
              </w:rPr>
            </w:pPr>
            <w:r>
              <w:rPr>
                <w:rFonts w:ascii="Arial" w:cs="Arial" w:eastAsia="Arial" w:hAnsi="Arial"/>
                <w:sz w:val="16"/>
                <w:szCs w:val="16"/>
                <w:b w:val="1"/>
                <w:bCs w:val="1"/>
                <w:color w:val="auto"/>
              </w:rPr>
              <w:t>Shares Available to Grant</w:t>
            </w:r>
          </w:p>
        </w:tc>
        <w:tc>
          <w:tcPr>
            <w:tcW w:w="258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96,342,704</w:t>
            </w:r>
          </w:p>
        </w:tc>
        <w:tc>
          <w:tcPr>
            <w:tcW w:w="1720" w:type="dxa"/>
            <w:vAlign w:val="bottom"/>
            <w:tcBorders>
              <w:right w:val="single" w:sz="8" w:color="00000A"/>
            </w:tcBorders>
            <w:vMerge w:val="restart"/>
          </w:tcPr>
          <w:p>
            <w:pPr>
              <w:jc w:val="right"/>
              <w:spacing w:after="0"/>
              <w:rPr>
                <w:sz w:val="20"/>
                <w:szCs w:val="20"/>
                <w:color w:val="auto"/>
              </w:rPr>
            </w:pPr>
            <w:r>
              <w:rPr>
                <w:rFonts w:ascii="Arial" w:cs="Arial" w:eastAsia="Arial" w:hAnsi="Arial"/>
                <w:sz w:val="16"/>
                <w:szCs w:val="16"/>
                <w:color w:val="auto"/>
              </w:rPr>
              <w:t>53,000,000</w:t>
            </w:r>
          </w:p>
        </w:tc>
        <w:tc>
          <w:tcPr>
            <w:tcW w:w="2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5"/>
        </w:trPr>
        <w:tc>
          <w:tcPr>
            <w:tcW w:w="40" w:type="dxa"/>
            <w:vAlign w:val="bottom"/>
            <w:tcBorders>
              <w:right w:val="single" w:sz="8" w:color="00000A"/>
            </w:tcBorders>
          </w:tcPr>
          <w:p>
            <w:pPr>
              <w:spacing w:after="0"/>
              <w:rPr>
                <w:sz w:val="8"/>
                <w:szCs w:val="8"/>
                <w:color w:val="auto"/>
              </w:rPr>
            </w:pPr>
          </w:p>
        </w:tc>
        <w:tc>
          <w:tcPr>
            <w:tcW w:w="2320" w:type="dxa"/>
            <w:vAlign w:val="bottom"/>
            <w:tcBorders>
              <w:right w:val="single" w:sz="8" w:color="00000A"/>
            </w:tcBorders>
            <w:vMerge w:val="continue"/>
          </w:tcPr>
          <w:p>
            <w:pPr>
              <w:spacing w:after="0"/>
              <w:rPr>
                <w:sz w:val="8"/>
                <w:szCs w:val="8"/>
                <w:color w:val="auto"/>
              </w:rPr>
            </w:pPr>
          </w:p>
        </w:tc>
        <w:tc>
          <w:tcPr>
            <w:tcW w:w="2580" w:type="dxa"/>
            <w:vAlign w:val="bottom"/>
            <w:tcBorders>
              <w:right w:val="single" w:sz="8" w:color="00000A"/>
            </w:tcBorders>
          </w:tcPr>
          <w:p>
            <w:pPr>
              <w:spacing w:after="0"/>
              <w:rPr>
                <w:sz w:val="8"/>
                <w:szCs w:val="8"/>
                <w:color w:val="auto"/>
              </w:rPr>
            </w:pPr>
          </w:p>
        </w:tc>
        <w:tc>
          <w:tcPr>
            <w:tcW w:w="1720" w:type="dxa"/>
            <w:vAlign w:val="bottom"/>
            <w:tcBorders>
              <w:right w:val="single" w:sz="8" w:color="00000A"/>
            </w:tcBorders>
            <w:vMerge w:val="continue"/>
          </w:tcPr>
          <w:p>
            <w:pPr>
              <w:spacing w:after="0"/>
              <w:rPr>
                <w:sz w:val="8"/>
                <w:szCs w:val="8"/>
                <w:color w:val="auto"/>
              </w:rPr>
            </w:pPr>
          </w:p>
        </w:tc>
        <w:tc>
          <w:tcPr>
            <w:tcW w:w="2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40" w:type="dxa"/>
            <w:vAlign w:val="bottom"/>
            <w:tcBorders>
              <w:right w:val="single" w:sz="8" w:color="00000A"/>
            </w:tcBorders>
          </w:tcPr>
          <w:p>
            <w:pPr>
              <w:spacing w:after="0"/>
              <w:rPr>
                <w:sz w:val="9"/>
                <w:szCs w:val="9"/>
                <w:color w:val="auto"/>
              </w:rPr>
            </w:pPr>
          </w:p>
        </w:tc>
        <w:tc>
          <w:tcPr>
            <w:tcW w:w="2320" w:type="dxa"/>
            <w:vAlign w:val="bottom"/>
            <w:tcBorders>
              <w:bottom w:val="single" w:sz="8" w:color="00000A"/>
              <w:right w:val="single" w:sz="8" w:color="00000A"/>
            </w:tcBorders>
          </w:tcPr>
          <w:p>
            <w:pPr>
              <w:spacing w:after="0"/>
              <w:rPr>
                <w:sz w:val="9"/>
                <w:szCs w:val="9"/>
                <w:color w:val="auto"/>
              </w:rPr>
            </w:pPr>
          </w:p>
        </w:tc>
        <w:tc>
          <w:tcPr>
            <w:tcW w:w="2580" w:type="dxa"/>
            <w:vAlign w:val="bottom"/>
            <w:tcBorders>
              <w:bottom w:val="single" w:sz="8" w:color="00000A"/>
              <w:right w:val="single" w:sz="8" w:color="00000A"/>
            </w:tcBorders>
          </w:tcPr>
          <w:p>
            <w:pPr>
              <w:spacing w:after="0"/>
              <w:rPr>
                <w:sz w:val="9"/>
                <w:szCs w:val="9"/>
                <w:color w:val="auto"/>
              </w:rPr>
            </w:pPr>
          </w:p>
        </w:tc>
        <w:tc>
          <w:tcPr>
            <w:tcW w:w="1720" w:type="dxa"/>
            <w:vAlign w:val="bottom"/>
            <w:tcBorders>
              <w:bottom w:val="single" w:sz="8" w:color="00000A"/>
              <w:right w:val="single" w:sz="8" w:color="00000A"/>
            </w:tcBorders>
          </w:tcPr>
          <w:p>
            <w:pPr>
              <w:spacing w:after="0"/>
              <w:rPr>
                <w:sz w:val="9"/>
                <w:szCs w:val="9"/>
                <w:color w:val="auto"/>
              </w:rPr>
            </w:pPr>
          </w:p>
        </w:tc>
        <w:tc>
          <w:tcPr>
            <w:tcW w:w="2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9080" w:type="dxa"/>
            <w:vAlign w:val="bottom"/>
            <w:gridSpan w:val="4"/>
          </w:tcPr>
          <w:p>
            <w:pPr>
              <w:spacing w:after="0"/>
              <w:rPr>
                <w:sz w:val="20"/>
                <w:szCs w:val="20"/>
                <w:color w:val="auto"/>
              </w:rPr>
            </w:pPr>
            <w:r>
              <w:rPr>
                <w:rFonts w:ascii="Arial" w:cs="Arial" w:eastAsia="Arial" w:hAnsi="Arial"/>
                <w:sz w:val="18"/>
                <w:szCs w:val="18"/>
                <w:color w:val="auto"/>
                <w:w w:val="99"/>
              </w:rPr>
              <w:t>*plus shares available for issuance from prior plans, as approved by shareholders at the inception of the 2002 Plan</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980" w:right="360" w:hanging="319"/>
        <w:spacing w:after="0" w:line="262" w:lineRule="auto"/>
        <w:tabs>
          <w:tab w:leader="none" w:pos="960" w:val="left"/>
        </w:tabs>
        <w:rPr>
          <w:sz w:val="20"/>
          <w:szCs w:val="20"/>
          <w:color w:val="auto"/>
        </w:rPr>
      </w:pPr>
      <w:r>
        <w:rPr>
          <w:rFonts w:ascii="Arial" w:cs="Arial" w:eastAsia="Arial" w:hAnsi="Arial"/>
          <w:sz w:val="18"/>
          <w:szCs w:val="18"/>
          <w:color w:val="auto"/>
        </w:rPr>
        <w:t>•</w:t>
        <w:tab/>
        <w:t>Amendments have been made to improve our corporate governance and to comply with some of the policies recommended by shareholder advisors, including:</w:t>
      </w:r>
    </w:p>
    <w:p>
      <w:pPr>
        <w:spacing w:after="0" w:line="196" w:lineRule="exact"/>
        <w:rPr>
          <w:sz w:val="20"/>
          <w:szCs w:val="20"/>
          <w:color w:val="auto"/>
        </w:rPr>
      </w:pPr>
    </w:p>
    <w:p>
      <w:pPr>
        <w:ind w:left="1420" w:right="380" w:hanging="431"/>
        <w:spacing w:after="0" w:line="262" w:lineRule="auto"/>
        <w:rPr>
          <w:sz w:val="20"/>
          <w:szCs w:val="20"/>
          <w:color w:val="auto"/>
        </w:rPr>
      </w:pPr>
      <w:r>
        <w:rPr>
          <w:rFonts w:ascii="Arial" w:cs="Arial" w:eastAsia="Arial" w:hAnsi="Arial"/>
          <w:sz w:val="18"/>
          <w:szCs w:val="18"/>
          <w:color w:val="auto"/>
        </w:rPr>
        <w:t>oProvisions to preclude the payment of dividends or dividend equivalents on unvested restricted stock, restricted stock units or other share-based awards that are full-value awards; and</w:t>
      </w:r>
    </w:p>
    <w:p>
      <w:pPr>
        <w:spacing w:after="0" w:line="196" w:lineRule="exact"/>
        <w:rPr>
          <w:sz w:val="20"/>
          <w:szCs w:val="20"/>
          <w:color w:val="auto"/>
        </w:rPr>
      </w:pPr>
    </w:p>
    <w:p>
      <w:pPr>
        <w:ind w:left="1420" w:right="740" w:hanging="431"/>
        <w:spacing w:after="0" w:line="262" w:lineRule="auto"/>
        <w:rPr>
          <w:sz w:val="20"/>
          <w:szCs w:val="20"/>
          <w:color w:val="auto"/>
        </w:rPr>
      </w:pPr>
      <w:r>
        <w:rPr>
          <w:rFonts w:ascii="Arial" w:cs="Arial" w:eastAsia="Arial" w:hAnsi="Arial"/>
          <w:sz w:val="18"/>
          <w:szCs w:val="18"/>
          <w:color w:val="auto"/>
        </w:rPr>
        <w:t>oImposition of a minimum one-year vesting period for all awards other than a carve-out for up to 5% of the shares that are available for issuance as of the effective date of the Amended 2002 Plan.</w:t>
      </w:r>
    </w:p>
    <w:p>
      <w:pPr>
        <w:spacing w:after="0" w:line="196" w:lineRule="exact"/>
        <w:rPr>
          <w:sz w:val="20"/>
          <w:szCs w:val="20"/>
          <w:color w:val="auto"/>
        </w:rPr>
      </w:pPr>
    </w:p>
    <w:p>
      <w:pPr>
        <w:ind w:left="980" w:hanging="319"/>
        <w:spacing w:after="0" w:line="252" w:lineRule="auto"/>
        <w:tabs>
          <w:tab w:leader="none" w:pos="960" w:val="left"/>
        </w:tabs>
        <w:rPr>
          <w:sz w:val="20"/>
          <w:szCs w:val="20"/>
          <w:color w:val="auto"/>
        </w:rPr>
      </w:pPr>
      <w:r>
        <w:rPr>
          <w:rFonts w:ascii="Arial" w:cs="Arial" w:eastAsia="Arial" w:hAnsi="Arial"/>
          <w:sz w:val="18"/>
          <w:szCs w:val="18"/>
          <w:color w:val="auto"/>
        </w:rPr>
        <w:t>•</w:t>
        <w:tab/>
        <w:t>In light of the tax legislation that was recently enacted by Congress eliminating the performance-based exception from the deductibility limitations under Section 162(m) of the Internal Revenue Code, the requirements applicable to equity awards that were intended to constitute “qualified performance-based compensation” under Section 162(m) of the Internal Revenue Code have been eliminated. However, the Amended 2002 Plan retains a framework to grant performance-based awards that provides for requirements similar to those previously imposed on awards intended to constitute qualified performance-based compensation under Section 162(m).</w:t>
      </w:r>
    </w:p>
    <w:p>
      <w:pPr>
        <w:spacing w:after="0" w:line="209" w:lineRule="exact"/>
        <w:rPr>
          <w:sz w:val="20"/>
          <w:szCs w:val="20"/>
          <w:color w:val="auto"/>
        </w:rPr>
      </w:pPr>
    </w:p>
    <w:p>
      <w:pPr>
        <w:ind w:left="980" w:right="480" w:hanging="319"/>
        <w:spacing w:after="0" w:line="256" w:lineRule="auto"/>
        <w:tabs>
          <w:tab w:leader="none" w:pos="960" w:val="left"/>
        </w:tabs>
        <w:rPr>
          <w:sz w:val="20"/>
          <w:szCs w:val="20"/>
          <w:color w:val="auto"/>
        </w:rPr>
      </w:pPr>
      <w:r>
        <w:rPr>
          <w:rFonts w:ascii="Arial" w:cs="Arial" w:eastAsia="Arial" w:hAnsi="Arial"/>
          <w:sz w:val="18"/>
          <w:szCs w:val="18"/>
          <w:color w:val="auto"/>
        </w:rPr>
        <w:t>•</w:t>
        <w:tab/>
        <w:t>An annual limit has been imposed on the size of equity awards that may be granted to any non-employee director during a calendar year. The accounting value of equity awards, when aggregated with cash compensation, granted to a non-employee director in any calendar year may not exceed $800,000.</w:t>
      </w:r>
    </w:p>
    <w:p>
      <w:pPr>
        <w:spacing w:after="0" w:line="202" w:lineRule="exact"/>
        <w:rPr>
          <w:sz w:val="20"/>
          <w:szCs w:val="20"/>
          <w:color w:val="auto"/>
        </w:rPr>
      </w:pPr>
    </w:p>
    <w:p>
      <w:pPr>
        <w:ind w:left="980" w:right="580" w:hanging="319"/>
        <w:spacing w:after="0" w:line="262" w:lineRule="auto"/>
        <w:tabs>
          <w:tab w:leader="none" w:pos="960" w:val="left"/>
        </w:tabs>
        <w:rPr>
          <w:sz w:val="20"/>
          <w:szCs w:val="20"/>
          <w:color w:val="auto"/>
        </w:rPr>
      </w:pPr>
      <w:r>
        <w:rPr>
          <w:rFonts w:ascii="Arial" w:cs="Arial" w:eastAsia="Arial" w:hAnsi="Arial"/>
          <w:sz w:val="18"/>
          <w:szCs w:val="18"/>
          <w:color w:val="auto"/>
        </w:rPr>
        <w:t>•</w:t>
        <w:tab/>
        <w:t>A “clawback” provision has been added, permitting us to recover awards or payments from participants, including as may be required under the Dodd-Frank Act.</w:t>
      </w: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P68</w:t>
      </w:r>
    </w:p>
    <w:p>
      <w:pPr>
        <w:sectPr>
          <w:pgSz w:w="11900" w:h="16838" w:orient="portrait"/>
          <w:cols w:equalWidth="0" w:num="1">
            <w:col w:w="11420"/>
          </w:cols>
          <w:pgMar w:left="240" w:top="802" w:right="239" w:bottom="1440" w:gutter="0" w:footer="0" w:header="0"/>
          <w:type w:val="continuous"/>
        </w:sectPr>
      </w:pPr>
    </w:p>
    <w:bookmarkStart w:id="72" w:name="page73"/>
    <w:bookmarkEnd w:id="72"/>
    <w:p>
      <w:pPr>
        <w:ind w:left="980" w:right="240" w:hanging="324"/>
        <w:spacing w:after="0" w:line="291" w:lineRule="auto"/>
        <w:tabs>
          <w:tab w:leader="none" w:pos="98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To achieve consistency with our other change in control arrangements, the “Change in Control” definition has been revised to reflect a definition that is more consistent with the definition in the Eli Lilly and Company Change in Control Severance Pay Plan.</w:t>
      </w:r>
    </w:p>
    <w:p>
      <w:pPr>
        <w:spacing w:after="0" w:line="174" w:lineRule="exact"/>
        <w:rPr>
          <w:rFonts w:ascii="Arial" w:cs="Arial" w:eastAsia="Arial" w:hAnsi="Arial"/>
          <w:sz w:val="17"/>
          <w:szCs w:val="17"/>
          <w:color w:val="auto"/>
        </w:rPr>
      </w:pPr>
    </w:p>
    <w:p>
      <w:pPr>
        <w:ind w:left="980" w:right="100" w:hanging="324"/>
        <w:spacing w:after="0" w:line="256" w:lineRule="auto"/>
        <w:tabs>
          <w:tab w:leader="none" w:pos="9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single-trigger change in control vesting acceleration provision applicable to time-based awards has been eliminated. The Amended 2002 Plan now provides that time-based awards will not vest in connection with a Change in Control unless they are not assumed, substituted or otherwise replaced.</w:t>
      </w:r>
    </w:p>
    <w:p>
      <w:pPr>
        <w:spacing w:after="0" w:line="201" w:lineRule="exact"/>
        <w:rPr>
          <w:rFonts w:ascii="Arial" w:cs="Arial" w:eastAsia="Arial" w:hAnsi="Arial"/>
          <w:sz w:val="18"/>
          <w:szCs w:val="18"/>
          <w:color w:val="auto"/>
        </w:rPr>
      </w:pPr>
    </w:p>
    <w:p>
      <w:pPr>
        <w:ind w:left="980" w:right="460" w:hanging="324"/>
        <w:spacing w:after="0" w:line="256" w:lineRule="auto"/>
        <w:tabs>
          <w:tab w:leader="none" w:pos="9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change in control treatment applicable to performance-based awards has been revised to provide that the vesting of performance-based awards upon a Change in Control will not occur at a rate that is greater than the actual level of attainment and/or provide for pro-rated vesting of the award based on any reduction to the performance period.</w:t>
      </w:r>
    </w:p>
    <w:p>
      <w:pPr>
        <w:spacing w:after="0" w:line="201" w:lineRule="exact"/>
        <w:rPr>
          <w:rFonts w:ascii="Arial" w:cs="Arial" w:eastAsia="Arial" w:hAnsi="Arial"/>
          <w:sz w:val="18"/>
          <w:szCs w:val="18"/>
          <w:color w:val="auto"/>
        </w:rPr>
      </w:pPr>
    </w:p>
    <w:p>
      <w:pPr>
        <w:ind w:left="980" w:right="340" w:hanging="324"/>
        <w:spacing w:after="0" w:line="291" w:lineRule="auto"/>
        <w:tabs>
          <w:tab w:leader="none" w:pos="98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An amendment to add the authority to grant other share-based awards, which would include other potential types of awards denominated or based on the stock of the Company that may not fall into the category of awards that currently may be granted.</w:t>
      </w:r>
    </w:p>
    <w:p>
      <w:pPr>
        <w:spacing w:after="0" w:line="174" w:lineRule="exact"/>
        <w:rPr>
          <w:rFonts w:ascii="Arial" w:cs="Arial" w:eastAsia="Arial" w:hAnsi="Arial"/>
          <w:sz w:val="17"/>
          <w:szCs w:val="17"/>
          <w:color w:val="auto"/>
        </w:rPr>
      </w:pPr>
    </w:p>
    <w:p>
      <w:pPr>
        <w:ind w:left="980" w:right="240" w:hanging="324"/>
        <w:spacing w:after="0" w:line="262" w:lineRule="auto"/>
        <w:tabs>
          <w:tab w:leader="none" w:pos="9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An amendment to eliminate the automatic expiration date. Instead, the Amended 2002 Plan provides that it will continue in effect until it is terminated by our Board of Directors.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Key Terms of the Amended 2002 Plan at a Glance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key provisions of the Amended 2002 Plan, as set forth and stated herein.</w:t>
      </w:r>
    </w:p>
    <w:p>
      <w:pPr>
        <w:sectPr>
          <w:pgSz w:w="11900" w:h="16838" w:orient="portrait"/>
          <w:cols w:equalWidth="0" w:num="1">
            <w:col w:w="11420"/>
          </w:cols>
          <w:pgMar w:left="240" w:top="598" w:right="239" w:bottom="1440" w:gutter="0" w:footer="0" w:header="0"/>
        </w:sectPr>
      </w:pPr>
    </w:p>
    <w:p>
      <w:pPr>
        <w:spacing w:after="0" w:line="387" w:lineRule="exact"/>
        <w:rPr>
          <w:sz w:val="20"/>
          <w:szCs w:val="20"/>
          <w:color w:val="auto"/>
        </w:rPr>
      </w:pPr>
    </w:p>
    <w:p>
      <w:pPr>
        <w:ind w:left="40"/>
        <w:spacing w:after="0"/>
        <w:rPr>
          <w:sz w:val="20"/>
          <w:szCs w:val="20"/>
          <w:color w:val="auto"/>
        </w:rPr>
      </w:pPr>
      <w:r>
        <w:rPr>
          <w:rFonts w:ascii="Arial" w:cs="Arial" w:eastAsia="Arial" w:hAnsi="Arial"/>
          <w:sz w:val="17"/>
          <w:szCs w:val="17"/>
          <w:color w:val="auto"/>
        </w:rPr>
        <w:t>Plan Term:</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The Amended 2002 Plan was adopted by the Board of Directors on</w:t>
      </w:r>
    </w:p>
    <w:p>
      <w:pPr>
        <w:spacing w:after="0" w:line="234" w:lineRule="auto"/>
        <w:rPr>
          <w:sz w:val="20"/>
          <w:szCs w:val="20"/>
          <w:color w:val="auto"/>
        </w:rPr>
      </w:pPr>
      <w:r>
        <w:rPr>
          <w:rFonts w:ascii="Arial" w:cs="Arial" w:eastAsia="Arial" w:hAnsi="Arial"/>
          <w:sz w:val="18"/>
          <w:szCs w:val="18"/>
          <w:color w:val="auto"/>
        </w:rPr>
        <w:t>February 20, 2018, subject to obtaining shareholder approval and will continue in</w:t>
      </w:r>
    </w:p>
    <w:p>
      <w:pPr>
        <w:spacing w:after="0" w:line="235" w:lineRule="auto"/>
        <w:rPr>
          <w:sz w:val="20"/>
          <w:szCs w:val="20"/>
          <w:color w:val="auto"/>
        </w:rPr>
      </w:pPr>
      <w:r>
        <w:rPr>
          <w:rFonts w:ascii="Arial" w:cs="Arial" w:eastAsia="Arial" w:hAnsi="Arial"/>
          <w:sz w:val="18"/>
          <w:szCs w:val="18"/>
          <w:color w:val="auto"/>
        </w:rPr>
        <w:t>effect until terminated by the Board of Directors. Shares available under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Amended 2002 Plan are expected to last at least five years.</w:t>
      </w:r>
    </w:p>
    <w:p>
      <w:pPr>
        <w:spacing w:after="0" w:line="200" w:lineRule="exact"/>
        <w:rPr>
          <w:sz w:val="20"/>
          <w:szCs w:val="20"/>
          <w:color w:val="auto"/>
        </w:rPr>
      </w:pPr>
    </w:p>
    <w:p>
      <w:pPr>
        <w:sectPr>
          <w:pgSz w:w="11900" w:h="16838" w:orient="portrait"/>
          <w:cols w:equalWidth="0" w:num="2">
            <w:col w:w="900" w:space="180"/>
            <w:col w:w="10340"/>
          </w:cols>
          <w:pgMar w:left="240" w:top="598" w:right="239" w:bottom="1440" w:gutter="0" w:footer="0" w:header="0"/>
          <w:type w:val="continuous"/>
        </w:sectPr>
      </w:pPr>
    </w:p>
    <w:p>
      <w:pPr>
        <w:spacing w:after="0" w:line="52" w:lineRule="exact"/>
        <w:rPr>
          <w:sz w:val="20"/>
          <w:szCs w:val="20"/>
          <w:color w:val="auto"/>
        </w:rPr>
      </w:pPr>
    </w:p>
    <w:p>
      <w:pPr>
        <w:ind w:left="40"/>
        <w:spacing w:after="0"/>
        <w:rPr>
          <w:sz w:val="20"/>
          <w:szCs w:val="20"/>
          <w:color w:val="auto"/>
        </w:rPr>
      </w:pPr>
      <w:r>
        <w:rPr>
          <w:rFonts w:ascii="Arial" w:cs="Arial" w:eastAsia="Arial" w:hAnsi="Arial"/>
          <w:sz w:val="17"/>
          <w:szCs w:val="17"/>
          <w:color w:val="auto"/>
        </w:rPr>
        <w:t>Eligible</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Employees and directors of the Company and its affiliates generally are eligible to</w:t>
      </w:r>
    </w:p>
    <w:p>
      <w:pPr>
        <w:spacing w:after="0" w:line="10" w:lineRule="exact"/>
        <w:rPr>
          <w:sz w:val="20"/>
          <w:szCs w:val="20"/>
          <w:color w:val="auto"/>
        </w:rPr>
      </w:pPr>
    </w:p>
    <w:p>
      <w:pPr>
        <w:sectPr>
          <w:pgSz w:w="11900" w:h="16838" w:orient="portrait"/>
          <w:cols w:equalWidth="0" w:num="2">
            <w:col w:w="620" w:space="460"/>
            <w:col w:w="10340"/>
          </w:cols>
          <w:pgMar w:left="240" w:top="598" w:right="239" w:bottom="1440" w:gutter="0" w:footer="0" w:header="0"/>
          <w:type w:val="continuous"/>
        </w:sectPr>
      </w:pPr>
    </w:p>
    <w:p>
      <w:pPr>
        <w:ind w:left="1080" w:right="3660" w:hanging="1052"/>
        <w:spacing w:after="0" w:line="234" w:lineRule="auto"/>
        <w:rPr>
          <w:sz w:val="20"/>
          <w:szCs w:val="20"/>
          <w:color w:val="auto"/>
        </w:rPr>
      </w:pPr>
      <w:r>
        <w:rPr>
          <w:rFonts w:ascii="Arial" w:cs="Arial" w:eastAsia="Arial" w:hAnsi="Arial"/>
          <w:sz w:val="18"/>
          <w:szCs w:val="18"/>
          <w:color w:val="auto"/>
        </w:rPr>
        <w:t>Participants: receive non-qualified stock options, restricted stock, stock appreciation rights, restricted stock units and other share-based awards under the Amended 2002 Plan.</w:t>
      </w:r>
    </w:p>
    <w:p>
      <w:pPr>
        <w:spacing w:after="0" w:line="95" w:lineRule="exact"/>
        <w:rPr>
          <w:sz w:val="20"/>
          <w:szCs w:val="20"/>
          <w:color w:val="auto"/>
        </w:rPr>
      </w:pPr>
    </w:p>
    <w:p>
      <w:pPr>
        <w:jc w:val="both"/>
        <w:ind w:left="1080" w:right="3840"/>
        <w:spacing w:after="0" w:line="239" w:lineRule="auto"/>
        <w:rPr>
          <w:sz w:val="20"/>
          <w:szCs w:val="20"/>
          <w:color w:val="auto"/>
        </w:rPr>
      </w:pPr>
      <w:r>
        <w:rPr>
          <w:rFonts w:ascii="Arial" w:cs="Arial" w:eastAsia="Arial" w:hAnsi="Arial"/>
          <w:sz w:val="18"/>
          <w:szCs w:val="18"/>
          <w:color w:val="auto"/>
        </w:rPr>
        <w:t>Only employees of the Company or a subsidiary meeting the requirements of the Internal Revenue Code are eligible to receive “incentive stock options,” within the meaning of Section 422 of the Internal Revenue Code (ISOs) under the Amended 2002 Plan.</w:t>
      </w:r>
    </w:p>
    <w:p>
      <w:pPr>
        <w:spacing w:after="0" w:line="238"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color w:val="auto"/>
        </w:rPr>
        <w:t>Shares</w:t>
      </w:r>
      <w:r>
        <w:rPr>
          <w:sz w:val="20"/>
          <w:szCs w:val="20"/>
          <w:color w:val="auto"/>
        </w:rPr>
        <w:tab/>
      </w:r>
      <w:r>
        <w:rPr>
          <w:rFonts w:ascii="Arial" w:cs="Arial" w:eastAsia="Arial" w:hAnsi="Arial"/>
          <w:sz w:val="18"/>
          <w:szCs w:val="18"/>
          <w:color w:val="auto"/>
        </w:rPr>
        <w:t>53,000,000 shares would be available for future awards granted on or following the</w:t>
      </w:r>
    </w:p>
    <w:p>
      <w:pPr>
        <w:ind w:left="40"/>
        <w:spacing w:after="0" w:line="234" w:lineRule="auto"/>
        <w:rPr>
          <w:sz w:val="20"/>
          <w:szCs w:val="20"/>
          <w:color w:val="auto"/>
        </w:rPr>
      </w:pPr>
      <w:r>
        <w:rPr>
          <w:rFonts w:ascii="Arial" w:cs="Arial" w:eastAsia="Arial" w:hAnsi="Arial"/>
          <w:sz w:val="18"/>
          <w:szCs w:val="18"/>
          <w:color w:val="auto"/>
        </w:rPr>
        <w:t>Available for effective date of the Amended 2002 Plan. The Amended 2002 Plan provides for a</w:t>
      </w:r>
    </w:p>
    <w:tbl>
      <w:tblPr>
        <w:tblLayout w:type="fixed"/>
        <w:tblInd w:w="40" w:type="dxa"/>
        <w:tblCellMar>
          <w:top w:w="0" w:type="dxa"/>
          <w:left w:w="0" w:type="dxa"/>
          <w:bottom w:w="0" w:type="dxa"/>
          <w:right w:w="0" w:type="dxa"/>
        </w:tblCellMar>
      </w:tblPr>
      <w:tr>
        <w:trPr>
          <w:trHeight w:val="203"/>
        </w:trPr>
        <w:tc>
          <w:tcPr>
            <w:tcW w:w="840" w:type="dxa"/>
            <w:vAlign w:val="bottom"/>
          </w:tcPr>
          <w:p>
            <w:pPr>
              <w:spacing w:after="0" w:line="203" w:lineRule="exact"/>
              <w:rPr>
                <w:sz w:val="20"/>
                <w:szCs w:val="20"/>
                <w:color w:val="auto"/>
              </w:rPr>
            </w:pPr>
            <w:r>
              <w:rPr>
                <w:rFonts w:ascii="Arial" w:cs="Arial" w:eastAsia="Arial" w:hAnsi="Arial"/>
                <w:sz w:val="18"/>
                <w:szCs w:val="18"/>
                <w:color w:val="auto"/>
              </w:rPr>
              <w:t>Awards:</w:t>
            </w:r>
          </w:p>
        </w:tc>
        <w:tc>
          <w:tcPr>
            <w:tcW w:w="6880" w:type="dxa"/>
            <w:vAlign w:val="bottom"/>
            <w:gridSpan w:val="2"/>
          </w:tcPr>
          <w:p>
            <w:pPr>
              <w:ind w:left="200"/>
              <w:spacing w:after="0" w:line="203" w:lineRule="exact"/>
              <w:rPr>
                <w:sz w:val="20"/>
                <w:szCs w:val="20"/>
                <w:color w:val="auto"/>
              </w:rPr>
            </w:pPr>
            <w:r>
              <w:rPr>
                <w:rFonts w:ascii="Arial" w:cs="Arial" w:eastAsia="Arial" w:hAnsi="Arial"/>
                <w:sz w:val="18"/>
                <w:szCs w:val="18"/>
                <w:i w:val="1"/>
                <w:iCs w:val="1"/>
                <w:color w:val="auto"/>
                <w:w w:val="99"/>
              </w:rPr>
              <w:t xml:space="preserve">decrease </w:t>
            </w:r>
            <w:r>
              <w:rPr>
                <w:rFonts w:ascii="Arial" w:cs="Arial" w:eastAsia="Arial" w:hAnsi="Arial"/>
                <w:sz w:val="18"/>
                <w:szCs w:val="18"/>
                <w:color w:val="auto"/>
                <w:w w:val="99"/>
              </w:rPr>
              <w:t>in the number of shares of common stock reserved for issuance under the</w:t>
            </w:r>
          </w:p>
        </w:tc>
      </w:tr>
      <w:tr>
        <w:trPr>
          <w:trHeight w:val="203"/>
        </w:trPr>
        <w:tc>
          <w:tcPr>
            <w:tcW w:w="840" w:type="dxa"/>
            <w:vAlign w:val="bottom"/>
          </w:tcPr>
          <w:p>
            <w:pPr>
              <w:spacing w:after="0"/>
              <w:rPr>
                <w:sz w:val="17"/>
                <w:szCs w:val="17"/>
                <w:color w:val="auto"/>
              </w:rPr>
            </w:pPr>
          </w:p>
        </w:tc>
        <w:tc>
          <w:tcPr>
            <w:tcW w:w="68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plan (including previously granted awards) to 75,657,296 shares plus shares</w:t>
            </w:r>
          </w:p>
        </w:tc>
      </w:tr>
      <w:tr>
        <w:trPr>
          <w:trHeight w:val="203"/>
        </w:trPr>
        <w:tc>
          <w:tcPr>
            <w:tcW w:w="840" w:type="dxa"/>
            <w:vAlign w:val="bottom"/>
          </w:tcPr>
          <w:p>
            <w:pPr>
              <w:spacing w:after="0"/>
              <w:rPr>
                <w:sz w:val="17"/>
                <w:szCs w:val="17"/>
                <w:color w:val="auto"/>
              </w:rPr>
            </w:pPr>
          </w:p>
        </w:tc>
        <w:tc>
          <w:tcPr>
            <w:tcW w:w="6880" w:type="dxa"/>
            <w:vAlign w:val="bottom"/>
            <w:gridSpan w:val="2"/>
          </w:tcPr>
          <w:p>
            <w:pPr>
              <w:ind w:left="200"/>
              <w:spacing w:after="0" w:line="202" w:lineRule="exact"/>
              <w:rPr>
                <w:sz w:val="20"/>
                <w:szCs w:val="20"/>
                <w:color w:val="auto"/>
              </w:rPr>
            </w:pPr>
            <w:r>
              <w:rPr>
                <w:rFonts w:ascii="Arial" w:cs="Arial" w:eastAsia="Arial" w:hAnsi="Arial"/>
                <w:sz w:val="18"/>
                <w:szCs w:val="18"/>
                <w:color w:val="auto"/>
                <w:w w:val="99"/>
              </w:rPr>
              <w:t>available for issuance under prior plans immediately prior to the effective date of the</w:t>
            </w:r>
          </w:p>
        </w:tc>
      </w:tr>
      <w:tr>
        <w:trPr>
          <w:trHeight w:val="217"/>
        </w:trPr>
        <w:tc>
          <w:tcPr>
            <w:tcW w:w="840" w:type="dxa"/>
            <w:vAlign w:val="bottom"/>
          </w:tcPr>
          <w:p>
            <w:pPr>
              <w:spacing w:after="0"/>
              <w:rPr>
                <w:sz w:val="18"/>
                <w:szCs w:val="18"/>
                <w:color w:val="auto"/>
              </w:rPr>
            </w:pPr>
          </w:p>
        </w:tc>
        <w:tc>
          <w:tcPr>
            <w:tcW w:w="6880" w:type="dxa"/>
            <w:vAlign w:val="bottom"/>
            <w:gridSpan w:val="2"/>
          </w:tcPr>
          <w:p>
            <w:pPr>
              <w:ind w:left="200"/>
              <w:spacing w:after="0"/>
              <w:rPr>
                <w:sz w:val="20"/>
                <w:szCs w:val="20"/>
                <w:color w:val="auto"/>
              </w:rPr>
            </w:pPr>
            <w:r>
              <w:rPr>
                <w:rFonts w:ascii="Arial" w:cs="Arial" w:eastAsia="Arial" w:hAnsi="Arial"/>
                <w:sz w:val="18"/>
                <w:szCs w:val="18"/>
                <w:color w:val="auto"/>
              </w:rPr>
              <w:t>2002 Plan.</w:t>
            </w:r>
          </w:p>
        </w:tc>
      </w:tr>
      <w:tr>
        <w:trPr>
          <w:trHeight w:val="445"/>
        </w:trPr>
        <w:tc>
          <w:tcPr>
            <w:tcW w:w="840" w:type="dxa"/>
            <w:vAlign w:val="bottom"/>
          </w:tcPr>
          <w:p>
            <w:pPr>
              <w:spacing w:after="0"/>
              <w:rPr>
                <w:sz w:val="20"/>
                <w:szCs w:val="20"/>
                <w:color w:val="auto"/>
              </w:rPr>
            </w:pPr>
            <w:r>
              <w:rPr>
                <w:rFonts w:ascii="Arial" w:cs="Arial" w:eastAsia="Arial" w:hAnsi="Arial"/>
                <w:sz w:val="18"/>
                <w:szCs w:val="18"/>
                <w:color w:val="auto"/>
              </w:rPr>
              <w:t>Award</w:t>
            </w:r>
          </w:p>
        </w:tc>
        <w:tc>
          <w:tcPr>
            <w:tcW w:w="6880" w:type="dxa"/>
            <w:vAlign w:val="bottom"/>
            <w:gridSpan w:val="2"/>
          </w:tcPr>
          <w:p>
            <w:pPr>
              <w:ind w:left="200"/>
              <w:spacing w:after="0"/>
              <w:rPr>
                <w:sz w:val="20"/>
                <w:szCs w:val="20"/>
                <w:color w:val="auto"/>
              </w:rPr>
            </w:pPr>
            <w:r>
              <w:rPr>
                <w:rFonts w:ascii="Arial" w:cs="Arial" w:eastAsia="Arial" w:hAnsi="Arial"/>
                <w:sz w:val="18"/>
                <w:szCs w:val="18"/>
                <w:color w:val="auto"/>
              </w:rPr>
              <w:t>(1) Non-Qualified Stock Options and Incentive Stock Options</w:t>
            </w:r>
          </w:p>
        </w:tc>
      </w:tr>
      <w:tr>
        <w:trPr>
          <w:trHeight w:val="203"/>
        </w:trPr>
        <w:tc>
          <w:tcPr>
            <w:tcW w:w="840" w:type="dxa"/>
            <w:vAlign w:val="bottom"/>
          </w:tcPr>
          <w:p>
            <w:pPr>
              <w:spacing w:after="0" w:line="202" w:lineRule="exact"/>
              <w:rPr>
                <w:sz w:val="20"/>
                <w:szCs w:val="20"/>
                <w:color w:val="auto"/>
              </w:rPr>
            </w:pPr>
            <w:r>
              <w:rPr>
                <w:rFonts w:ascii="Arial" w:cs="Arial" w:eastAsia="Arial" w:hAnsi="Arial"/>
                <w:sz w:val="18"/>
                <w:szCs w:val="18"/>
                <w:color w:val="auto"/>
              </w:rPr>
              <w:t>Types:</w:t>
            </w:r>
          </w:p>
        </w:tc>
        <w:tc>
          <w:tcPr>
            <w:tcW w:w="68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(2) Restricted Stock</w:t>
            </w:r>
          </w:p>
        </w:tc>
      </w:tr>
      <w:tr>
        <w:trPr>
          <w:trHeight w:val="203"/>
        </w:trPr>
        <w:tc>
          <w:tcPr>
            <w:tcW w:w="840" w:type="dxa"/>
            <w:vAlign w:val="bottom"/>
          </w:tcPr>
          <w:p>
            <w:pPr>
              <w:spacing w:after="0"/>
              <w:rPr>
                <w:sz w:val="17"/>
                <w:szCs w:val="17"/>
                <w:color w:val="auto"/>
              </w:rPr>
            </w:pPr>
          </w:p>
        </w:tc>
        <w:tc>
          <w:tcPr>
            <w:tcW w:w="460" w:type="dxa"/>
            <w:vAlign w:val="bottom"/>
          </w:tcPr>
          <w:p>
            <w:pPr>
              <w:ind w:left="200"/>
              <w:spacing w:after="0" w:line="202" w:lineRule="exact"/>
              <w:rPr>
                <w:sz w:val="20"/>
                <w:szCs w:val="20"/>
                <w:color w:val="auto"/>
              </w:rPr>
            </w:pPr>
            <w:r>
              <w:rPr>
                <w:rFonts w:ascii="Arial" w:cs="Arial" w:eastAsia="Arial" w:hAnsi="Arial"/>
                <w:sz w:val="18"/>
                <w:szCs w:val="18"/>
                <w:color w:val="auto"/>
              </w:rPr>
              <w:t>(3)</w:t>
            </w:r>
          </w:p>
        </w:tc>
        <w:tc>
          <w:tcPr>
            <w:tcW w:w="6420" w:type="dxa"/>
            <w:vAlign w:val="bottom"/>
          </w:tcPr>
          <w:p>
            <w:pPr>
              <w:ind w:left="20"/>
              <w:spacing w:after="0" w:line="202" w:lineRule="exact"/>
              <w:rPr>
                <w:sz w:val="20"/>
                <w:szCs w:val="20"/>
                <w:color w:val="auto"/>
              </w:rPr>
            </w:pPr>
            <w:r>
              <w:rPr>
                <w:rFonts w:ascii="Arial" w:cs="Arial" w:eastAsia="Arial" w:hAnsi="Arial"/>
                <w:sz w:val="18"/>
                <w:szCs w:val="18"/>
                <w:color w:val="auto"/>
              </w:rPr>
              <w:t>Stock Appreciation Rights</w:t>
            </w:r>
          </w:p>
        </w:tc>
      </w:tr>
      <w:tr>
        <w:trPr>
          <w:trHeight w:val="203"/>
        </w:trPr>
        <w:tc>
          <w:tcPr>
            <w:tcW w:w="840" w:type="dxa"/>
            <w:vAlign w:val="bottom"/>
          </w:tcPr>
          <w:p>
            <w:pPr>
              <w:spacing w:after="0"/>
              <w:rPr>
                <w:sz w:val="17"/>
                <w:szCs w:val="17"/>
                <w:color w:val="auto"/>
              </w:rPr>
            </w:pPr>
          </w:p>
        </w:tc>
        <w:tc>
          <w:tcPr>
            <w:tcW w:w="460" w:type="dxa"/>
            <w:vAlign w:val="bottom"/>
          </w:tcPr>
          <w:p>
            <w:pPr>
              <w:ind w:left="200"/>
              <w:spacing w:after="0" w:line="202" w:lineRule="exact"/>
              <w:rPr>
                <w:sz w:val="20"/>
                <w:szCs w:val="20"/>
                <w:color w:val="auto"/>
              </w:rPr>
            </w:pPr>
            <w:r>
              <w:rPr>
                <w:rFonts w:ascii="Arial" w:cs="Arial" w:eastAsia="Arial" w:hAnsi="Arial"/>
                <w:sz w:val="18"/>
                <w:szCs w:val="18"/>
                <w:color w:val="auto"/>
              </w:rPr>
              <w:t>(4)</w:t>
            </w:r>
          </w:p>
        </w:tc>
        <w:tc>
          <w:tcPr>
            <w:tcW w:w="6420" w:type="dxa"/>
            <w:vAlign w:val="bottom"/>
          </w:tcPr>
          <w:p>
            <w:pPr>
              <w:ind w:left="20"/>
              <w:spacing w:after="0" w:line="202" w:lineRule="exact"/>
              <w:rPr>
                <w:sz w:val="20"/>
                <w:szCs w:val="20"/>
                <w:color w:val="auto"/>
              </w:rPr>
            </w:pPr>
            <w:r>
              <w:rPr>
                <w:rFonts w:ascii="Arial" w:cs="Arial" w:eastAsia="Arial" w:hAnsi="Arial"/>
                <w:sz w:val="18"/>
                <w:szCs w:val="18"/>
                <w:color w:val="auto"/>
              </w:rPr>
              <w:t>Restricted Stock Units</w:t>
            </w:r>
          </w:p>
        </w:tc>
      </w:tr>
      <w:tr>
        <w:trPr>
          <w:trHeight w:val="203"/>
        </w:trPr>
        <w:tc>
          <w:tcPr>
            <w:tcW w:w="840" w:type="dxa"/>
            <w:vAlign w:val="bottom"/>
          </w:tcPr>
          <w:p>
            <w:pPr>
              <w:spacing w:after="0"/>
              <w:rPr>
                <w:sz w:val="17"/>
                <w:szCs w:val="17"/>
                <w:color w:val="auto"/>
              </w:rPr>
            </w:pPr>
          </w:p>
        </w:tc>
        <w:tc>
          <w:tcPr>
            <w:tcW w:w="460" w:type="dxa"/>
            <w:vAlign w:val="bottom"/>
          </w:tcPr>
          <w:p>
            <w:pPr>
              <w:ind w:left="200"/>
              <w:spacing w:after="0" w:line="202" w:lineRule="exact"/>
              <w:rPr>
                <w:sz w:val="20"/>
                <w:szCs w:val="20"/>
                <w:color w:val="auto"/>
              </w:rPr>
            </w:pPr>
            <w:r>
              <w:rPr>
                <w:rFonts w:ascii="Arial" w:cs="Arial" w:eastAsia="Arial" w:hAnsi="Arial"/>
                <w:sz w:val="18"/>
                <w:szCs w:val="18"/>
                <w:color w:val="auto"/>
              </w:rPr>
              <w:t>(5)</w:t>
            </w:r>
          </w:p>
        </w:tc>
        <w:tc>
          <w:tcPr>
            <w:tcW w:w="6420" w:type="dxa"/>
            <w:vAlign w:val="bottom"/>
          </w:tcPr>
          <w:p>
            <w:pPr>
              <w:ind w:left="20"/>
              <w:spacing w:after="0" w:line="202" w:lineRule="exact"/>
              <w:rPr>
                <w:sz w:val="20"/>
                <w:szCs w:val="20"/>
                <w:color w:val="auto"/>
              </w:rPr>
            </w:pPr>
            <w:r>
              <w:rPr>
                <w:rFonts w:ascii="Arial" w:cs="Arial" w:eastAsia="Arial" w:hAnsi="Arial"/>
                <w:sz w:val="18"/>
                <w:szCs w:val="18"/>
                <w:color w:val="auto"/>
              </w:rPr>
              <w:t>Dividend Equivalent Rights</w:t>
            </w:r>
          </w:p>
        </w:tc>
      </w:tr>
      <w:tr>
        <w:trPr>
          <w:trHeight w:val="203"/>
        </w:trPr>
        <w:tc>
          <w:tcPr>
            <w:tcW w:w="840" w:type="dxa"/>
            <w:vAlign w:val="bottom"/>
          </w:tcPr>
          <w:p>
            <w:pPr>
              <w:spacing w:after="0"/>
              <w:rPr>
                <w:sz w:val="17"/>
                <w:szCs w:val="17"/>
                <w:color w:val="auto"/>
              </w:rPr>
            </w:pPr>
          </w:p>
        </w:tc>
        <w:tc>
          <w:tcPr>
            <w:tcW w:w="460" w:type="dxa"/>
            <w:vAlign w:val="bottom"/>
          </w:tcPr>
          <w:p>
            <w:pPr>
              <w:ind w:left="200"/>
              <w:spacing w:after="0" w:line="202" w:lineRule="exact"/>
              <w:rPr>
                <w:sz w:val="20"/>
                <w:szCs w:val="20"/>
                <w:color w:val="auto"/>
              </w:rPr>
            </w:pPr>
            <w:r>
              <w:rPr>
                <w:rFonts w:ascii="Arial" w:cs="Arial" w:eastAsia="Arial" w:hAnsi="Arial"/>
                <w:sz w:val="18"/>
                <w:szCs w:val="18"/>
                <w:color w:val="auto"/>
              </w:rPr>
              <w:t>(6)</w:t>
            </w:r>
          </w:p>
        </w:tc>
        <w:tc>
          <w:tcPr>
            <w:tcW w:w="6420" w:type="dxa"/>
            <w:vAlign w:val="bottom"/>
          </w:tcPr>
          <w:p>
            <w:pPr>
              <w:ind w:left="20"/>
              <w:spacing w:after="0" w:line="202" w:lineRule="exact"/>
              <w:rPr>
                <w:sz w:val="20"/>
                <w:szCs w:val="20"/>
                <w:color w:val="auto"/>
              </w:rPr>
            </w:pPr>
            <w:r>
              <w:rPr>
                <w:rFonts w:ascii="Arial" w:cs="Arial" w:eastAsia="Arial" w:hAnsi="Arial"/>
                <w:sz w:val="18"/>
                <w:szCs w:val="18"/>
                <w:color w:val="auto"/>
              </w:rPr>
              <w:t>Other Share-Based Awards</w:t>
            </w:r>
          </w:p>
        </w:tc>
      </w:tr>
      <w:tr>
        <w:trPr>
          <w:trHeight w:val="217"/>
        </w:trPr>
        <w:tc>
          <w:tcPr>
            <w:tcW w:w="84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(7)</w:t>
            </w:r>
          </w:p>
        </w:tc>
        <w:tc>
          <w:tcPr>
            <w:tcW w:w="6420" w:type="dxa"/>
            <w:vAlign w:val="bottom"/>
          </w:tcPr>
          <w:p>
            <w:pPr>
              <w:ind w:left="20"/>
              <w:spacing w:after="0"/>
              <w:rPr>
                <w:sz w:val="20"/>
                <w:szCs w:val="20"/>
                <w:color w:val="auto"/>
              </w:rPr>
            </w:pPr>
            <w:r>
              <w:rPr>
                <w:rFonts w:ascii="Arial" w:cs="Arial" w:eastAsia="Arial" w:hAnsi="Arial"/>
                <w:sz w:val="18"/>
                <w:szCs w:val="18"/>
                <w:color w:val="auto"/>
              </w:rPr>
              <w:t>Performance-Based Awards</w:t>
            </w:r>
          </w:p>
        </w:tc>
      </w:tr>
    </w:tbl>
    <w:p>
      <w:pPr>
        <w:spacing w:after="0" w:line="200" w:lineRule="exact"/>
        <w:rPr>
          <w:sz w:val="20"/>
          <w:szCs w:val="20"/>
          <w:color w:val="auto"/>
        </w:rPr>
      </w:pPr>
    </w:p>
    <w:p>
      <w:pPr>
        <w:spacing w:after="0" w:line="27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P69</w:t>
      </w:r>
    </w:p>
    <w:p>
      <w:pPr>
        <w:sectPr>
          <w:pgSz w:w="11900" w:h="16838" w:orient="portrait"/>
          <w:cols w:equalWidth="0" w:num="1">
            <w:col w:w="11420"/>
          </w:cols>
          <w:pgMar w:left="240" w:top="598" w:right="239" w:bottom="1440" w:gutter="0" w:footer="0" w:header="0"/>
          <w:type w:val="continuous"/>
        </w:sectPr>
      </w:pPr>
    </w:p>
    <w:bookmarkStart w:id="73" w:name="page74"/>
    <w:bookmarkEnd w:id="73"/>
    <w:p>
      <w:pPr>
        <w:ind w:left="40"/>
        <w:spacing w:after="0" w:line="275" w:lineRule="auto"/>
        <w:rPr>
          <w:sz w:val="20"/>
          <w:szCs w:val="20"/>
          <w:color w:val="auto"/>
        </w:rPr>
      </w:pPr>
      <w:r>
        <w:rPr>
          <w:rFonts w:ascii="Arial" w:cs="Arial" w:eastAsia="Arial" w:hAnsi="Arial"/>
          <w:sz w:val="17"/>
          <w:szCs w:val="17"/>
          <w:color w:val="auto"/>
        </w:rPr>
        <w:t>Award Terms (Exercisability Period):</w:t>
      </w:r>
    </w:p>
    <w:p>
      <w:pPr>
        <w:spacing w:after="0" w:line="20" w:lineRule="exact"/>
        <w:rPr>
          <w:sz w:val="20"/>
          <w:szCs w:val="20"/>
          <w:color w:val="auto"/>
        </w:rPr>
      </w:pPr>
      <w:r>
        <w:rPr>
          <w:sz w:val="20"/>
          <w:szCs w:val="20"/>
          <w:color w:val="auto"/>
        </w:rPr>
        <w:br w:type="column"/>
      </w:r>
    </w:p>
    <w:p>
      <w:pPr>
        <w:ind w:right="4100"/>
        <w:spacing w:after="0" w:line="246" w:lineRule="auto"/>
        <w:rPr>
          <w:sz w:val="20"/>
          <w:szCs w:val="20"/>
          <w:color w:val="auto"/>
        </w:rPr>
      </w:pPr>
      <w:r>
        <w:rPr>
          <w:rFonts w:ascii="Arial" w:cs="Arial" w:eastAsia="Arial" w:hAnsi="Arial"/>
          <w:sz w:val="18"/>
          <w:szCs w:val="18"/>
          <w:color w:val="auto"/>
        </w:rPr>
        <w:t>Options, Stock Appreciation Rights (SARs), and Other Share-Based Awards have a term of no longer than 10 years.</w:t>
      </w:r>
    </w:p>
    <w:p>
      <w:pPr>
        <w:spacing w:after="0" w:line="88" w:lineRule="exact"/>
        <w:rPr>
          <w:sz w:val="20"/>
          <w:szCs w:val="20"/>
          <w:color w:val="auto"/>
        </w:rPr>
      </w:pPr>
    </w:p>
    <w:p>
      <w:pPr>
        <w:sectPr>
          <w:pgSz w:w="11900" w:h="16838" w:orient="portrait"/>
          <w:cols w:equalWidth="0" w:num="2">
            <w:col w:w="1820" w:space="80"/>
            <w:col w:w="9520"/>
          </w:cols>
          <w:pgMar w:left="240" w:top="760" w:right="239" w:bottom="1440" w:gutter="0" w:footer="0" w:header="0"/>
        </w:sectPr>
      </w:pPr>
    </w:p>
    <w:p>
      <w:pPr>
        <w:ind w:left="1900" w:right="3640"/>
        <w:spacing w:after="0" w:line="246" w:lineRule="auto"/>
        <w:rPr>
          <w:sz w:val="20"/>
          <w:szCs w:val="20"/>
          <w:color w:val="auto"/>
        </w:rPr>
      </w:pPr>
      <w:r>
        <w:rPr>
          <w:rFonts w:ascii="Arial" w:cs="Arial" w:eastAsia="Arial" w:hAnsi="Arial"/>
          <w:sz w:val="18"/>
          <w:szCs w:val="18"/>
          <w:color w:val="auto"/>
        </w:rPr>
        <w:t>ISOs granted to ten percent owners will have a term of no longer than five years.</w:t>
      </w:r>
    </w:p>
    <w:p>
      <w:pPr>
        <w:sectPr>
          <w:pgSz w:w="11900" w:h="16838" w:orient="portrait"/>
          <w:cols w:equalWidth="0" w:num="1">
            <w:col w:w="11420"/>
          </w:cols>
          <w:pgMar w:left="240" w:top="760" w:right="239" w:bottom="1440" w:gutter="0" w:footer="0" w:header="0"/>
          <w:type w:val="continuous"/>
        </w:sectPr>
      </w:pPr>
    </w:p>
    <w:p>
      <w:pPr>
        <w:spacing w:after="0" w:line="35" w:lineRule="exact"/>
        <w:rPr>
          <w:sz w:val="20"/>
          <w:szCs w:val="20"/>
          <w:color w:val="auto"/>
        </w:rPr>
      </w:pPr>
    </w:p>
    <w:p>
      <w:pPr>
        <w:ind w:left="40"/>
        <w:spacing w:after="0"/>
        <w:rPr>
          <w:sz w:val="20"/>
          <w:szCs w:val="20"/>
          <w:color w:val="auto"/>
        </w:rPr>
      </w:pPr>
      <w:r>
        <w:rPr>
          <w:rFonts w:ascii="Arial" w:cs="Arial" w:eastAsia="Arial" w:hAnsi="Arial"/>
          <w:sz w:val="17"/>
          <w:szCs w:val="17"/>
          <w:color w:val="auto"/>
        </w:rPr>
        <w:t>ISO Limits:</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ind w:right="3900"/>
        <w:spacing w:after="0" w:line="246" w:lineRule="auto"/>
        <w:rPr>
          <w:sz w:val="20"/>
          <w:szCs w:val="20"/>
          <w:color w:val="auto"/>
        </w:rPr>
      </w:pPr>
      <w:r>
        <w:rPr>
          <w:rFonts w:ascii="Arial" w:cs="Arial" w:eastAsia="Arial" w:hAnsi="Arial"/>
          <w:sz w:val="18"/>
          <w:szCs w:val="18"/>
          <w:color w:val="auto"/>
        </w:rPr>
        <w:t>No more than 30,000,000 shares reserved for issuance may be issued upon the exercise of ISOs granted under the Amended 2002 Plan.</w:t>
      </w:r>
    </w:p>
    <w:p>
      <w:pPr>
        <w:spacing w:after="0" w:line="200" w:lineRule="exact"/>
        <w:rPr>
          <w:sz w:val="20"/>
          <w:szCs w:val="20"/>
          <w:color w:val="auto"/>
        </w:rPr>
      </w:pPr>
    </w:p>
    <w:p>
      <w:pPr>
        <w:sectPr>
          <w:pgSz w:w="11900" w:h="16838" w:orient="portrait"/>
          <w:cols w:equalWidth="0" w:num="2">
            <w:col w:w="1180" w:space="720"/>
            <w:col w:w="9520"/>
          </w:cols>
          <w:pgMar w:left="240" w:top="760" w:right="239" w:bottom="1440" w:gutter="0" w:footer="0" w:header="0"/>
          <w:type w:val="continuous"/>
        </w:sectPr>
      </w:pPr>
    </w:p>
    <w:p>
      <w:pPr>
        <w:spacing w:after="0" w:line="37" w:lineRule="exact"/>
        <w:rPr>
          <w:sz w:val="20"/>
          <w:szCs w:val="20"/>
          <w:color w:val="auto"/>
        </w:rPr>
      </w:pPr>
    </w:p>
    <w:p>
      <w:pPr>
        <w:ind w:left="40"/>
        <w:spacing w:after="0"/>
        <w:rPr>
          <w:sz w:val="20"/>
          <w:szCs w:val="20"/>
          <w:color w:val="auto"/>
        </w:rPr>
      </w:pPr>
      <w:r>
        <w:rPr>
          <w:rFonts w:ascii="Arial" w:cs="Arial" w:eastAsia="Arial" w:hAnsi="Arial"/>
          <w:sz w:val="17"/>
          <w:szCs w:val="17"/>
          <w:color w:val="auto"/>
        </w:rPr>
        <w:t>Minimum Vesting:</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ind w:right="3580"/>
        <w:spacing w:after="0" w:line="255" w:lineRule="auto"/>
        <w:rPr>
          <w:sz w:val="20"/>
          <w:szCs w:val="20"/>
          <w:color w:val="auto"/>
        </w:rPr>
      </w:pPr>
      <w:r>
        <w:rPr>
          <w:rFonts w:ascii="Arial" w:cs="Arial" w:eastAsia="Arial" w:hAnsi="Arial"/>
          <w:sz w:val="17"/>
          <w:szCs w:val="17"/>
          <w:color w:val="auto"/>
        </w:rPr>
        <w:t>Vesting is generally determined by the Compensation Committee within limits set forth in the Amended 2002 Plan, except that no award may fully vest before the first anniversary of the grant date other than a carve-out for up to 5% of the number of shares that are reserved for issuance pursuant to future awards as of the effective date of the Amended 2002 Plan.</w:t>
      </w:r>
    </w:p>
    <w:p>
      <w:pPr>
        <w:spacing w:after="0" w:line="200" w:lineRule="exact"/>
        <w:rPr>
          <w:sz w:val="20"/>
          <w:szCs w:val="20"/>
          <w:color w:val="auto"/>
        </w:rPr>
      </w:pPr>
    </w:p>
    <w:p>
      <w:pPr>
        <w:sectPr>
          <w:pgSz w:w="11900" w:h="16838" w:orient="portrait"/>
          <w:cols w:equalWidth="0" w:num="2">
            <w:col w:w="1460" w:space="440"/>
            <w:col w:w="9520"/>
          </w:cols>
          <w:pgMar w:left="240" w:top="760" w:right="239" w:bottom="1440" w:gutter="0" w:footer="0" w:header="0"/>
          <w:type w:val="continuous"/>
        </w:sectPr>
      </w:pPr>
    </w:p>
    <w:p>
      <w:pPr>
        <w:spacing w:after="0" w:line="31" w:lineRule="exact"/>
        <w:rPr>
          <w:sz w:val="20"/>
          <w:szCs w:val="20"/>
          <w:color w:val="auto"/>
        </w:rPr>
      </w:pPr>
    </w:p>
    <w:p>
      <w:pPr>
        <w:ind w:left="40"/>
        <w:spacing w:after="0"/>
        <w:rPr>
          <w:sz w:val="20"/>
          <w:szCs w:val="20"/>
          <w:color w:val="auto"/>
        </w:rPr>
      </w:pPr>
      <w:r>
        <w:rPr>
          <w:rFonts w:ascii="Arial" w:cs="Arial" w:eastAsia="Arial" w:hAnsi="Arial"/>
          <w:sz w:val="17"/>
          <w:szCs w:val="17"/>
          <w:color w:val="auto"/>
        </w:rPr>
        <w:t>Not Permitted:</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1) Repricing or reducing the exercise price of a share option or SAR below</w:t>
      </w:r>
    </w:p>
    <w:p>
      <w:pPr>
        <w:spacing w:after="0" w:line="3" w:lineRule="exact"/>
        <w:rPr>
          <w:sz w:val="20"/>
          <w:szCs w:val="20"/>
          <w:color w:val="auto"/>
        </w:rPr>
      </w:pPr>
    </w:p>
    <w:p>
      <w:pPr>
        <w:sectPr>
          <w:pgSz w:w="11900" w:h="16838" w:orient="portrait"/>
          <w:cols w:equalWidth="0" w:num="2">
            <w:col w:w="1180" w:space="720"/>
            <w:col w:w="9520"/>
          </w:cols>
          <w:pgMar w:left="240" w:top="760" w:right="239" w:bottom="1440" w:gutter="0" w:footer="0" w:header="0"/>
          <w:type w:val="continuous"/>
        </w:sectPr>
      </w:pPr>
    </w:p>
    <w:p>
      <w:pPr>
        <w:ind w:left="2220"/>
        <w:spacing w:after="0"/>
        <w:rPr>
          <w:sz w:val="20"/>
          <w:szCs w:val="20"/>
          <w:color w:val="auto"/>
        </w:rPr>
      </w:pPr>
      <w:r>
        <w:rPr>
          <w:rFonts w:ascii="Arial" w:cs="Arial" w:eastAsia="Arial" w:hAnsi="Arial"/>
          <w:sz w:val="18"/>
          <w:szCs w:val="18"/>
          <w:color w:val="auto"/>
        </w:rPr>
        <w:t>the per share exercise price as of the date of grant without</w:t>
      </w:r>
    </w:p>
    <w:p>
      <w:pPr>
        <w:ind w:left="2220"/>
        <w:spacing w:after="0" w:line="234" w:lineRule="auto"/>
        <w:rPr>
          <w:sz w:val="20"/>
          <w:szCs w:val="20"/>
          <w:color w:val="auto"/>
        </w:rPr>
      </w:pPr>
      <w:r>
        <w:rPr>
          <w:rFonts w:ascii="Arial" w:cs="Arial" w:eastAsia="Arial" w:hAnsi="Arial"/>
          <w:sz w:val="18"/>
          <w:szCs w:val="18"/>
          <w:color w:val="auto"/>
        </w:rPr>
        <w:t>shareholder approval.</w:t>
      </w:r>
    </w:p>
    <w:p>
      <w:pPr>
        <w:spacing w:after="0" w:line="1" w:lineRule="exact"/>
        <w:rPr>
          <w:sz w:val="20"/>
          <w:szCs w:val="20"/>
          <w:color w:val="auto"/>
        </w:rPr>
      </w:pPr>
    </w:p>
    <w:p>
      <w:pPr>
        <w:ind w:left="2220" w:right="3720" w:hanging="323"/>
        <w:spacing w:after="0" w:line="234" w:lineRule="auto"/>
        <w:rPr>
          <w:sz w:val="20"/>
          <w:szCs w:val="20"/>
          <w:color w:val="auto"/>
        </w:rPr>
      </w:pPr>
      <w:r>
        <w:rPr>
          <w:rFonts w:ascii="Arial" w:cs="Arial" w:eastAsia="Arial" w:hAnsi="Arial"/>
          <w:sz w:val="18"/>
          <w:szCs w:val="18"/>
          <w:color w:val="auto"/>
        </w:rPr>
        <w:t>2) Canceling, surrendering or substituting any outstanding option or SAR in exchange for (i) the grant of a new option or SAR with a lower exercise price, or (ii) other awards or a cash payment at a time when the exercise price of the option or SAR is greater than the fair market value of a share.</w:t>
      </w:r>
    </w:p>
    <w:p>
      <w:pPr>
        <w:spacing w:after="0" w:line="4" w:lineRule="exact"/>
        <w:rPr>
          <w:sz w:val="20"/>
          <w:szCs w:val="20"/>
          <w:color w:val="auto"/>
        </w:rPr>
      </w:pPr>
    </w:p>
    <w:p>
      <w:pPr>
        <w:ind w:left="2220" w:right="3760" w:hanging="323"/>
        <w:spacing w:after="0" w:line="234" w:lineRule="auto"/>
        <w:rPr>
          <w:sz w:val="20"/>
          <w:szCs w:val="20"/>
          <w:color w:val="auto"/>
        </w:rPr>
      </w:pPr>
      <w:r>
        <w:rPr>
          <w:rFonts w:ascii="Arial" w:cs="Arial" w:eastAsia="Arial" w:hAnsi="Arial"/>
          <w:sz w:val="18"/>
          <w:szCs w:val="18"/>
          <w:color w:val="auto"/>
        </w:rPr>
        <w:t>3) Adding shares back to the number of shares available for issuance when shares are repurchased on the open market with the proceeds of the exercise of an option.</w:t>
      </w:r>
    </w:p>
    <w:p>
      <w:pPr>
        <w:ind w:left="1900"/>
        <w:spacing w:after="0" w:line="237" w:lineRule="auto"/>
        <w:rPr>
          <w:sz w:val="20"/>
          <w:szCs w:val="20"/>
          <w:color w:val="auto"/>
        </w:rPr>
      </w:pPr>
      <w:r>
        <w:rPr>
          <w:rFonts w:ascii="Arial" w:cs="Arial" w:eastAsia="Arial" w:hAnsi="Arial"/>
          <w:sz w:val="18"/>
          <w:szCs w:val="18"/>
          <w:color w:val="auto"/>
        </w:rPr>
        <w:t>4) Single-trigger change in control vesting acceleration.</w:t>
      </w:r>
    </w:p>
    <w:p>
      <w:pPr>
        <w:ind w:left="2220" w:right="3660" w:hanging="323"/>
        <w:spacing w:after="0" w:line="246" w:lineRule="auto"/>
        <w:rPr>
          <w:sz w:val="20"/>
          <w:szCs w:val="20"/>
          <w:color w:val="auto"/>
        </w:rPr>
      </w:pPr>
      <w:r>
        <w:rPr>
          <w:rFonts w:ascii="Arial" w:cs="Arial" w:eastAsia="Arial" w:hAnsi="Arial"/>
          <w:sz w:val="18"/>
          <w:szCs w:val="18"/>
          <w:color w:val="auto"/>
        </w:rPr>
        <w:t>5) Payment of dividend or dividend equivalent rights prior to the vesting of the underlying awards.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the Amended 2002 Plan</w:t>
      </w:r>
    </w:p>
    <w:p>
      <w:pPr>
        <w:spacing w:after="0" w:line="31"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The following summary of certain material features of the Amended 2002 Plan is qualified in its entirety by reference to the Amended 2002 Plan, which is attached to this proxy statement as Appendix C.</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of the Amended 2002 Plan</w:t>
      </w:r>
    </w:p>
    <w:p>
      <w:pPr>
        <w:spacing w:after="0" w:line="31"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The purpose of the Amended 2002 Plan is to benefit the Company’s shareholders by allowing the Company to attract, motivate and retain the best available employees and directors and by providing those employees and directors stock-based incentives to strengthen the alignment of interests between those persons and the Company’s shareholders.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Reserved for Issuance under Amended 2002 Plan</w:t>
      </w:r>
    </w:p>
    <w:p>
      <w:pPr>
        <w:spacing w:after="0" w:line="3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i w:val="1"/>
          <w:iCs w:val="1"/>
          <w:color w:val="auto"/>
        </w:rPr>
        <w:t xml:space="preserve">Shares Reserved. </w:t>
      </w:r>
      <w:r>
        <w:rPr>
          <w:rFonts w:ascii="Arial" w:cs="Arial" w:eastAsia="Arial" w:hAnsi="Arial"/>
          <w:sz w:val="18"/>
          <w:szCs w:val="18"/>
          <w:color w:val="auto"/>
        </w:rPr>
        <w:t>As proposed, the total number of shares of our common stock that are authorized and available for issuance pursuant to</w:t>
      </w:r>
      <w:r>
        <w:rPr>
          <w:rFonts w:ascii="Arial" w:cs="Arial" w:eastAsia="Arial" w:hAnsi="Arial"/>
          <w:sz w:val="18"/>
          <w:szCs w:val="18"/>
          <w:i w:val="1"/>
          <w:iCs w:val="1"/>
          <w:color w:val="auto"/>
        </w:rPr>
        <w:t xml:space="preserve"> </w:t>
      </w:r>
      <w:r>
        <w:rPr>
          <w:rFonts w:ascii="Arial" w:cs="Arial" w:eastAsia="Arial" w:hAnsi="Arial"/>
          <w:sz w:val="18"/>
          <w:szCs w:val="18"/>
          <w:color w:val="auto"/>
        </w:rPr>
        <w:t>awards granted under the Amended 2002 Plan is 75,657,296 shares plus shares available for issuance under prior plans immediately prior to the effective date of the 2002 Plan, subject to adjustment in the event of certain changes in the capitalization of the Company. However, only 53,000,000 shares would be available for future awards as of the effective date of the Amended 2002 Plan. As of February 16, 2018, 96,342,704 shares of common stock were available for the grant of future awards under the 2002 Plan. The Amended 2002 Plan provides for a decrease – rather than an increase – in the number of shares of common stock reserved for issuance under the plan.</w:t>
      </w:r>
    </w:p>
    <w:p>
      <w:pPr>
        <w:spacing w:after="0" w:line="191"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i w:val="1"/>
          <w:iCs w:val="1"/>
          <w:color w:val="auto"/>
        </w:rPr>
        <w:t xml:space="preserve">Shares Reissuable Under Amended 2002 Plan. </w:t>
      </w:r>
      <w:r>
        <w:rPr>
          <w:rFonts w:ascii="Arial" w:cs="Arial" w:eastAsia="Arial" w:hAnsi="Arial"/>
          <w:sz w:val="18"/>
          <w:szCs w:val="18"/>
          <w:color w:val="auto"/>
        </w:rPr>
        <w:t>The following shares are reissuable pursuant to new awards granted under the Amended 2002</w:t>
      </w:r>
      <w:r>
        <w:rPr>
          <w:rFonts w:ascii="Arial" w:cs="Arial" w:eastAsia="Arial" w:hAnsi="Arial"/>
          <w:sz w:val="18"/>
          <w:szCs w:val="18"/>
          <w:i w:val="1"/>
          <w:iCs w:val="1"/>
          <w:color w:val="auto"/>
        </w:rPr>
        <w:t xml:space="preserve"> </w:t>
      </w:r>
      <w:r>
        <w:rPr>
          <w:rFonts w:ascii="Arial" w:cs="Arial" w:eastAsia="Arial" w:hAnsi="Arial"/>
          <w:sz w:val="18"/>
          <w:szCs w:val="18"/>
          <w:color w:val="auto"/>
        </w:rPr>
        <w:t>Plan: shares that are not issued as a result of the termination, expiration or lapsing of an award for any reason; shares subject to a full value award that are not issued because the award is settled in cash; shares covered by an option surrendered in payment of the exercise or purchase price or in satisfaction of any tax-related items incident to the exercise of an option; or shares that are surrendered in satisfaction of obligations for tax-related items incident to the vesting or settlement of a full value award.</w:t>
      </w: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P70</w:t>
      </w:r>
    </w:p>
    <w:p>
      <w:pPr>
        <w:sectPr>
          <w:pgSz w:w="11900" w:h="16838" w:orient="portrait"/>
          <w:cols w:equalWidth="0" w:num="1">
            <w:col w:w="11420"/>
          </w:cols>
          <w:pgMar w:left="240" w:top="760" w:right="239" w:bottom="1440" w:gutter="0" w:footer="0" w:header="0"/>
          <w:type w:val="continuous"/>
        </w:sectPr>
      </w:pPr>
    </w:p>
    <w:bookmarkStart w:id="74" w:name="page75"/>
    <w:bookmarkEnd w:id="74"/>
    <w:p>
      <w:pPr>
        <w:ind w:right="700"/>
        <w:spacing w:after="0" w:line="282" w:lineRule="auto"/>
        <w:rPr>
          <w:sz w:val="20"/>
          <w:szCs w:val="20"/>
          <w:color w:val="auto"/>
        </w:rPr>
      </w:pPr>
      <w:r>
        <w:rPr>
          <w:rFonts w:ascii="Arial" w:cs="Arial" w:eastAsia="Arial" w:hAnsi="Arial"/>
          <w:sz w:val="18"/>
          <w:szCs w:val="18"/>
          <w:i w:val="1"/>
          <w:iCs w:val="1"/>
          <w:color w:val="auto"/>
        </w:rPr>
        <w:t xml:space="preserve">Shares Not Reissuable Under Amended 2002 Plan. </w:t>
      </w:r>
      <w:r>
        <w:rPr>
          <w:rFonts w:ascii="Arial" w:cs="Arial" w:eastAsia="Arial" w:hAnsi="Arial"/>
          <w:sz w:val="18"/>
          <w:szCs w:val="18"/>
          <w:color w:val="auto"/>
        </w:rPr>
        <w:t>Shares repurchased by the Company on the open market with the proceeds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exercise price from options will be deducted from the aggregate number of shares available for future awards.</w:t>
      </w:r>
    </w:p>
    <w:p>
      <w:pPr>
        <w:spacing w:after="0" w:line="162"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i w:val="1"/>
          <w:iCs w:val="1"/>
          <w:color w:val="auto"/>
        </w:rPr>
        <w:t xml:space="preserve">Shares Not Counted Against Share Reserve Pool Under Amended 2002 Plan. </w:t>
      </w:r>
      <w:r>
        <w:rPr>
          <w:rFonts w:ascii="Arial" w:cs="Arial" w:eastAsia="Arial" w:hAnsi="Arial"/>
          <w:sz w:val="18"/>
          <w:szCs w:val="18"/>
          <w:color w:val="auto"/>
        </w:rPr>
        <w:t>To the extent permitted by applicable law or any stock exchange</w:t>
      </w:r>
      <w:r>
        <w:rPr>
          <w:rFonts w:ascii="Arial" w:cs="Arial" w:eastAsia="Arial" w:hAnsi="Arial"/>
          <w:sz w:val="18"/>
          <w:szCs w:val="18"/>
          <w:i w:val="1"/>
          <w:iCs w:val="1"/>
          <w:color w:val="auto"/>
        </w:rPr>
        <w:t xml:space="preserve"> </w:t>
      </w:r>
      <w:r>
        <w:rPr>
          <w:rFonts w:ascii="Arial" w:cs="Arial" w:eastAsia="Arial" w:hAnsi="Arial"/>
          <w:sz w:val="18"/>
          <w:szCs w:val="18"/>
          <w:color w:val="auto"/>
        </w:rPr>
        <w:t>rule, shares issued in assumption of, or in substitution for, any outstanding awards of any entity acquired in any form of combination by the Company or an affiliate will not be counted against shares available for grant pursuant to the Amended 2002 Plan. The payment of a dividend equivalent right in cash in conjunction with any outstanding awards will not be counted against the shares available for issuance under the Amended 2002 Plan.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Award Limits</w:t>
      </w:r>
    </w:p>
    <w:p>
      <w:pPr>
        <w:spacing w:after="0" w:line="31"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In any calendar year, the maximum number of shares that may be granted to any one participant under the Amended 2002 Plan is 1,500,000 shares, subject to adjustment in the event of specified capitalization events of our company.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Awards</w:t>
      </w:r>
    </w:p>
    <w:p>
      <w:pPr>
        <w:spacing w:after="0" w:line="31"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color w:val="auto"/>
        </w:rPr>
        <w:t>Under the Amended 2002 Plan, the following awards may be granted: stock options (including “incentive stock options” within the meaning of Section 422 of the Internal Revenue Code), restricted stock, stock appreciation rights, restricted stock units, dividend equivalent rights, other share-based awards, and performance-based awards.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Eligibility</w:t>
      </w:r>
    </w:p>
    <w:p>
      <w:pPr>
        <w:spacing w:after="0" w:line="3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Incentive stock options may be granted only to our employees and to employees of any of our subsidiaries meeting the requirements of the Internal Revenue Code. Awards other than incentive stock options may be granted to our non-employee directors and to employees of the Company and any of its affiliates. As of February 16, 2018,13 non-employee directors and 31,531 employees were eligible to participate in the 2002 Plan.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w:t>
      </w:r>
    </w:p>
    <w:p>
      <w:pPr>
        <w:spacing w:after="0" w:line="31"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The Amended 2002 Plan provides that it will be administered by our Board of Directors, unless the Board of Directors elects to delegate administration responsibilities to a committee. (In this Proxy Statement, we will refer to the Board of Directors or the committee to which administration of the Amended 2002 Plan has been delegated as the “Committee”). The Committee has the sole authority to grant awards, and sole and exclusive discretion to interpret and administer the Amended 2002 Plan. The Committee determines the eligible individuals who will receive grants and the precise terms of the grants (including accelerations or waivers of any restrictions, and the conditions under which such accelerated vesting or waivers occur, such as in connection with a participant’s death). The Committee has the authority to amend or modify the terms of an outstanding award, except that an amendment that materially and adversely impacts the rights under an outstanding award will require prior written consent from the participant, unless the amendment is necessary or desirable to facilitate compliance with applicable law or to avoid adverse tax consequences under Section 409A of the Internal Revenue Code. The decisions of the Committee will be final and binding on all holders of awards. To the extent permitted by applicable law, our Board of Directors also may delegate to a committee of one or more members of our Board of Directors or one or more officers of our company the authority to grant or amend awards to participants other than employees who are subject to Section 16 of the Securities Exchange Act of 1934, as amended, or officers or directors of our company to whom authority to grant or amend awards has been delegated.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3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Amended 2002 Plan authorizes the grant of incentive stock options, which are intended to satisfy the requirements of Section 422 of the Internal Revenue Code, and non-qualified stock options, which do not satisfy the requirements of Section 422 of the Code. The exercise price of stock options granted under the Amended 2002 Plan may not be less than 100% (or higher in the case of certain incentive stock options) of the fair market value of a share of our common stock on the date of grant. As of February 16, 2018, the fair market value of a share of our common stock was $78.97. Options granted under the Amended 2002 Plan will vest at the rate specified by the Committee. No stock option will be exercisable more than ten years after the date it is granted.</w:t>
      </w:r>
    </w:p>
    <w:p>
      <w:pPr>
        <w:spacing w:after="0" w:line="209"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The Committee determines the methods by which the exercise price of options is paid, including the following: in cash or check, in shares, through a broker-dealer sale and remittance procedure pursuant to which the participant effects a same-day exercise of the option and sale of the purchased shares in order to cover the exercise price for the purchased shares and the applicable withholding taxes, a “net exercise” arrangement pursuant to which the number of shares issuable upon exercise of the option is reduced by a number of shares having a fair market value that would cover the exercise price and tax withholding. In addition, the Committee may provide financial assistance</w:t>
      </w:r>
    </w:p>
    <w:p>
      <w:pPr>
        <w:spacing w:after="0" w:line="2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P71</w:t>
      </w:r>
    </w:p>
    <w:p>
      <w:pPr>
        <w:sectPr>
          <w:pgSz w:w="11900" w:h="16838" w:orient="portrait"/>
          <w:cols w:equalWidth="0" w:num="1">
            <w:col w:w="11420"/>
          </w:cols>
          <w:pgMar w:left="240" w:top="580" w:right="239" w:bottom="1440" w:gutter="0" w:footer="0" w:header="0"/>
        </w:sectPr>
      </w:pPr>
    </w:p>
    <w:bookmarkStart w:id="75" w:name="page76"/>
    <w:bookmarkEnd w:id="75"/>
    <w:p>
      <w:pPr>
        <w:ind w:right="100"/>
        <w:spacing w:after="0" w:line="256" w:lineRule="auto"/>
        <w:rPr>
          <w:sz w:val="20"/>
          <w:szCs w:val="20"/>
          <w:color w:val="auto"/>
        </w:rPr>
      </w:pPr>
      <w:r>
        <w:rPr>
          <w:rFonts w:ascii="Arial" w:cs="Arial" w:eastAsia="Arial" w:hAnsi="Arial"/>
          <w:sz w:val="18"/>
          <w:szCs w:val="18"/>
          <w:color w:val="auto"/>
        </w:rPr>
        <w:t>to a participant who wishes to exercise his or her outstanding options, provided that the participant is not an executive officer or member of the Board of Directors, by allowing the participant to deliver an interest-bearing full recourse promissory note or through a third-party loan guaranteed by the Company in the amount of the exercise price and any associated withholding taxes.</w:t>
      </w:r>
    </w:p>
    <w:p>
      <w:pPr>
        <w:spacing w:after="0" w:line="20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Until the shares are issued, no right to vote or receive dividends or any other rights as a shareholder will exist with respect to the shares subject to an option, notwithstanding the exercise of the option. No adjustment will be made for a dividend or other right for which the record date is prior to the date the shares are issued, except in the case of a capitalization event of the Company as provided under the terms of the Amended 2002 Plan.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w:t>
      </w:r>
    </w:p>
    <w:p>
      <w:pPr>
        <w:spacing w:after="0" w:line="3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 restricted stock unit represents the equivalent of one share and this type of award is typically awarded to participants without payment of consideration. Restricted stock units may be subject to vesting conditions based upon the passage of time or the attainment of performance-based conditions as determined in the discretion of the Committee. Except as otherwise determined by the Committee at the time of the grant of the award or thereafter, any restricted stock units that are not vested as of the date of the participant’s termination of service will be forfeited. Unlike restricted stock, the stock underlying restricted stock units will not be issued until the restricted stock units have vested. In addition, recipients of restricted stock units generally have no voting or dividend rights until the vesting conditions are satisfied and the underlying shares are issued. Restricted stock units may be settled in shares, cash or a combination of both. The Committee may authorize dividend equivalents to be granted with respect to restricted stock units.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Awards</w:t>
      </w:r>
    </w:p>
    <w:p>
      <w:pPr>
        <w:spacing w:after="0" w:line="3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An award of restricted stock is a direct grant of common stock, subject to such restrictions on transferability and other restrictions as the Committee may impose (including, without limitation, limitations on the right to vote the underlying shares or the right to receive dividends with respect to the underlying shares). These restrictions may lapse separately or in combination at such times, pursuant to such circumstances, in such installments, or otherwise, as the Committee determines at the time of the grant of the award or thereafter. Restrictions may be based on the passage of time or the attainment of performance-based conditions. Generally, any shares subject to restrictions are forfeited upon termination of employment. The price, if any, that participants are required to pay for each share of restricted stock will be set by the Committee and will be paid in a form approved by the Committee, which may be cash, services rendered or to be rendered to our company or an affiliate of our company, or in another form of payment.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Appreciation Rights</w:t>
      </w:r>
    </w:p>
    <w:p>
      <w:pPr>
        <w:spacing w:after="0" w:line="3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Stock appreciation rights, or “SARs,” typically provide for payments to the holder based upon increases in the price of our shares from the date the SAR was granted to the date that the right is exercised. The Committee will generally determine when the SAR will vest and become exercisable. The grant price of a SAR may not be less than the fair market value of a share on the date of grant of the SAR. The Committee determines the term of a SAR, but no SAR will be exercisable more than ten years after the date it is granted.</w:t>
      </w:r>
    </w:p>
    <w:p>
      <w:pPr>
        <w:spacing w:after="0" w:line="204"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A SAR may be granted in connection with an option, either at the time of grant or at any time thereafter during the term of the option. Upon exercise, a SAR granted in connection with an option will entitle the holder to surrender the option or any portion thereof to the extent unexercised, with respect to the number of shares as to which such SAR is exercised. The option will, to the extent and when surrendered, cease to be exercisable. If a related option is exercised in whole or in part, then the SAR related to the shares purchased terminates as of the date of such exercise.</w:t>
      </w:r>
    </w:p>
    <w:p>
      <w:pPr>
        <w:spacing w:after="0" w:line="20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Committee may elect to settle exercised SARs in cash, in shares, or in a combination of cash and shares. Until the shares are issued, no right to vote or receive dividends or any other rights as a shareholder will exist with respect to the shares subject to a SAR, notwithstanding the exercise of the SAR. No adjustment will be made for a dividend or other right for which the record date is prior to the date the shares are issued, except in the case of a capitalization event as provided under the terms of the Amended 2002 Plan.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Share-Based Awards</w:t>
      </w:r>
    </w:p>
    <w:p>
      <w:pPr>
        <w:spacing w:after="0" w:line="31"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The Committee is authorized under the Amended 2002 Plan to make any other award that is not inconsistent with the provisions of the Amended 2002 Plan and that by its terms involves or might involve the issuance of shares, or of a right vesting based on the passage of time, the occurrence of one or more events, or the satisfaction of performance criteria or other conditions, or the issuance of any other security with the value derived from the value</w:t>
      </w:r>
    </w:p>
    <w:p>
      <w:pPr>
        <w:spacing w:after="0" w:line="2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P72</w:t>
      </w:r>
    </w:p>
    <w:p>
      <w:pPr>
        <w:sectPr>
          <w:pgSz w:w="11900" w:h="16838" w:orient="portrait"/>
          <w:cols w:equalWidth="0" w:num="1">
            <w:col w:w="11420"/>
          </w:cols>
          <w:pgMar w:left="240" w:top="598" w:right="239" w:bottom="1440" w:gutter="0" w:footer="0" w:header="0"/>
        </w:sectPr>
      </w:pPr>
    </w:p>
    <w:bookmarkStart w:id="76" w:name="page77"/>
    <w:bookmarkEnd w:id="76"/>
    <w:p>
      <w:pPr>
        <w:ind w:right="60"/>
        <w:spacing w:after="0" w:line="253" w:lineRule="auto"/>
        <w:rPr>
          <w:sz w:val="20"/>
          <w:szCs w:val="20"/>
          <w:color w:val="auto"/>
        </w:rPr>
      </w:pPr>
      <w:r>
        <w:rPr>
          <w:rFonts w:ascii="Arial" w:cs="Arial" w:eastAsia="Arial" w:hAnsi="Arial"/>
          <w:sz w:val="18"/>
          <w:szCs w:val="18"/>
          <w:color w:val="auto"/>
        </w:rPr>
        <w:t>of the shares. The Committee may elect to settle these awards in cash, in shares, or in a combination of cash and shares. The Committee may establish the exercise price, if any, of any other share-based awards granted under the Plan, except that the exercise price may not be less than the fair market value of a share on the date of grant for an award that is intended to be exempt from Section 409A of the Internal Revenue Code. The Committee may establish the term of other share-based awards, but it may not exceed ten years. The Committee may authorize dividend equivalents to be paid on other share-based awards.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Performance-Based Awards</w:t>
      </w:r>
    </w:p>
    <w:p>
      <w:pPr>
        <w:spacing w:after="0" w:line="3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Committee may grant to eligible participants awards that are paid, vest or become exercisable upon the attainment of company performance goals which include, but are not limited to, one or more of the following performance criteria: cash flow (including, without limitation, operating cash flow and free cash flow), earnings per share, gross or net profit margin, net income (either before or after interest, taxes, amortization, and/or depreciation), operating income (either before or after restructuring and amortization charges), return on capital or return on invested capital, return on equity, return on operating assets or net assets, return on sales, sales or revenue, stock price goals or total shareholder return. The Committee intends to define objectively the manner of calculating the performance criteria it selects to use for any applicable performance period.</w:t>
      </w:r>
    </w:p>
    <w:p>
      <w:pPr>
        <w:spacing w:after="0" w:line="20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At the time of grant, the Committee may specify one or more objectively determinable adjustments to one or more of the performance goals. For all performance-based awards, the Committee intends that such determinations shall be made within the first twenty-five percent (25%) of the applicable performance period. No performance-based award may have a performance period with a duration that is less than twelve (12) months.</w:t>
      </w:r>
    </w:p>
    <w:p>
      <w:pPr>
        <w:spacing w:after="0" w:line="204" w:lineRule="exact"/>
        <w:rPr>
          <w:sz w:val="20"/>
          <w:szCs w:val="20"/>
          <w:color w:val="auto"/>
        </w:rPr>
      </w:pPr>
    </w:p>
    <w:p>
      <w:pPr>
        <w:ind w:right="480"/>
        <w:spacing w:after="0" w:line="262" w:lineRule="auto"/>
        <w:rPr>
          <w:sz w:val="20"/>
          <w:szCs w:val="20"/>
          <w:color w:val="auto"/>
        </w:rPr>
      </w:pPr>
      <w:r>
        <w:rPr>
          <w:rFonts w:ascii="Arial" w:cs="Arial" w:eastAsia="Arial" w:hAnsi="Arial"/>
          <w:sz w:val="18"/>
          <w:szCs w:val="18"/>
          <w:color w:val="auto"/>
        </w:rPr>
        <w:t>Notwithstanding the foregoing, while the Committee intends to grant performance-based awards subject to the conditions and procedures outlined above, the Committee may in its discretion grant awards that do not meet such conditions and procedures.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Transferability of Awards</w:t>
      </w:r>
    </w:p>
    <w:p>
      <w:pPr>
        <w:spacing w:after="0" w:line="31"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Except as otherwise provided by the Committee, no award granted under the Amended 2002 Plan may be assigned, transferred, or otherwise disposed of by a participant other than by will or the laws of descent and distribution.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Minimum One-Year Vesting Requirement</w:t>
      </w:r>
    </w:p>
    <w:p>
      <w:pPr>
        <w:spacing w:after="0" w:line="31" w:lineRule="exact"/>
        <w:rPr>
          <w:sz w:val="20"/>
          <w:szCs w:val="20"/>
          <w:color w:val="auto"/>
        </w:rPr>
      </w:pPr>
    </w:p>
    <w:p>
      <w:pPr>
        <w:jc w:val="both"/>
        <w:ind w:right="420"/>
        <w:spacing w:after="0" w:line="256" w:lineRule="auto"/>
        <w:rPr>
          <w:sz w:val="20"/>
          <w:szCs w:val="20"/>
          <w:color w:val="auto"/>
        </w:rPr>
      </w:pPr>
      <w:r>
        <w:rPr>
          <w:rFonts w:ascii="Arial" w:cs="Arial" w:eastAsia="Arial" w:hAnsi="Arial"/>
          <w:sz w:val="18"/>
          <w:szCs w:val="18"/>
          <w:color w:val="auto"/>
        </w:rPr>
        <w:t>No award may vest before the first anniversary of the date of grant with the exception of (i) up to five percent (5%) of the number of shares reserved under the Amended 2002 Plan for future awards as of the date the Amended 2002 Plan becomes effective, (ii) awards granted in connection with the assumption or substitution of awards as part of a transaction, and (iii) awards that may be settled only in cash.</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Dividends/Dividend Equivalents</w:t>
      </w:r>
    </w:p>
    <w:p>
      <w:pPr>
        <w:spacing w:after="0" w:line="31"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To the extent that any dividends or dividend equivalents are payable with respect to a full value award, the dividend or dividend equivalents, as applicable, will not be paid unless the underlying award vests.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Control</w:t>
      </w:r>
    </w:p>
    <w:p>
      <w:pPr>
        <w:spacing w:after="0" w:line="31"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Provided that any applicable award agreement does not preclude the following from applying, in the event of a change in control of our company, each outstanding award that vests solely on the passage of time under the Amended 2002 Plan will immediately vest in the event the award is not converted, assumed, substituted or replaced by the successor corporation, and following the change in control, the awards will immediately terminate. Awards that vest based on the attainment of performance-based conditions shall be subject to the change in control provisions in the applicable award agreement, provided that the agreement does not permit vesting at a rate that is greater than the actual level of attainment and/or provide for pro-rated vesting based on any reduction to the performance period resulting from the change in control. Where awards are assumed, substituted or otherwise continued after a change in control of our company, the Committee may provide that one or more awards will automatically accelerate upon an involuntary termination of the participant’s employment or service within a designated period in connection with the change of control. “Change in control” has a special meaning that is defined in the Amended 2002 Plan.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Adjustments upon Changes in Capitalization</w:t>
      </w:r>
    </w:p>
    <w:p>
      <w:pPr>
        <w:spacing w:after="0" w:line="31" w:lineRule="exact"/>
        <w:rPr>
          <w:sz w:val="20"/>
          <w:szCs w:val="20"/>
          <w:color w:val="auto"/>
        </w:rPr>
      </w:pPr>
    </w:p>
    <w:p>
      <w:pPr>
        <w:jc w:val="both"/>
        <w:ind w:right="500"/>
        <w:spacing w:after="0" w:line="256" w:lineRule="auto"/>
        <w:rPr>
          <w:sz w:val="20"/>
          <w:szCs w:val="20"/>
          <w:color w:val="auto"/>
        </w:rPr>
      </w:pPr>
      <w:r>
        <w:rPr>
          <w:rFonts w:ascii="Arial" w:cs="Arial" w:eastAsia="Arial" w:hAnsi="Arial"/>
          <w:sz w:val="18"/>
          <w:szCs w:val="18"/>
          <w:color w:val="auto"/>
        </w:rPr>
        <w:t>In the event of any stock dividend, stock split, combination or exchange of shares, merger, consolidation, or other distribution (other than normal cash dividends) of assets to our shareholders or any other similar event or change in capitalization affecting our shares other than certain equity restructurings identified in the Amended 2002 Plan, the</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P73</w:t>
      </w:r>
    </w:p>
    <w:p>
      <w:pPr>
        <w:sectPr>
          <w:pgSz w:w="11900" w:h="16838" w:orient="portrait"/>
          <w:cols w:equalWidth="0" w:num="1">
            <w:col w:w="11420"/>
          </w:cols>
          <w:pgMar w:left="240" w:top="598" w:right="239" w:bottom="1440" w:gutter="0" w:footer="0" w:header="0"/>
        </w:sectPr>
      </w:pPr>
    </w:p>
    <w:bookmarkStart w:id="77" w:name="page78"/>
    <w:bookmarkEnd w:id="77"/>
    <w:p>
      <w:pPr>
        <w:ind w:right="20"/>
        <w:spacing w:after="0" w:line="254" w:lineRule="auto"/>
        <w:rPr>
          <w:sz w:val="20"/>
          <w:szCs w:val="20"/>
          <w:color w:val="auto"/>
        </w:rPr>
      </w:pPr>
      <w:r>
        <w:rPr>
          <w:rFonts w:ascii="Arial" w:cs="Arial" w:eastAsia="Arial" w:hAnsi="Arial"/>
          <w:sz w:val="18"/>
          <w:szCs w:val="18"/>
          <w:color w:val="auto"/>
        </w:rPr>
        <w:t>Committee has discretion to make appropriate adjustments in the number and type of shares subject to the Amended 2002 Plan, the terms and conditions of any award outstanding under the Amended 2002 Plan, and the grant or exercise price of any such award. In the case of certain equity restructurings as specified in the Amended 2002 Plan, the number and type of securities subject to each outstanding award and the grant or exercise price, if applicable, will be equitably adjusted.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and Termination of Plan</w:t>
      </w:r>
    </w:p>
    <w:p>
      <w:pPr>
        <w:spacing w:after="0" w:line="31"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With the approval of our Board of Directors, at any time and from time to time, the Committee may terminate, amend or modify the Amended 2002 Plan, except that the Board may not, without prior shareholder approval, amend the Amended 2002 Plan in any manner that would require shareholder approval to comply with any applicable laws, rules or regulations. Except as may be required to avoid adverse tax consequences under Section 409A of the Internal Revenue Code or as may be required or desirable to facilitate compliance with applicable law, no termination, amendment or modification of the Amended 2002 Plan may adversely affect in any material way any award granted under the Amended 2002 Plan without the consent of the participant.</w:t>
      </w:r>
    </w:p>
    <w:p>
      <w:pPr>
        <w:spacing w:after="0" w:line="20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Furthermore, absent approval of our shareholders and except as permitted under the provisions of the Amended 2002 Plan dealing with certain capitalization adjustments and change in control, no option or SAR may be amended to reduce the exercise price or grant price of the shares subject to such option or SAR and no option or SAR may be cancelled in exchange for the grant of an option or SAR having a lower per share exercise price or for a cash payment or another award at a time when the option or SAR has a per share exercise price that is higher than the fair market value of the shares.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Clawback/Recovery</w:t>
      </w:r>
    </w:p>
    <w:p>
      <w:pPr>
        <w:spacing w:after="0" w:line="31"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Awards are subject to recoupment under any “clawback” policy that the Company adopts for the recovery of awards or payments thereunder in the event of fraud or as required by applicable law or governance considerations or in other similar circumstances.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Term</w:t>
      </w:r>
    </w:p>
    <w:p>
      <w:pPr>
        <w:spacing w:after="0" w:line="3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Amended 2002 Plan will continue in effect until terminated by our Board of Directors, but no incentive stock options may be granted under the Amended 2002 Plan after the tenth anniversary of the date the amendments to the Amended 2002 Plan were approved by our Board of Directors. Any awards that are outstanding at the time the Amended 2002 Plan terminates will remain in force according to the terms of the Amended 2002 Plan and the applicable agreement evidencing the award.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Income Tax Consequences</w:t>
      </w:r>
    </w:p>
    <w:p>
      <w:pPr>
        <w:spacing w:after="0" w:line="31"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 xml:space="preserve">The following is a summary of the U.S. federal income tax consequences applicable to equity awards under the Amended 2002 Plan based on current U.S. federal income tax laws. The Amended 2002 Plan is not qualified under Section 401(a) of the Internal Revenue Code. </w:t>
      </w:r>
      <w:r>
        <w:rPr>
          <w:rFonts w:ascii="Arial" w:cs="Arial" w:eastAsia="Arial" w:hAnsi="Arial"/>
          <w:sz w:val="18"/>
          <w:szCs w:val="18"/>
          <w:b w:val="1"/>
          <w:bCs w:val="1"/>
          <w:color w:val="auto"/>
        </w:rPr>
        <w:t>The</w:t>
      </w:r>
      <w:r>
        <w:rPr>
          <w:rFonts w:ascii="Arial" w:cs="Arial" w:eastAsia="Arial" w:hAnsi="Arial"/>
          <w:sz w:val="18"/>
          <w:szCs w:val="18"/>
          <w:color w:val="auto"/>
        </w:rPr>
        <w:t xml:space="preserve"> </w:t>
      </w:r>
      <w:r>
        <w:rPr>
          <w:rFonts w:ascii="Arial" w:cs="Arial" w:eastAsia="Arial" w:hAnsi="Arial"/>
          <w:sz w:val="18"/>
          <w:szCs w:val="18"/>
          <w:b w:val="1"/>
          <w:bCs w:val="1"/>
          <w:color w:val="auto"/>
        </w:rPr>
        <w:t>summary is general in nature and is not intended to cover all tax consequences that may apply to a particular employee, director or to our company. The provisions of the Internal Revenue Code and regulations thereunder relating to these matters are complicated, may change and their impact in any one case may depend upon the particular circumstances. Further, this summary does not discuss the tax consequences of a participant’s death or the provisions of any income tax laws of any municipality, state or foreign country in which a participant may reside.</w:t>
      </w:r>
    </w:p>
    <w:p>
      <w:pPr>
        <w:spacing w:after="0" w:line="18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i w:val="1"/>
          <w:iCs w:val="1"/>
          <w:color w:val="auto"/>
        </w:rPr>
        <w:t xml:space="preserve">Nonqualified Stock Options. </w:t>
      </w:r>
      <w:r>
        <w:rPr>
          <w:rFonts w:ascii="Arial" w:cs="Arial" w:eastAsia="Arial" w:hAnsi="Arial"/>
          <w:sz w:val="18"/>
          <w:szCs w:val="18"/>
          <w:color w:val="auto"/>
        </w:rPr>
        <w:t>With respect to nonqualified stock options: (i) no income is recognized by the participant at the time the</w:t>
      </w:r>
      <w:r>
        <w:rPr>
          <w:rFonts w:ascii="Arial" w:cs="Arial" w:eastAsia="Arial" w:hAnsi="Arial"/>
          <w:sz w:val="18"/>
          <w:szCs w:val="18"/>
          <w:i w:val="1"/>
          <w:iCs w:val="1"/>
          <w:color w:val="auto"/>
        </w:rPr>
        <w:t xml:space="preserve"> </w:t>
      </w:r>
      <w:r>
        <w:rPr>
          <w:rFonts w:ascii="Arial" w:cs="Arial" w:eastAsia="Arial" w:hAnsi="Arial"/>
          <w:sz w:val="18"/>
          <w:szCs w:val="18"/>
          <w:color w:val="auto"/>
        </w:rPr>
        <w:t>nonqualified stock option is granted; (ii) generally, at exercise, ordinary income is recognized by the participant in an amount equal to the difference between the option exercise price paid for the shares and the fair market value of the shares on the date of exercise and we are entitled to a tax deduction in the same amount (subject to the restrictions on deductibility described under “Section 162(m) Limitation” below); and (iii) upon disposition of the shares, any gain or loss is treated as capital gain or loss. If the options are exercised and the shares acquired are sold on the same date, generally, the difference between the option exercise price paid for the shares and the sale price is recognized as ordinary income and no capital gain or loss is reported. If required, income tax must be withheld from the participant on the income recognized by the participant upon exercise of a nonqualified stock option.</w:t>
      </w:r>
    </w:p>
    <w:p>
      <w:pPr>
        <w:spacing w:after="0" w:line="185"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i w:val="1"/>
          <w:iCs w:val="1"/>
          <w:color w:val="auto"/>
        </w:rPr>
        <w:t xml:space="preserve">Incentive Stock Options. </w:t>
      </w:r>
      <w:r>
        <w:rPr>
          <w:rFonts w:ascii="Arial" w:cs="Arial" w:eastAsia="Arial" w:hAnsi="Arial"/>
          <w:sz w:val="18"/>
          <w:szCs w:val="18"/>
          <w:color w:val="auto"/>
        </w:rPr>
        <w:t>The grant of an incentive stock option under the Amended 2002 Plan will not result in any federal income tax</w:t>
      </w:r>
      <w:r>
        <w:rPr>
          <w:rFonts w:ascii="Arial" w:cs="Arial" w:eastAsia="Arial" w:hAnsi="Arial"/>
          <w:sz w:val="18"/>
          <w:szCs w:val="18"/>
          <w:i w:val="1"/>
          <w:iCs w:val="1"/>
          <w:color w:val="auto"/>
        </w:rPr>
        <w:t xml:space="preserve"> </w:t>
      </w:r>
      <w:r>
        <w:rPr>
          <w:rFonts w:ascii="Arial" w:cs="Arial" w:eastAsia="Arial" w:hAnsi="Arial"/>
          <w:sz w:val="18"/>
          <w:szCs w:val="18"/>
          <w:color w:val="auto"/>
        </w:rPr>
        <w:t>consequences to the participant or to our company. A participant recognizes no federal taxable income upon exercising an incentive stock option (subject to the alternative minimum tax rules discussed below), and we receive no deduction at the time of exercise. In the event of a disposition of common stock acquired upon</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P74</w:t>
      </w:r>
    </w:p>
    <w:p>
      <w:pPr>
        <w:sectPr>
          <w:pgSz w:w="11900" w:h="16838" w:orient="portrait"/>
          <w:cols w:equalWidth="0" w:num="1">
            <w:col w:w="11420"/>
          </w:cols>
          <w:pgMar w:left="240" w:top="598" w:right="239" w:bottom="1440" w:gutter="0" w:footer="0" w:header="0"/>
        </w:sectPr>
      </w:pPr>
    </w:p>
    <w:bookmarkStart w:id="78" w:name="page79"/>
    <w:bookmarkEnd w:id="78"/>
    <w:p>
      <w:pPr>
        <w:jc w:val="both"/>
        <w:ind w:right="80"/>
        <w:spacing w:after="0" w:line="254" w:lineRule="auto"/>
        <w:rPr>
          <w:sz w:val="20"/>
          <w:szCs w:val="20"/>
          <w:color w:val="auto"/>
        </w:rPr>
      </w:pPr>
      <w:r>
        <w:rPr>
          <w:rFonts w:ascii="Arial" w:cs="Arial" w:eastAsia="Arial" w:hAnsi="Arial"/>
          <w:sz w:val="18"/>
          <w:szCs w:val="18"/>
          <w:color w:val="auto"/>
        </w:rPr>
        <w:t>exercise of an incentive stock option, the tax consequences depend upon how long the participant has held the shares of common stock. If the participant does not dispose of the shares within two years after the incentive stock option was granted, nor within one year after the incentive stock option was exercised, the participant will recognize a long-term capital gain (or loss) equal to the difference between the sale price of the shares and the exercise price. We are not entitled to any deduction under these circumstances.</w:t>
      </w:r>
    </w:p>
    <w:p>
      <w:pPr>
        <w:spacing w:after="0" w:line="20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If the participant fails to satisfy either of these holding periods, he or she must recognize ordinary income in the year of the disposition (referred to as a “disqualifying disposition”). The amount of such ordinary income generally is the lesser of (A) the difference between the amount realized on the disposition and the exercise price or (B) the difference between the fair market value of the common stock on the exercise date and the exercise price. Any gain in excess of the amount taxed as ordinary income will be treated as a long- or short-term capital gain, depending on whether the common stock was held for more than one year. In the year of the disqualifying disposition, we are entitled to a deduction equal to the amount of ordinary income recognized by the participant, subject to possible limitations imposed by Section 162(m) of the Internal Revenue Code.</w:t>
      </w:r>
    </w:p>
    <w:p>
      <w:pPr>
        <w:spacing w:after="0" w:line="18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i w:val="1"/>
          <w:iCs w:val="1"/>
          <w:color w:val="auto"/>
        </w:rPr>
        <w:t>spread</w:t>
      </w:r>
      <w:r>
        <w:rPr>
          <w:rFonts w:ascii="Arial" w:cs="Arial" w:eastAsia="Arial" w:hAnsi="Arial"/>
          <w:sz w:val="18"/>
          <w:szCs w:val="18"/>
          <w:color w:val="auto"/>
        </w:rPr>
        <w:t>” under an incentive stock option (</w:t>
      </w:r>
      <w:r>
        <w:rPr>
          <w:rFonts w:ascii="Arial" w:cs="Arial" w:eastAsia="Arial" w:hAnsi="Arial"/>
          <w:sz w:val="18"/>
          <w:szCs w:val="18"/>
          <w:i w:val="1"/>
          <w:iCs w:val="1"/>
          <w:color w:val="auto"/>
        </w:rPr>
        <w:t>i.e.</w:t>
      </w:r>
      <w:r>
        <w:rPr>
          <w:rFonts w:ascii="Arial" w:cs="Arial" w:eastAsia="Arial" w:hAnsi="Arial"/>
          <w:sz w:val="18"/>
          <w:szCs w:val="18"/>
          <w:color w:val="auto"/>
        </w:rPr>
        <w:t>, the difference between the fair market value of the shares at exercise and the exercise price) is classified as an item of adjustment in the year of exercise for purposes of the alternative minimum tax. If a participant’s alternative minimum tax liability exceeds such participant’s regular income tax liability, the participant will owe the larger amount of taxes. The alternative minimum tax will not apply with respect to incentive stock options if the participant sells the shares within the same calendar year in which the incentive stock options are exercised. However, such a sale of shares within the same year of exercise will constitute a disqualifying disposition, as described above.</w:t>
      </w:r>
    </w:p>
    <w:p>
      <w:pPr>
        <w:spacing w:after="0" w:line="183"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i w:val="1"/>
          <w:iCs w:val="1"/>
          <w:color w:val="auto"/>
        </w:rPr>
        <w:t xml:space="preserve">Stock Appreciation Rights. </w:t>
      </w:r>
      <w:r>
        <w:rPr>
          <w:rFonts w:ascii="Arial" w:cs="Arial" w:eastAsia="Arial" w:hAnsi="Arial"/>
          <w:sz w:val="18"/>
          <w:szCs w:val="18"/>
          <w:color w:val="auto"/>
        </w:rPr>
        <w:t>Upon exercise of a SAR, the participant will recognize ordinary income (treated as compensation) in an amount</w:t>
      </w:r>
      <w:r>
        <w:rPr>
          <w:rFonts w:ascii="Arial" w:cs="Arial" w:eastAsia="Arial" w:hAnsi="Arial"/>
          <w:sz w:val="18"/>
          <w:szCs w:val="18"/>
          <w:i w:val="1"/>
          <w:iCs w:val="1"/>
          <w:color w:val="auto"/>
        </w:rPr>
        <w:t xml:space="preserve"> </w:t>
      </w:r>
      <w:r>
        <w:rPr>
          <w:rFonts w:ascii="Arial" w:cs="Arial" w:eastAsia="Arial" w:hAnsi="Arial"/>
          <w:sz w:val="18"/>
          <w:szCs w:val="18"/>
          <w:color w:val="auto"/>
        </w:rPr>
        <w:t>equal to the excess of the aggregate fair market value of the shares on the date the SAR is exercised over the aggregate exercise price of the SAR. We generally will be entitled to a business expense deduction in the same amount and at the same time as the participant recognizes ordinary compensation income (subject to the limits of Section 162(m) of the Internal Revenue Code). If required, income tax will be withheld from the participant on the income recognized by the participant upon exercise of a SAR.</w:t>
      </w:r>
    </w:p>
    <w:p>
      <w:pPr>
        <w:spacing w:after="0" w:line="184"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i w:val="1"/>
          <w:iCs w:val="1"/>
          <w:color w:val="auto"/>
        </w:rPr>
        <w:t xml:space="preserve">Restricted Stock. </w:t>
      </w:r>
      <w:r>
        <w:rPr>
          <w:rFonts w:ascii="Arial" w:cs="Arial" w:eastAsia="Arial" w:hAnsi="Arial"/>
          <w:sz w:val="18"/>
          <w:szCs w:val="18"/>
          <w:color w:val="auto"/>
        </w:rPr>
        <w:t>In the absence of a Section 83(b) election (as described below), a participant who receives restricted stock will recognize no</w:t>
      </w:r>
      <w:r>
        <w:rPr>
          <w:rFonts w:ascii="Arial" w:cs="Arial" w:eastAsia="Arial" w:hAnsi="Arial"/>
          <w:sz w:val="18"/>
          <w:szCs w:val="18"/>
          <w:i w:val="1"/>
          <w:iCs w:val="1"/>
          <w:color w:val="auto"/>
        </w:rPr>
        <w:t xml:space="preserve"> </w:t>
      </w:r>
      <w:r>
        <w:rPr>
          <w:rFonts w:ascii="Arial" w:cs="Arial" w:eastAsia="Arial" w:hAnsi="Arial"/>
          <w:sz w:val="18"/>
          <w:szCs w:val="18"/>
          <w:color w:val="auto"/>
        </w:rPr>
        <w:t>income at the time of grant. When the restrictions lapse, a participant will recognize ordinary income (treated as compensation) equal to the excess of the fair market value of the stock when the restrictions lapse over the amount paid (if any) for the stock. As the restrictions applicable to a grant of restricted stock lapse (for example, if the restrictions on 20% of a grant lapse on each anniversary of the grant date), the participant will include the applicable portion of the shares that vests as ordinary income (treated as compensation). The participant’s basis in the common stock is equal to the amount included in income on the expiration of the restrictions and the amount paid (if any), and the holding period will begin when the restrictions end. Any disposition of the restricted stock will result in a long- or short-term capital gain or loss, depending on the time the common stock is held after the restrictions end. We generally will be entitled to a deduction equal to the fair market value of the common stock when it is included in the participant’s income, and will also be entitled to a business expense deduction for dividends paid to the participant (if any) on common stock that remains subject to restrictions (in each case subject to the limits of Section 162(m) of the Internal Revenue Code).</w:t>
      </w:r>
    </w:p>
    <w:p>
      <w:pPr>
        <w:spacing w:after="0" w:line="21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If a Section 83(b) election is made within 30 days of the grant of the award, the participant must recognize the fair market value of the restricted stock on the date of grant as ordinary income (treated as compensation) as of the date of grant, and the holding period would begin at the time the restricted stock is granted. We generally would be entitled to a corresponding business expense deduction for the grant, but dividends on the stock would not be deductible. Any subsequent disposition of the stock by the participant, other than by forfeiture, would result in capital gain or loss, which would be long- or short-term, depending on the length of the holding period. Upon a subsequent forfeiture of restricted stock with respect to which a Section 83(b) election has been made, no deduction will be allowed in respect of the amount included as income at the time the Section 83(b) election was made; however, the participant will generally be allowed a loss deduction equal to the amount (if any) the participant paid for the restricted stock over the amount (if any) we paid the participant for the restricted stock at the time it is forfeited.</w:t>
      </w:r>
    </w:p>
    <w:p>
      <w:pPr>
        <w:spacing w:after="0" w:line="206" w:lineRule="exact"/>
        <w:rPr>
          <w:sz w:val="20"/>
          <w:szCs w:val="20"/>
          <w:color w:val="auto"/>
        </w:rPr>
      </w:pPr>
    </w:p>
    <w:p>
      <w:pPr>
        <w:ind w:right="580"/>
        <w:spacing w:after="0" w:line="262" w:lineRule="auto"/>
        <w:rPr>
          <w:sz w:val="20"/>
          <w:szCs w:val="20"/>
          <w:color w:val="auto"/>
        </w:rPr>
      </w:pPr>
      <w:r>
        <w:rPr>
          <w:rFonts w:ascii="Arial" w:cs="Arial" w:eastAsia="Arial" w:hAnsi="Arial"/>
          <w:sz w:val="18"/>
          <w:szCs w:val="18"/>
          <w:color w:val="auto"/>
        </w:rPr>
        <w:t>If required, income tax will be withheld from the participant on the income recognized by the participant at the time the restrictions on the restricted stock lapse (or grant of the restricted stock, in the event the participant makes a Section 83(b) election).</w:t>
      </w:r>
    </w:p>
    <w:p>
      <w:pPr>
        <w:spacing w:after="0" w:line="2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P75</w:t>
      </w:r>
    </w:p>
    <w:p>
      <w:pPr>
        <w:sectPr>
          <w:pgSz w:w="11900" w:h="16838" w:orient="portrait"/>
          <w:cols w:equalWidth="0" w:num="1">
            <w:col w:w="11420"/>
          </w:cols>
          <w:pgMar w:left="240" w:top="598" w:right="239" w:bottom="1440" w:gutter="0" w:footer="0" w:header="0"/>
        </w:sectPr>
      </w:pPr>
    </w:p>
    <w:bookmarkStart w:id="79" w:name="page80"/>
    <w:bookmarkEnd w:id="79"/>
    <w:p>
      <w:pPr>
        <w:ind w:right="140"/>
        <w:spacing w:after="0" w:line="257" w:lineRule="auto"/>
        <w:rPr>
          <w:sz w:val="20"/>
          <w:szCs w:val="20"/>
          <w:color w:val="auto"/>
        </w:rPr>
      </w:pPr>
      <w:r>
        <w:rPr>
          <w:rFonts w:ascii="Arial" w:cs="Arial" w:eastAsia="Arial" w:hAnsi="Arial"/>
          <w:sz w:val="18"/>
          <w:szCs w:val="18"/>
          <w:i w:val="1"/>
          <w:iCs w:val="1"/>
          <w:color w:val="auto"/>
        </w:rPr>
        <w:t xml:space="preserve">Restricted Stock Units. </w:t>
      </w:r>
      <w:r>
        <w:rPr>
          <w:rFonts w:ascii="Arial" w:cs="Arial" w:eastAsia="Arial" w:hAnsi="Arial"/>
          <w:sz w:val="18"/>
          <w:szCs w:val="18"/>
          <w:color w:val="auto"/>
        </w:rPr>
        <w:t>A participant will not recognize any income at the time a restricted stock unit is granted, nor will we be entitled to a</w:t>
      </w:r>
      <w:r>
        <w:rPr>
          <w:rFonts w:ascii="Arial" w:cs="Arial" w:eastAsia="Arial" w:hAnsi="Arial"/>
          <w:sz w:val="18"/>
          <w:szCs w:val="18"/>
          <w:i w:val="1"/>
          <w:iCs w:val="1"/>
          <w:color w:val="auto"/>
        </w:rPr>
        <w:t xml:space="preserve"> </w:t>
      </w:r>
      <w:r>
        <w:rPr>
          <w:rFonts w:ascii="Arial" w:cs="Arial" w:eastAsia="Arial" w:hAnsi="Arial"/>
          <w:sz w:val="18"/>
          <w:szCs w:val="18"/>
          <w:color w:val="auto"/>
        </w:rPr>
        <w:t>deduction at that time. When payment on a restricted stock unit is made, the participant will recognize ordinary income in an amount equal to the difference between the fair market value of the common stock received (or if the restricted stock unit is settled in cash, the cash amount) and the amount paid as consideration for the units, which will typically be nil. If required, income tax will be withheld on the income recognized by the participant. We will receive a deduction for federal income tax purposes equal to the ordinary income recognized by the participant, subject to the limits of Section 162(m) of the Code.</w:t>
      </w:r>
    </w:p>
    <w:p>
      <w:pPr>
        <w:spacing w:after="0" w:line="183"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i w:val="1"/>
          <w:iCs w:val="1"/>
          <w:color w:val="auto"/>
        </w:rPr>
        <w:t xml:space="preserve">Performance-Based Awards. </w:t>
      </w:r>
      <w:r>
        <w:rPr>
          <w:rFonts w:ascii="Arial" w:cs="Arial" w:eastAsia="Arial" w:hAnsi="Arial"/>
          <w:sz w:val="18"/>
          <w:szCs w:val="18"/>
          <w:color w:val="auto"/>
        </w:rPr>
        <w:t>A participant will generally not recognize income at the time an award based on achievement of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objectives is granted, nor will we be entitled to a deduction at that time. When payment on the performance award is made, the participant generally will recognize ordinary income in an amount equal to the fair market value of the common stock received (or if the award is settled in cash, the cash amount). If required, income tax must be withheld on the income recognized by the participant. We will receive a deduction for federal income tax purposes equal to the ordinary income recognized by the participant, subject to the limits of Section 162(m) of the Code.</w:t>
      </w:r>
    </w:p>
    <w:p>
      <w:pPr>
        <w:spacing w:after="0" w:line="184" w:lineRule="exact"/>
        <w:rPr>
          <w:sz w:val="20"/>
          <w:szCs w:val="20"/>
          <w:color w:val="auto"/>
        </w:rPr>
      </w:pPr>
    </w:p>
    <w:p>
      <w:pPr>
        <w:jc w:val="both"/>
        <w:ind w:right="120"/>
        <w:spacing w:after="0" w:line="266" w:lineRule="auto"/>
        <w:rPr>
          <w:sz w:val="20"/>
          <w:szCs w:val="20"/>
          <w:color w:val="auto"/>
        </w:rPr>
      </w:pPr>
      <w:r>
        <w:rPr>
          <w:rFonts w:ascii="Arial" w:cs="Arial" w:eastAsia="Arial" w:hAnsi="Arial"/>
          <w:sz w:val="18"/>
          <w:szCs w:val="18"/>
          <w:i w:val="1"/>
          <w:iCs w:val="1"/>
          <w:color w:val="auto"/>
        </w:rPr>
        <w:t xml:space="preserve">Dividend Equivalents. </w:t>
      </w:r>
      <w:r>
        <w:rPr>
          <w:rFonts w:ascii="Arial" w:cs="Arial" w:eastAsia="Arial" w:hAnsi="Arial"/>
          <w:sz w:val="18"/>
          <w:szCs w:val="18"/>
          <w:color w:val="auto"/>
        </w:rPr>
        <w:t>A recipient of dividend equivalents generally will recognize ordinary income at the time the dividend equivalent is paid. If</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income tax will be withheld on the income recognized by the participant. We will receive a deduction for federal income tax purposes equal to the ordinary income recognized by the participant, subject to the limits of Section 162(m) of the Code.</w:t>
      </w:r>
    </w:p>
    <w:p>
      <w:pPr>
        <w:spacing w:after="0" w:line="176"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i w:val="1"/>
          <w:iCs w:val="1"/>
          <w:color w:val="auto"/>
        </w:rPr>
        <w:t xml:space="preserve">Section 162(m) Limitation. </w:t>
      </w:r>
      <w:r>
        <w:rPr>
          <w:rFonts w:ascii="Arial" w:cs="Arial" w:eastAsia="Arial" w:hAnsi="Arial"/>
          <w:sz w:val="18"/>
          <w:szCs w:val="18"/>
          <w:color w:val="auto"/>
        </w:rPr>
        <w:t>Under Section 162(m) of the Internal Revenue Code, income tax deductions of publicly-held corporations are</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limited to the extent total compensation (including base salary, annual bonus, stock option exercises and non-qualified benefits paid) for specified executive officers exceeds $1 million (less the amount of any “excess parachute payments” as defined in Section 280G of the Internal Revenue Code) in any one year.</w:t>
      </w:r>
    </w:p>
    <w:p>
      <w:pPr>
        <w:spacing w:after="0" w:line="180"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i w:val="1"/>
          <w:iCs w:val="1"/>
          <w:color w:val="auto"/>
        </w:rPr>
        <w:t xml:space="preserve">Section 409A. </w:t>
      </w:r>
      <w:r>
        <w:rPr>
          <w:rFonts w:ascii="Arial" w:cs="Arial" w:eastAsia="Arial" w:hAnsi="Arial"/>
          <w:sz w:val="18"/>
          <w:szCs w:val="18"/>
          <w:color w:val="auto"/>
        </w:rPr>
        <w:t>Section 409A of the Code imposes certain requirements on non-qualified deferred compensation arrangements. These include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on an individual’s election to defer compensation and the individual’s selection of the timing and form of distribution of the deferred compensation. If an award under the Amended 2002 Plan is subject to and fails to satisfy the requirements of Section 409A, the recipient of that award may recognize ordinary income on the amounts deferred under the award, to the extent vested, which may be prior to when the compensation is actually or constructively received. Also, if an award that is subject to Section 409A fails to comply with the requirements of Section 409A, Section 409A imposes an additional 20% federal penalty tax on compensation recognized as ordinary income, as well as interest on such deferred compensation.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Plan Benefits</w:t>
      </w:r>
    </w:p>
    <w:p>
      <w:pPr>
        <w:spacing w:after="0" w:line="31" w:lineRule="exact"/>
        <w:rPr>
          <w:sz w:val="20"/>
          <w:szCs w:val="20"/>
          <w:color w:val="auto"/>
        </w:rPr>
      </w:pPr>
    </w:p>
    <w:p>
      <w:pPr>
        <w:ind w:right="440"/>
        <w:spacing w:after="0" w:line="256" w:lineRule="auto"/>
        <w:rPr>
          <w:sz w:val="20"/>
          <w:szCs w:val="20"/>
          <w:color w:val="auto"/>
        </w:rPr>
      </w:pPr>
      <w:r>
        <w:rPr>
          <w:rFonts w:ascii="Arial" w:cs="Arial" w:eastAsia="Arial" w:hAnsi="Arial"/>
          <w:sz w:val="18"/>
          <w:szCs w:val="18"/>
          <w:color w:val="auto"/>
        </w:rPr>
        <w:t>Future awards to employees, officers, and directors under the Amended 2002 Plan are generally made at the discretion of the Committee. Therefore, the benefits and amounts that will be received or allocated under the Amended 2002 Plan, as amended, in the future are not determinable at this time.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Past Grants under the 2002 Plan</w:t>
      </w:r>
    </w:p>
    <w:p>
      <w:pPr>
        <w:spacing w:after="0" w:line="31"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As of February 16, 2018, awards covering 44,257,285 shares of the common stock had been granted under the 2002 Plan. The following table shows information regarding the grants of those awards among the persons and groups identified below.</w:t>
      </w: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P76</w:t>
      </w:r>
    </w:p>
    <w:p>
      <w:pPr>
        <w:sectPr>
          <w:pgSz w:w="11900" w:h="16838" w:orient="portrait"/>
          <w:cols w:equalWidth="0" w:num="1">
            <w:col w:w="11420"/>
          </w:cols>
          <w:pgMar w:left="240" w:top="796" w:right="2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PRIOR GRANTS UNDER THE 2002 PLAN</w:t>
      </w:r>
    </w:p>
    <w:p>
      <w:pPr>
        <w:spacing w:after="0" w:line="147" w:lineRule="exact"/>
        <w:rPr>
          <w:sz w:val="20"/>
          <w:szCs w:val="20"/>
          <w:color w:val="auto"/>
        </w:rPr>
      </w:pPr>
    </w:p>
    <w:tbl>
      <w:tblPr>
        <w:tblLayout w:type="fixed"/>
        <w:tblInd w:w="2390" w:type="dxa"/>
        <w:tblCellMar>
          <w:top w:w="0" w:type="dxa"/>
          <w:left w:w="0" w:type="dxa"/>
          <w:bottom w:w="0" w:type="dxa"/>
          <w:right w:w="0" w:type="dxa"/>
        </w:tblCellMar>
      </w:tblPr>
      <w:tr>
        <w:trPr>
          <w:trHeight w:val="189"/>
        </w:trPr>
        <w:tc>
          <w:tcPr>
            <w:tcW w:w="2520" w:type="dxa"/>
            <w:vAlign w:val="bottom"/>
            <w:tcBorders>
              <w:top w:val="single" w:sz="8" w:color="00000A"/>
              <w:left w:val="single" w:sz="8" w:color="00000A"/>
              <w:right w:val="single" w:sz="8" w:color="auto"/>
            </w:tcBorders>
            <w:shd w:val="clear" w:color="auto" w:fill="DDDDDD"/>
          </w:tcPr>
          <w:p>
            <w:pPr>
              <w:spacing w:after="0"/>
              <w:rPr>
                <w:sz w:val="16"/>
                <w:szCs w:val="16"/>
                <w:color w:val="auto"/>
              </w:rPr>
            </w:pPr>
          </w:p>
        </w:tc>
        <w:tc>
          <w:tcPr>
            <w:tcW w:w="720" w:type="dxa"/>
            <w:vAlign w:val="bottom"/>
            <w:tcBorders>
              <w:top w:val="single" w:sz="8" w:color="00000A"/>
              <w:right w:val="single" w:sz="8" w:color="auto"/>
            </w:tcBorders>
            <w:shd w:val="clear" w:color="auto" w:fill="DDDDDD"/>
          </w:tcPr>
          <w:p>
            <w:pPr>
              <w:jc w:val="center"/>
              <w:spacing w:after="0"/>
              <w:rPr>
                <w:sz w:val="20"/>
                <w:szCs w:val="20"/>
                <w:color w:val="auto"/>
              </w:rPr>
            </w:pPr>
            <w:r>
              <w:rPr>
                <w:rFonts w:ascii="Arial" w:cs="Arial" w:eastAsia="Arial" w:hAnsi="Arial"/>
                <w:sz w:val="14"/>
                <w:szCs w:val="14"/>
                <w:b w:val="1"/>
                <w:bCs w:val="1"/>
                <w:color w:val="auto"/>
              </w:rPr>
              <w:t>Options</w:t>
            </w:r>
          </w:p>
        </w:tc>
        <w:tc>
          <w:tcPr>
            <w:tcW w:w="780" w:type="dxa"/>
            <w:vAlign w:val="bottom"/>
            <w:tcBorders>
              <w:top w:val="single" w:sz="8" w:color="00000A"/>
              <w:right w:val="single" w:sz="8" w:color="auto"/>
            </w:tcBorders>
            <w:shd w:val="clear" w:color="auto" w:fill="DDDDDD"/>
          </w:tcPr>
          <w:p>
            <w:pPr>
              <w:jc w:val="center"/>
              <w:spacing w:after="0"/>
              <w:rPr>
                <w:sz w:val="20"/>
                <w:szCs w:val="20"/>
                <w:color w:val="auto"/>
              </w:rPr>
            </w:pPr>
            <w:r>
              <w:rPr>
                <w:rFonts w:ascii="Arial" w:cs="Arial" w:eastAsia="Arial" w:hAnsi="Arial"/>
                <w:sz w:val="14"/>
                <w:szCs w:val="14"/>
                <w:b w:val="1"/>
                <w:bCs w:val="1"/>
                <w:color w:val="auto"/>
              </w:rPr>
              <w:t>Restricted</w:t>
            </w:r>
          </w:p>
        </w:tc>
        <w:tc>
          <w:tcPr>
            <w:tcW w:w="800" w:type="dxa"/>
            <w:vAlign w:val="bottom"/>
            <w:tcBorders>
              <w:top w:val="single" w:sz="8" w:color="00000A"/>
              <w:right w:val="single" w:sz="8" w:color="auto"/>
            </w:tcBorders>
            <w:shd w:val="clear" w:color="auto" w:fill="DDDDDD"/>
          </w:tcPr>
          <w:p>
            <w:pPr>
              <w:jc w:val="center"/>
              <w:spacing w:after="0"/>
              <w:rPr>
                <w:sz w:val="20"/>
                <w:szCs w:val="20"/>
                <w:color w:val="auto"/>
              </w:rPr>
            </w:pPr>
            <w:r>
              <w:rPr>
                <w:rFonts w:ascii="Arial" w:cs="Arial" w:eastAsia="Arial" w:hAnsi="Arial"/>
                <w:sz w:val="14"/>
                <w:szCs w:val="14"/>
                <w:b w:val="1"/>
                <w:bCs w:val="1"/>
                <w:color w:val="auto"/>
              </w:rPr>
              <w:t>RSUs</w:t>
            </w:r>
          </w:p>
        </w:tc>
        <w:tc>
          <w:tcPr>
            <w:tcW w:w="1900" w:type="dxa"/>
            <w:vAlign w:val="bottom"/>
            <w:tcBorders>
              <w:top w:val="single" w:sz="8" w:color="00000A"/>
              <w:right w:val="single" w:sz="8" w:color="00000A"/>
            </w:tcBorders>
            <w:gridSpan w:val="2"/>
            <w:shd w:val="clear" w:color="auto" w:fill="DDDDDD"/>
          </w:tcPr>
          <w:p>
            <w:pPr>
              <w:ind w:left="280"/>
              <w:spacing w:after="0"/>
              <w:rPr>
                <w:sz w:val="20"/>
                <w:szCs w:val="20"/>
                <w:color w:val="auto"/>
              </w:rPr>
            </w:pPr>
            <w:r>
              <w:rPr>
                <w:rFonts w:ascii="Arial" w:cs="Arial" w:eastAsia="Arial" w:hAnsi="Arial"/>
                <w:sz w:val="14"/>
                <w:szCs w:val="14"/>
                <w:b w:val="1"/>
                <w:bCs w:val="1"/>
                <w:color w:val="auto"/>
              </w:rPr>
              <w:t>Performance RSUs</w:t>
            </w:r>
          </w:p>
        </w:tc>
        <w:tc>
          <w:tcPr>
            <w:tcW w:w="0" w:type="dxa"/>
            <w:vAlign w:val="bottom"/>
          </w:tcPr>
          <w:p>
            <w:pPr>
              <w:spacing w:after="0"/>
              <w:rPr>
                <w:sz w:val="1"/>
                <w:szCs w:val="1"/>
                <w:color w:val="auto"/>
              </w:rPr>
            </w:pPr>
          </w:p>
        </w:tc>
      </w:tr>
      <w:tr>
        <w:trPr>
          <w:trHeight w:val="190"/>
        </w:trPr>
        <w:tc>
          <w:tcPr>
            <w:tcW w:w="2520" w:type="dxa"/>
            <w:vAlign w:val="bottom"/>
            <w:tcBorders>
              <w:left w:val="single" w:sz="8" w:color="00000A"/>
              <w:right w:val="single" w:sz="8" w:color="auto"/>
            </w:tcBorders>
            <w:shd w:val="clear" w:color="auto" w:fill="DDDDDD"/>
          </w:tcPr>
          <w:p>
            <w:pPr>
              <w:spacing w:after="0"/>
              <w:rPr>
                <w:sz w:val="16"/>
                <w:szCs w:val="16"/>
                <w:color w:val="auto"/>
              </w:rPr>
            </w:pPr>
          </w:p>
        </w:tc>
        <w:tc>
          <w:tcPr>
            <w:tcW w:w="720" w:type="dxa"/>
            <w:vAlign w:val="bottom"/>
            <w:tcBorders>
              <w:right w:val="single" w:sz="8" w:color="auto"/>
            </w:tcBorders>
            <w:shd w:val="clear" w:color="auto" w:fill="DDDDDD"/>
          </w:tcPr>
          <w:p>
            <w:pPr>
              <w:spacing w:after="0"/>
              <w:rPr>
                <w:sz w:val="16"/>
                <w:szCs w:val="16"/>
                <w:color w:val="auto"/>
              </w:rPr>
            </w:pPr>
          </w:p>
        </w:tc>
        <w:tc>
          <w:tcPr>
            <w:tcW w:w="780" w:type="dxa"/>
            <w:vAlign w:val="bottom"/>
            <w:tcBorders>
              <w:right w:val="single" w:sz="8" w:color="auto"/>
            </w:tcBorders>
            <w:shd w:val="clear" w:color="auto" w:fill="DDDDDD"/>
          </w:tcPr>
          <w:p>
            <w:pPr>
              <w:jc w:val="center"/>
              <w:spacing w:after="0"/>
              <w:rPr>
                <w:sz w:val="20"/>
                <w:szCs w:val="20"/>
                <w:color w:val="auto"/>
              </w:rPr>
            </w:pPr>
            <w:r>
              <w:rPr>
                <w:rFonts w:ascii="Arial" w:cs="Arial" w:eastAsia="Arial" w:hAnsi="Arial"/>
                <w:sz w:val="14"/>
                <w:szCs w:val="14"/>
                <w:b w:val="1"/>
                <w:bCs w:val="1"/>
                <w:color w:val="auto"/>
              </w:rPr>
              <w:t>Stock</w:t>
            </w:r>
          </w:p>
        </w:tc>
        <w:tc>
          <w:tcPr>
            <w:tcW w:w="800" w:type="dxa"/>
            <w:vAlign w:val="bottom"/>
            <w:tcBorders>
              <w:right w:val="single" w:sz="8" w:color="auto"/>
            </w:tcBorders>
            <w:shd w:val="clear" w:color="auto" w:fill="DDDDDD"/>
          </w:tcPr>
          <w:p>
            <w:pPr>
              <w:spacing w:after="0"/>
              <w:rPr>
                <w:sz w:val="16"/>
                <w:szCs w:val="16"/>
                <w:color w:val="auto"/>
              </w:rPr>
            </w:pPr>
          </w:p>
        </w:tc>
        <w:tc>
          <w:tcPr>
            <w:tcW w:w="880" w:type="dxa"/>
            <w:vAlign w:val="bottom"/>
            <w:tcBorders>
              <w:right w:val="single" w:sz="8" w:color="DDDDDD"/>
            </w:tcBorders>
            <w:shd w:val="clear" w:color="auto" w:fill="DDDDDD"/>
          </w:tcPr>
          <w:p>
            <w:pPr>
              <w:spacing w:after="0"/>
              <w:rPr>
                <w:sz w:val="16"/>
                <w:szCs w:val="16"/>
                <w:color w:val="auto"/>
              </w:rPr>
            </w:pPr>
          </w:p>
        </w:tc>
        <w:tc>
          <w:tcPr>
            <w:tcW w:w="1020" w:type="dxa"/>
            <w:vAlign w:val="bottom"/>
            <w:tcBorders>
              <w:right w:val="single" w:sz="8" w:color="00000A"/>
            </w:tcBorders>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350"/>
        </w:trPr>
        <w:tc>
          <w:tcPr>
            <w:tcW w:w="2520" w:type="dxa"/>
            <w:vAlign w:val="bottom"/>
            <w:tcBorders>
              <w:left w:val="single" w:sz="8" w:color="00000A"/>
              <w:right w:val="single" w:sz="8" w:color="auto"/>
            </w:tcBorders>
            <w:shd w:val="clear" w:color="auto" w:fill="DDDDDD"/>
          </w:tcPr>
          <w:p>
            <w:pPr>
              <w:spacing w:after="0"/>
              <w:rPr>
                <w:sz w:val="24"/>
                <w:szCs w:val="24"/>
                <w:color w:val="auto"/>
              </w:rPr>
            </w:pPr>
          </w:p>
        </w:tc>
        <w:tc>
          <w:tcPr>
            <w:tcW w:w="720" w:type="dxa"/>
            <w:vAlign w:val="bottom"/>
            <w:tcBorders>
              <w:right w:val="single" w:sz="8" w:color="auto"/>
            </w:tcBorders>
            <w:shd w:val="clear" w:color="auto" w:fill="DDDDDD"/>
          </w:tcPr>
          <w:p>
            <w:pPr>
              <w:jc w:val="center"/>
              <w:spacing w:after="0"/>
              <w:rPr>
                <w:sz w:val="20"/>
                <w:szCs w:val="20"/>
                <w:color w:val="auto"/>
              </w:rPr>
            </w:pPr>
            <w:r>
              <w:rPr>
                <w:rFonts w:ascii="Arial" w:cs="Arial" w:eastAsia="Arial" w:hAnsi="Arial"/>
                <w:sz w:val="14"/>
                <w:szCs w:val="14"/>
                <w:b w:val="1"/>
                <w:bCs w:val="1"/>
                <w:color w:val="auto"/>
              </w:rPr>
              <w:t>Number</w:t>
            </w:r>
          </w:p>
        </w:tc>
        <w:tc>
          <w:tcPr>
            <w:tcW w:w="780" w:type="dxa"/>
            <w:vAlign w:val="bottom"/>
            <w:tcBorders>
              <w:right w:val="single" w:sz="8" w:color="auto"/>
            </w:tcBorders>
            <w:vMerge w:val="restart"/>
            <w:shd w:val="clear" w:color="auto" w:fill="DDDDDD"/>
          </w:tcPr>
          <w:p>
            <w:pPr>
              <w:jc w:val="center"/>
              <w:spacing w:after="0"/>
              <w:rPr>
                <w:sz w:val="20"/>
                <w:szCs w:val="20"/>
                <w:color w:val="auto"/>
              </w:rPr>
            </w:pPr>
            <w:r>
              <w:rPr>
                <w:rFonts w:ascii="Arial" w:cs="Arial" w:eastAsia="Arial" w:hAnsi="Arial"/>
                <w:sz w:val="14"/>
                <w:szCs w:val="14"/>
                <w:b w:val="1"/>
                <w:bCs w:val="1"/>
                <w:color w:val="auto"/>
              </w:rPr>
              <w:t>Number</w:t>
            </w:r>
          </w:p>
        </w:tc>
        <w:tc>
          <w:tcPr>
            <w:tcW w:w="800" w:type="dxa"/>
            <w:vAlign w:val="bottom"/>
            <w:tcBorders>
              <w:right w:val="single" w:sz="8" w:color="auto"/>
            </w:tcBorders>
            <w:vMerge w:val="restart"/>
            <w:shd w:val="clear" w:color="auto" w:fill="DDDDDD"/>
          </w:tcPr>
          <w:p>
            <w:pPr>
              <w:jc w:val="center"/>
              <w:spacing w:after="0"/>
              <w:rPr>
                <w:sz w:val="20"/>
                <w:szCs w:val="20"/>
                <w:color w:val="auto"/>
              </w:rPr>
            </w:pPr>
            <w:r>
              <w:rPr>
                <w:rFonts w:ascii="Arial" w:cs="Arial" w:eastAsia="Arial" w:hAnsi="Arial"/>
                <w:sz w:val="14"/>
                <w:szCs w:val="14"/>
                <w:b w:val="1"/>
                <w:bCs w:val="1"/>
                <w:color w:val="auto"/>
              </w:rPr>
              <w:t>Number of</w:t>
            </w:r>
          </w:p>
        </w:tc>
        <w:tc>
          <w:tcPr>
            <w:tcW w:w="880" w:type="dxa"/>
            <w:vAlign w:val="bottom"/>
            <w:tcBorders>
              <w:right w:val="single" w:sz="8" w:color="DDDDDD"/>
            </w:tcBorders>
            <w:shd w:val="clear" w:color="auto" w:fill="DDDDDD"/>
          </w:tcPr>
          <w:p>
            <w:pPr>
              <w:jc w:val="center"/>
              <w:spacing w:after="0"/>
              <w:rPr>
                <w:sz w:val="20"/>
                <w:szCs w:val="20"/>
                <w:color w:val="auto"/>
              </w:rPr>
            </w:pPr>
            <w:r>
              <w:rPr>
                <w:rFonts w:ascii="Arial" w:cs="Arial" w:eastAsia="Arial" w:hAnsi="Arial"/>
                <w:sz w:val="14"/>
                <w:szCs w:val="14"/>
                <w:b w:val="1"/>
                <w:bCs w:val="1"/>
                <w:color w:val="auto"/>
                <w:w w:val="98"/>
              </w:rPr>
              <w:t>Target</w:t>
            </w:r>
          </w:p>
        </w:tc>
        <w:tc>
          <w:tcPr>
            <w:tcW w:w="1020" w:type="dxa"/>
            <w:vAlign w:val="bottom"/>
            <w:tcBorders>
              <w:right w:val="single" w:sz="8" w:color="00000A"/>
            </w:tcBorders>
            <w:shd w:val="clear" w:color="auto" w:fill="DDDDDD"/>
          </w:tcPr>
          <w:p>
            <w:pPr>
              <w:jc w:val="center"/>
              <w:ind w:right="8"/>
              <w:spacing w:after="0"/>
              <w:rPr>
                <w:sz w:val="20"/>
                <w:szCs w:val="20"/>
                <w:color w:val="auto"/>
              </w:rPr>
            </w:pPr>
            <w:r>
              <w:rPr>
                <w:rFonts w:ascii="Arial" w:cs="Arial" w:eastAsia="Arial" w:hAnsi="Arial"/>
                <w:sz w:val="14"/>
                <w:szCs w:val="14"/>
                <w:b w:val="1"/>
                <w:bCs w:val="1"/>
                <w:color w:val="auto"/>
              </w:rPr>
              <w:t>Maximum</w:t>
            </w:r>
          </w:p>
        </w:tc>
        <w:tc>
          <w:tcPr>
            <w:tcW w:w="0" w:type="dxa"/>
            <w:vAlign w:val="bottom"/>
          </w:tcPr>
          <w:p>
            <w:pPr>
              <w:spacing w:after="0"/>
              <w:rPr>
                <w:sz w:val="1"/>
                <w:szCs w:val="1"/>
                <w:color w:val="auto"/>
              </w:rPr>
            </w:pPr>
          </w:p>
        </w:tc>
      </w:tr>
      <w:tr>
        <w:trPr>
          <w:trHeight w:val="148"/>
        </w:trPr>
        <w:tc>
          <w:tcPr>
            <w:tcW w:w="2520" w:type="dxa"/>
            <w:vAlign w:val="bottom"/>
            <w:tcBorders>
              <w:left w:val="single" w:sz="8" w:color="00000A"/>
              <w:right w:val="single" w:sz="8" w:color="auto"/>
            </w:tcBorders>
            <w:shd w:val="clear" w:color="auto" w:fill="DDDDDD"/>
          </w:tcPr>
          <w:p>
            <w:pPr>
              <w:spacing w:after="0"/>
              <w:rPr>
                <w:sz w:val="12"/>
                <w:szCs w:val="12"/>
                <w:color w:val="auto"/>
              </w:rPr>
            </w:pPr>
          </w:p>
        </w:tc>
        <w:tc>
          <w:tcPr>
            <w:tcW w:w="720" w:type="dxa"/>
            <w:vAlign w:val="bottom"/>
            <w:tcBorders>
              <w:right w:val="single" w:sz="8" w:color="auto"/>
            </w:tcBorders>
            <w:shd w:val="clear" w:color="auto" w:fill="DDDDDD"/>
          </w:tcPr>
          <w:p>
            <w:pPr>
              <w:jc w:val="center"/>
              <w:spacing w:after="0" w:line="149" w:lineRule="exact"/>
              <w:rPr>
                <w:sz w:val="20"/>
                <w:szCs w:val="20"/>
                <w:color w:val="auto"/>
              </w:rPr>
            </w:pPr>
            <w:r>
              <w:rPr>
                <w:rFonts w:ascii="Arial" w:cs="Arial" w:eastAsia="Arial" w:hAnsi="Arial"/>
                <w:sz w:val="14"/>
                <w:szCs w:val="14"/>
                <w:b w:val="1"/>
                <w:bCs w:val="1"/>
                <w:color w:val="auto"/>
              </w:rPr>
              <w:t>of</w:t>
            </w:r>
          </w:p>
        </w:tc>
        <w:tc>
          <w:tcPr>
            <w:tcW w:w="780" w:type="dxa"/>
            <w:vAlign w:val="bottom"/>
            <w:tcBorders>
              <w:right w:val="single" w:sz="8" w:color="auto"/>
            </w:tcBorders>
            <w:vMerge w:val="continue"/>
            <w:shd w:val="clear" w:color="auto" w:fill="DDDDDD"/>
          </w:tcPr>
          <w:p>
            <w:pPr>
              <w:spacing w:after="0"/>
              <w:rPr>
                <w:sz w:val="12"/>
                <w:szCs w:val="12"/>
                <w:color w:val="auto"/>
              </w:rPr>
            </w:pPr>
          </w:p>
        </w:tc>
        <w:tc>
          <w:tcPr>
            <w:tcW w:w="800" w:type="dxa"/>
            <w:vAlign w:val="bottom"/>
            <w:tcBorders>
              <w:right w:val="single" w:sz="8" w:color="auto"/>
            </w:tcBorders>
            <w:vMerge w:val="continue"/>
            <w:shd w:val="clear" w:color="auto" w:fill="DDDDDD"/>
          </w:tcPr>
          <w:p>
            <w:pPr>
              <w:spacing w:after="0"/>
              <w:rPr>
                <w:sz w:val="12"/>
                <w:szCs w:val="12"/>
                <w:color w:val="auto"/>
              </w:rPr>
            </w:pPr>
          </w:p>
        </w:tc>
        <w:tc>
          <w:tcPr>
            <w:tcW w:w="880" w:type="dxa"/>
            <w:vAlign w:val="bottom"/>
            <w:tcBorders>
              <w:right w:val="single" w:sz="8" w:color="DDDDDD"/>
            </w:tcBorders>
            <w:shd w:val="clear" w:color="auto" w:fill="DDDDDD"/>
          </w:tcPr>
          <w:p>
            <w:pPr>
              <w:jc w:val="center"/>
              <w:spacing w:after="0" w:line="149" w:lineRule="exact"/>
              <w:rPr>
                <w:sz w:val="20"/>
                <w:szCs w:val="20"/>
                <w:color w:val="auto"/>
              </w:rPr>
            </w:pPr>
            <w:r>
              <w:rPr>
                <w:rFonts w:ascii="Arial" w:cs="Arial" w:eastAsia="Arial" w:hAnsi="Arial"/>
                <w:sz w:val="14"/>
                <w:szCs w:val="14"/>
                <w:b w:val="1"/>
                <w:bCs w:val="1"/>
                <w:color w:val="auto"/>
              </w:rPr>
              <w:t>Number of</w:t>
            </w:r>
          </w:p>
        </w:tc>
        <w:tc>
          <w:tcPr>
            <w:tcW w:w="1020" w:type="dxa"/>
            <w:vAlign w:val="bottom"/>
            <w:tcBorders>
              <w:right w:val="single" w:sz="8" w:color="00000A"/>
            </w:tcBorders>
            <w:shd w:val="clear" w:color="auto" w:fill="DDDDDD"/>
          </w:tcPr>
          <w:p>
            <w:pPr>
              <w:jc w:val="center"/>
              <w:spacing w:after="0" w:line="149" w:lineRule="exact"/>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215"/>
        </w:trPr>
        <w:tc>
          <w:tcPr>
            <w:tcW w:w="2520" w:type="dxa"/>
            <w:vAlign w:val="bottom"/>
            <w:tcBorders>
              <w:left w:val="single" w:sz="8" w:color="00000A"/>
              <w:bottom w:val="single" w:sz="8" w:color="DDDDDD"/>
              <w:right w:val="single" w:sz="8" w:color="auto"/>
            </w:tcBorders>
            <w:shd w:val="clear" w:color="auto" w:fill="DDDDDD"/>
          </w:tcPr>
          <w:p>
            <w:pPr>
              <w:spacing w:after="0"/>
              <w:rPr>
                <w:sz w:val="18"/>
                <w:szCs w:val="18"/>
                <w:color w:val="auto"/>
              </w:rPr>
            </w:pPr>
          </w:p>
        </w:tc>
        <w:tc>
          <w:tcPr>
            <w:tcW w:w="720" w:type="dxa"/>
            <w:vAlign w:val="bottom"/>
            <w:tcBorders>
              <w:bottom w:val="single" w:sz="8" w:color="DDDDDD"/>
              <w:right w:val="single" w:sz="8" w:color="auto"/>
            </w:tcBorders>
            <w:shd w:val="clear" w:color="auto" w:fill="DDDDDD"/>
          </w:tcPr>
          <w:p>
            <w:pPr>
              <w:jc w:val="center"/>
              <w:spacing w:after="0"/>
              <w:rPr>
                <w:sz w:val="20"/>
                <w:szCs w:val="20"/>
                <w:color w:val="auto"/>
              </w:rPr>
            </w:pPr>
            <w:r>
              <w:rPr>
                <w:rFonts w:ascii="Arial" w:cs="Arial" w:eastAsia="Arial" w:hAnsi="Arial"/>
                <w:sz w:val="14"/>
                <w:szCs w:val="14"/>
                <w:b w:val="1"/>
                <w:bCs w:val="1"/>
                <w:color w:val="auto"/>
              </w:rPr>
              <w:t>Shares</w:t>
            </w:r>
          </w:p>
        </w:tc>
        <w:tc>
          <w:tcPr>
            <w:tcW w:w="780" w:type="dxa"/>
            <w:vAlign w:val="bottom"/>
            <w:tcBorders>
              <w:bottom w:val="single" w:sz="8" w:color="DDDDDD"/>
              <w:right w:val="single" w:sz="8" w:color="auto"/>
            </w:tcBorders>
            <w:shd w:val="clear" w:color="auto" w:fill="DDDDDD"/>
          </w:tcPr>
          <w:p>
            <w:pPr>
              <w:jc w:val="center"/>
              <w:spacing w:after="0"/>
              <w:rPr>
                <w:sz w:val="20"/>
                <w:szCs w:val="20"/>
                <w:color w:val="auto"/>
              </w:rPr>
            </w:pPr>
            <w:r>
              <w:rPr>
                <w:rFonts w:ascii="Arial" w:cs="Arial" w:eastAsia="Arial" w:hAnsi="Arial"/>
                <w:sz w:val="14"/>
                <w:szCs w:val="14"/>
                <w:b w:val="1"/>
                <w:bCs w:val="1"/>
                <w:color w:val="auto"/>
              </w:rPr>
              <w:t>of Shares</w:t>
            </w:r>
          </w:p>
        </w:tc>
        <w:tc>
          <w:tcPr>
            <w:tcW w:w="800" w:type="dxa"/>
            <w:vAlign w:val="bottom"/>
            <w:tcBorders>
              <w:bottom w:val="single" w:sz="8" w:color="DDDDDD"/>
              <w:right w:val="single" w:sz="8" w:color="auto"/>
            </w:tcBorders>
            <w:shd w:val="clear" w:color="auto" w:fill="DDDDDD"/>
          </w:tcPr>
          <w:p>
            <w:pPr>
              <w:jc w:val="center"/>
              <w:spacing w:after="0"/>
              <w:rPr>
                <w:sz w:val="20"/>
                <w:szCs w:val="20"/>
                <w:color w:val="auto"/>
              </w:rPr>
            </w:pPr>
            <w:r>
              <w:rPr>
                <w:rFonts w:ascii="Arial" w:cs="Arial" w:eastAsia="Arial" w:hAnsi="Arial"/>
                <w:sz w:val="14"/>
                <w:szCs w:val="14"/>
                <w:b w:val="1"/>
                <w:bCs w:val="1"/>
                <w:color w:val="auto"/>
              </w:rPr>
              <w:t>Shares</w:t>
            </w:r>
          </w:p>
        </w:tc>
        <w:tc>
          <w:tcPr>
            <w:tcW w:w="880" w:type="dxa"/>
            <w:vAlign w:val="bottom"/>
            <w:tcBorders>
              <w:bottom w:val="single" w:sz="8" w:color="DDDDDD"/>
              <w:right w:val="single" w:sz="8" w:color="DDDDDD"/>
            </w:tcBorders>
            <w:shd w:val="clear" w:color="auto" w:fill="DDDDDD"/>
          </w:tcPr>
          <w:p>
            <w:pPr>
              <w:jc w:val="center"/>
              <w:spacing w:after="0"/>
              <w:rPr>
                <w:sz w:val="20"/>
                <w:szCs w:val="20"/>
                <w:color w:val="auto"/>
              </w:rPr>
            </w:pPr>
            <w:r>
              <w:rPr>
                <w:rFonts w:ascii="Arial" w:cs="Arial" w:eastAsia="Arial" w:hAnsi="Arial"/>
                <w:sz w:val="14"/>
                <w:szCs w:val="14"/>
                <w:b w:val="1"/>
                <w:bCs w:val="1"/>
                <w:color w:val="auto"/>
              </w:rPr>
              <w:t>Shares</w:t>
            </w:r>
          </w:p>
        </w:tc>
        <w:tc>
          <w:tcPr>
            <w:tcW w:w="1020" w:type="dxa"/>
            <w:vAlign w:val="bottom"/>
            <w:tcBorders>
              <w:bottom w:val="single" w:sz="8" w:color="DDDDDD"/>
              <w:right w:val="single" w:sz="8" w:color="00000A"/>
            </w:tcBorders>
            <w:shd w:val="clear" w:color="auto" w:fill="DDDDDD"/>
          </w:tcPr>
          <w:p>
            <w:pPr>
              <w:jc w:val="center"/>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183"/>
        </w:trPr>
        <w:tc>
          <w:tcPr>
            <w:tcW w:w="2520" w:type="dxa"/>
            <w:vAlign w:val="bottom"/>
            <w:tcBorders>
              <w:top w:val="single" w:sz="8" w:color="auto"/>
              <w:left w:val="single" w:sz="8" w:color="00000A"/>
              <w:right w:val="single" w:sz="8" w:color="auto"/>
            </w:tcBorders>
          </w:tcPr>
          <w:p>
            <w:pPr>
              <w:ind w:left="40"/>
              <w:spacing w:after="0"/>
              <w:rPr>
                <w:sz w:val="20"/>
                <w:szCs w:val="20"/>
                <w:color w:val="auto"/>
              </w:rPr>
            </w:pPr>
            <w:r>
              <w:rPr>
                <w:rFonts w:ascii="Arial" w:cs="Arial" w:eastAsia="Arial" w:hAnsi="Arial"/>
                <w:sz w:val="14"/>
                <w:szCs w:val="14"/>
                <w:color w:val="auto"/>
              </w:rPr>
              <w:t>David A. Ricks</w:t>
            </w:r>
          </w:p>
        </w:tc>
        <w:tc>
          <w:tcPr>
            <w:tcW w:w="720" w:type="dxa"/>
            <w:vAlign w:val="bottom"/>
            <w:tcBorders>
              <w:top w:val="single" w:sz="8" w:color="auto"/>
              <w:right w:val="single" w:sz="8" w:color="auto"/>
            </w:tcBorders>
          </w:tcPr>
          <w:p>
            <w:pPr>
              <w:spacing w:after="0"/>
              <w:rPr>
                <w:sz w:val="15"/>
                <w:szCs w:val="15"/>
                <w:color w:val="auto"/>
              </w:rPr>
            </w:pPr>
          </w:p>
        </w:tc>
        <w:tc>
          <w:tcPr>
            <w:tcW w:w="780" w:type="dxa"/>
            <w:vAlign w:val="bottom"/>
            <w:tcBorders>
              <w:top w:val="single" w:sz="8" w:color="auto"/>
              <w:right w:val="single" w:sz="8" w:color="auto"/>
            </w:tcBorders>
          </w:tcPr>
          <w:p>
            <w:pPr>
              <w:spacing w:after="0"/>
              <w:rPr>
                <w:sz w:val="15"/>
                <w:szCs w:val="15"/>
                <w:color w:val="auto"/>
              </w:rPr>
            </w:pPr>
          </w:p>
        </w:tc>
        <w:tc>
          <w:tcPr>
            <w:tcW w:w="800" w:type="dxa"/>
            <w:vAlign w:val="bottom"/>
            <w:tcBorders>
              <w:top w:val="single" w:sz="8" w:color="auto"/>
              <w:right w:val="single" w:sz="8" w:color="auto"/>
            </w:tcBorders>
          </w:tcPr>
          <w:p>
            <w:pPr>
              <w:spacing w:after="0"/>
              <w:rPr>
                <w:sz w:val="15"/>
                <w:szCs w:val="15"/>
                <w:color w:val="auto"/>
              </w:rPr>
            </w:pPr>
          </w:p>
        </w:tc>
        <w:tc>
          <w:tcPr>
            <w:tcW w:w="880" w:type="dxa"/>
            <w:vAlign w:val="bottom"/>
            <w:tcBorders>
              <w:top w:val="single" w:sz="8" w:color="auto"/>
              <w:right w:val="single" w:sz="8" w:color="auto"/>
            </w:tcBorders>
          </w:tcPr>
          <w:p>
            <w:pPr>
              <w:spacing w:after="0"/>
              <w:rPr>
                <w:sz w:val="15"/>
                <w:szCs w:val="15"/>
                <w:color w:val="auto"/>
              </w:rPr>
            </w:pPr>
          </w:p>
        </w:tc>
        <w:tc>
          <w:tcPr>
            <w:tcW w:w="1020" w:type="dxa"/>
            <w:vAlign w:val="bottom"/>
            <w:tcBorders>
              <w:top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2520" w:type="dxa"/>
            <w:vAlign w:val="bottom"/>
            <w:tcBorders>
              <w:left w:val="single" w:sz="8" w:color="00000A"/>
              <w:right w:val="single" w:sz="8" w:color="auto"/>
            </w:tcBorders>
          </w:tcPr>
          <w:p>
            <w:pPr>
              <w:ind w:left="40"/>
              <w:spacing w:after="0"/>
              <w:rPr>
                <w:sz w:val="20"/>
                <w:szCs w:val="20"/>
                <w:color w:val="auto"/>
              </w:rPr>
            </w:pPr>
            <w:r>
              <w:rPr>
                <w:rFonts w:ascii="Arial" w:cs="Arial" w:eastAsia="Arial" w:hAnsi="Arial"/>
                <w:sz w:val="13"/>
                <w:szCs w:val="13"/>
                <w:color w:val="auto"/>
              </w:rPr>
              <w:t>Chairman, President, and CEO</w:t>
            </w:r>
          </w:p>
        </w:tc>
        <w:tc>
          <w:tcPr>
            <w:tcW w:w="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17,779</w:t>
            </w: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20,466</w:t>
            </w:r>
          </w:p>
        </w:tc>
        <w:tc>
          <w:tcPr>
            <w:tcW w:w="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590,166</w:t>
            </w: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877,744</w:t>
            </w:r>
          </w:p>
        </w:tc>
        <w:tc>
          <w:tcPr>
            <w:tcW w:w="0" w:type="dxa"/>
            <w:vAlign w:val="bottom"/>
          </w:tcPr>
          <w:p>
            <w:pPr>
              <w:spacing w:after="0"/>
              <w:rPr>
                <w:sz w:val="1"/>
                <w:szCs w:val="1"/>
                <w:color w:val="auto"/>
              </w:rPr>
            </w:pPr>
          </w:p>
        </w:tc>
      </w:tr>
      <w:tr>
        <w:trPr>
          <w:trHeight w:val="145"/>
        </w:trPr>
        <w:tc>
          <w:tcPr>
            <w:tcW w:w="2520" w:type="dxa"/>
            <w:vAlign w:val="bottom"/>
            <w:tcBorders>
              <w:left w:val="single" w:sz="8" w:color="00000A"/>
              <w:bottom w:val="single" w:sz="8" w:color="auto"/>
              <w:right w:val="single" w:sz="8" w:color="auto"/>
            </w:tcBorders>
          </w:tcPr>
          <w:p>
            <w:pPr>
              <w:spacing w:after="0"/>
              <w:rPr>
                <w:sz w:val="12"/>
                <w:szCs w:val="12"/>
                <w:color w:val="auto"/>
              </w:rPr>
            </w:pPr>
          </w:p>
        </w:tc>
        <w:tc>
          <w:tcPr>
            <w:tcW w:w="720" w:type="dxa"/>
            <w:vAlign w:val="bottom"/>
            <w:tcBorders>
              <w:bottom w:val="single" w:sz="8" w:color="auto"/>
              <w:right w:val="single" w:sz="8" w:color="auto"/>
            </w:tcBorders>
            <w:vMerge w:val="continue"/>
          </w:tcPr>
          <w:p>
            <w:pPr>
              <w:spacing w:after="0"/>
              <w:rPr>
                <w:sz w:val="12"/>
                <w:szCs w:val="12"/>
                <w:color w:val="auto"/>
              </w:rPr>
            </w:pPr>
          </w:p>
        </w:tc>
        <w:tc>
          <w:tcPr>
            <w:tcW w:w="780" w:type="dxa"/>
            <w:vAlign w:val="bottom"/>
            <w:tcBorders>
              <w:bottom w:val="single" w:sz="8" w:color="auto"/>
              <w:right w:val="single" w:sz="8" w:color="auto"/>
            </w:tcBorders>
            <w:vMerge w:val="continue"/>
          </w:tcPr>
          <w:p>
            <w:pPr>
              <w:spacing w:after="0"/>
              <w:rPr>
                <w:sz w:val="12"/>
                <w:szCs w:val="12"/>
                <w:color w:val="auto"/>
              </w:rPr>
            </w:pPr>
          </w:p>
        </w:tc>
        <w:tc>
          <w:tcPr>
            <w:tcW w:w="800" w:type="dxa"/>
            <w:vAlign w:val="bottom"/>
            <w:tcBorders>
              <w:bottom w:val="single" w:sz="8" w:color="auto"/>
              <w:right w:val="single" w:sz="8" w:color="auto"/>
            </w:tcBorders>
            <w:vMerge w:val="continue"/>
          </w:tcPr>
          <w:p>
            <w:pPr>
              <w:spacing w:after="0"/>
              <w:rPr>
                <w:sz w:val="12"/>
                <w:szCs w:val="12"/>
                <w:color w:val="auto"/>
              </w:rPr>
            </w:pPr>
          </w:p>
        </w:tc>
        <w:tc>
          <w:tcPr>
            <w:tcW w:w="880" w:type="dxa"/>
            <w:vAlign w:val="bottom"/>
            <w:tcBorders>
              <w:bottom w:val="single" w:sz="8" w:color="auto"/>
              <w:right w:val="single" w:sz="8" w:color="auto"/>
            </w:tcBorders>
            <w:vMerge w:val="continue"/>
          </w:tcPr>
          <w:p>
            <w:pPr>
              <w:spacing w:after="0"/>
              <w:rPr>
                <w:sz w:val="12"/>
                <w:szCs w:val="12"/>
                <w:color w:val="auto"/>
              </w:rPr>
            </w:pPr>
          </w:p>
        </w:tc>
        <w:tc>
          <w:tcPr>
            <w:tcW w:w="1020" w:type="dxa"/>
            <w:vAlign w:val="bottom"/>
            <w:tcBorders>
              <w:bottom w:val="single" w:sz="8" w:color="auto"/>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520" w:type="dxa"/>
            <w:vAlign w:val="bottom"/>
            <w:tcBorders>
              <w:left w:val="single" w:sz="8" w:color="00000A"/>
              <w:right w:val="single" w:sz="8" w:color="auto"/>
            </w:tcBorders>
          </w:tcPr>
          <w:p>
            <w:pPr>
              <w:ind w:left="40"/>
              <w:spacing w:after="0"/>
              <w:rPr>
                <w:sz w:val="20"/>
                <w:szCs w:val="20"/>
                <w:color w:val="auto"/>
              </w:rPr>
            </w:pPr>
            <w:r>
              <w:rPr>
                <w:rFonts w:ascii="Arial" w:cs="Arial" w:eastAsia="Arial" w:hAnsi="Arial"/>
                <w:sz w:val="14"/>
                <w:szCs w:val="14"/>
                <w:color w:val="auto"/>
              </w:rPr>
              <w:t>Enrique A. Conterno</w:t>
            </w:r>
          </w:p>
        </w:tc>
        <w:tc>
          <w:tcPr>
            <w:tcW w:w="72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520" w:type="dxa"/>
            <w:vAlign w:val="bottom"/>
            <w:tcBorders>
              <w:left w:val="single" w:sz="8" w:color="00000A"/>
              <w:right w:val="single" w:sz="8" w:color="auto"/>
            </w:tcBorders>
          </w:tcPr>
          <w:p>
            <w:pPr>
              <w:ind w:left="40"/>
              <w:spacing w:after="0" w:line="135" w:lineRule="exact"/>
              <w:rPr>
                <w:sz w:val="20"/>
                <w:szCs w:val="20"/>
                <w:color w:val="auto"/>
              </w:rPr>
            </w:pPr>
            <w:r>
              <w:rPr>
                <w:rFonts w:ascii="Arial" w:cs="Arial" w:eastAsia="Arial" w:hAnsi="Arial"/>
                <w:sz w:val="13"/>
                <w:szCs w:val="13"/>
                <w:color w:val="auto"/>
                <w:w w:val="96"/>
              </w:rPr>
              <w:t>Senior VP and President, Lilly Diabetes and</w:t>
            </w:r>
          </w:p>
        </w:tc>
        <w:tc>
          <w:tcPr>
            <w:tcW w:w="72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520" w:type="dxa"/>
            <w:vAlign w:val="bottom"/>
            <w:tcBorders>
              <w:left w:val="single" w:sz="8" w:color="00000A"/>
              <w:right w:val="single" w:sz="8" w:color="auto"/>
            </w:tcBorders>
          </w:tcPr>
          <w:p>
            <w:pPr>
              <w:ind w:left="40"/>
              <w:spacing w:after="0"/>
              <w:rPr>
                <w:sz w:val="20"/>
                <w:szCs w:val="20"/>
                <w:color w:val="auto"/>
              </w:rPr>
            </w:pPr>
            <w:r>
              <w:rPr>
                <w:rFonts w:ascii="Arial" w:cs="Arial" w:eastAsia="Arial" w:hAnsi="Arial"/>
                <w:sz w:val="13"/>
                <w:szCs w:val="13"/>
                <w:color w:val="auto"/>
              </w:rPr>
              <w:t>President, Lilly USA</w:t>
            </w:r>
          </w:p>
        </w:tc>
        <w:tc>
          <w:tcPr>
            <w:tcW w:w="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35,429</w:t>
            </w: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11,000</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76,837</w:t>
            </w:r>
          </w:p>
        </w:tc>
        <w:tc>
          <w:tcPr>
            <w:tcW w:w="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524,315</w:t>
            </w: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783,226</w:t>
            </w:r>
          </w:p>
        </w:tc>
        <w:tc>
          <w:tcPr>
            <w:tcW w:w="0" w:type="dxa"/>
            <w:vAlign w:val="bottom"/>
          </w:tcPr>
          <w:p>
            <w:pPr>
              <w:spacing w:after="0"/>
              <w:rPr>
                <w:sz w:val="1"/>
                <w:szCs w:val="1"/>
                <w:color w:val="auto"/>
              </w:rPr>
            </w:pPr>
          </w:p>
        </w:tc>
      </w:tr>
      <w:tr>
        <w:trPr>
          <w:trHeight w:val="145"/>
        </w:trPr>
        <w:tc>
          <w:tcPr>
            <w:tcW w:w="2520" w:type="dxa"/>
            <w:vAlign w:val="bottom"/>
            <w:tcBorders>
              <w:left w:val="single" w:sz="8" w:color="00000A"/>
              <w:bottom w:val="single" w:sz="8" w:color="auto"/>
              <w:right w:val="single" w:sz="8" w:color="auto"/>
            </w:tcBorders>
          </w:tcPr>
          <w:p>
            <w:pPr>
              <w:spacing w:after="0"/>
              <w:rPr>
                <w:sz w:val="12"/>
                <w:szCs w:val="12"/>
                <w:color w:val="auto"/>
              </w:rPr>
            </w:pPr>
          </w:p>
        </w:tc>
        <w:tc>
          <w:tcPr>
            <w:tcW w:w="720" w:type="dxa"/>
            <w:vAlign w:val="bottom"/>
            <w:tcBorders>
              <w:bottom w:val="single" w:sz="8" w:color="auto"/>
              <w:right w:val="single" w:sz="8" w:color="auto"/>
            </w:tcBorders>
            <w:vMerge w:val="continue"/>
          </w:tcPr>
          <w:p>
            <w:pPr>
              <w:spacing w:after="0"/>
              <w:rPr>
                <w:sz w:val="12"/>
                <w:szCs w:val="12"/>
                <w:color w:val="auto"/>
              </w:rPr>
            </w:pPr>
          </w:p>
        </w:tc>
        <w:tc>
          <w:tcPr>
            <w:tcW w:w="780" w:type="dxa"/>
            <w:vAlign w:val="bottom"/>
            <w:tcBorders>
              <w:bottom w:val="single" w:sz="8" w:color="auto"/>
              <w:right w:val="single" w:sz="8" w:color="auto"/>
            </w:tcBorders>
            <w:vMerge w:val="continue"/>
          </w:tcPr>
          <w:p>
            <w:pPr>
              <w:spacing w:after="0"/>
              <w:rPr>
                <w:sz w:val="12"/>
                <w:szCs w:val="12"/>
                <w:color w:val="auto"/>
              </w:rPr>
            </w:pPr>
          </w:p>
        </w:tc>
        <w:tc>
          <w:tcPr>
            <w:tcW w:w="800" w:type="dxa"/>
            <w:vAlign w:val="bottom"/>
            <w:tcBorders>
              <w:bottom w:val="single" w:sz="8" w:color="auto"/>
              <w:right w:val="single" w:sz="8" w:color="auto"/>
            </w:tcBorders>
            <w:vMerge w:val="continue"/>
          </w:tcPr>
          <w:p>
            <w:pPr>
              <w:spacing w:after="0"/>
              <w:rPr>
                <w:sz w:val="12"/>
                <w:szCs w:val="12"/>
                <w:color w:val="auto"/>
              </w:rPr>
            </w:pPr>
          </w:p>
        </w:tc>
        <w:tc>
          <w:tcPr>
            <w:tcW w:w="880" w:type="dxa"/>
            <w:vAlign w:val="bottom"/>
            <w:tcBorders>
              <w:bottom w:val="single" w:sz="8" w:color="auto"/>
              <w:right w:val="single" w:sz="8" w:color="auto"/>
            </w:tcBorders>
            <w:vMerge w:val="continue"/>
          </w:tcPr>
          <w:p>
            <w:pPr>
              <w:spacing w:after="0"/>
              <w:rPr>
                <w:sz w:val="12"/>
                <w:szCs w:val="12"/>
                <w:color w:val="auto"/>
              </w:rPr>
            </w:pPr>
          </w:p>
        </w:tc>
        <w:tc>
          <w:tcPr>
            <w:tcW w:w="1020" w:type="dxa"/>
            <w:vAlign w:val="bottom"/>
            <w:tcBorders>
              <w:bottom w:val="single" w:sz="8" w:color="auto"/>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520" w:type="dxa"/>
            <w:vAlign w:val="bottom"/>
            <w:tcBorders>
              <w:left w:val="single" w:sz="8" w:color="00000A"/>
              <w:right w:val="single" w:sz="8" w:color="auto"/>
            </w:tcBorders>
          </w:tcPr>
          <w:p>
            <w:pPr>
              <w:ind w:left="40"/>
              <w:spacing w:after="0"/>
              <w:rPr>
                <w:sz w:val="20"/>
                <w:szCs w:val="20"/>
                <w:color w:val="auto"/>
              </w:rPr>
            </w:pPr>
            <w:r>
              <w:rPr>
                <w:rFonts w:ascii="Arial" w:cs="Arial" w:eastAsia="Arial" w:hAnsi="Arial"/>
                <w:sz w:val="14"/>
                <w:szCs w:val="14"/>
                <w:color w:val="auto"/>
              </w:rPr>
              <w:t>Derica W. Rice (retired)</w:t>
            </w:r>
          </w:p>
        </w:tc>
        <w:tc>
          <w:tcPr>
            <w:tcW w:w="72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520" w:type="dxa"/>
            <w:vAlign w:val="bottom"/>
            <w:tcBorders>
              <w:left w:val="single" w:sz="8" w:color="00000A"/>
              <w:right w:val="single" w:sz="8" w:color="auto"/>
            </w:tcBorders>
          </w:tcPr>
          <w:p>
            <w:pPr>
              <w:ind w:left="40"/>
              <w:spacing w:after="0" w:line="135" w:lineRule="exact"/>
              <w:rPr>
                <w:sz w:val="20"/>
                <w:szCs w:val="20"/>
                <w:color w:val="auto"/>
              </w:rPr>
            </w:pPr>
            <w:r>
              <w:rPr>
                <w:rFonts w:ascii="Arial" w:cs="Arial" w:eastAsia="Arial" w:hAnsi="Arial"/>
                <w:sz w:val="13"/>
                <w:szCs w:val="13"/>
                <w:color w:val="auto"/>
              </w:rPr>
              <w:t>Executive VP, Global Services and Chief</w:t>
            </w:r>
          </w:p>
        </w:tc>
        <w:tc>
          <w:tcPr>
            <w:tcW w:w="72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520" w:type="dxa"/>
            <w:vAlign w:val="bottom"/>
            <w:tcBorders>
              <w:left w:val="single" w:sz="8" w:color="00000A"/>
              <w:right w:val="single" w:sz="8" w:color="auto"/>
            </w:tcBorders>
          </w:tcPr>
          <w:p>
            <w:pPr>
              <w:ind w:left="40"/>
              <w:spacing w:after="0"/>
              <w:rPr>
                <w:sz w:val="20"/>
                <w:szCs w:val="20"/>
                <w:color w:val="auto"/>
              </w:rPr>
            </w:pPr>
            <w:r>
              <w:rPr>
                <w:rFonts w:ascii="Arial" w:cs="Arial" w:eastAsia="Arial" w:hAnsi="Arial"/>
                <w:sz w:val="13"/>
                <w:szCs w:val="13"/>
                <w:color w:val="auto"/>
              </w:rPr>
              <w:t>Financial Officer</w:t>
            </w:r>
          </w:p>
        </w:tc>
        <w:tc>
          <w:tcPr>
            <w:tcW w:w="72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658"/>
        </w:trPr>
        <w:tc>
          <w:tcPr>
            <w:tcW w:w="2520" w:type="dxa"/>
            <w:vAlign w:val="bottom"/>
            <w:tcBorders>
              <w:left w:val="single" w:sz="8" w:color="00000A"/>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116,385</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993,511</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1,518,504</w:t>
            </w:r>
          </w:p>
        </w:tc>
        <w:tc>
          <w:tcPr>
            <w:tcW w:w="0" w:type="dxa"/>
            <w:vAlign w:val="bottom"/>
          </w:tcPr>
          <w:p>
            <w:pPr>
              <w:spacing w:after="0"/>
              <w:rPr>
                <w:sz w:val="1"/>
                <w:szCs w:val="1"/>
                <w:color w:val="auto"/>
              </w:rPr>
            </w:pPr>
          </w:p>
        </w:tc>
      </w:tr>
      <w:tr>
        <w:trPr>
          <w:trHeight w:val="183"/>
        </w:trPr>
        <w:tc>
          <w:tcPr>
            <w:tcW w:w="2520" w:type="dxa"/>
            <w:vAlign w:val="bottom"/>
            <w:tcBorders>
              <w:left w:val="single" w:sz="8" w:color="00000A"/>
              <w:right w:val="single" w:sz="8" w:color="auto"/>
            </w:tcBorders>
          </w:tcPr>
          <w:p>
            <w:pPr>
              <w:ind w:left="40"/>
              <w:spacing w:after="0"/>
              <w:rPr>
                <w:sz w:val="20"/>
                <w:szCs w:val="20"/>
                <w:color w:val="auto"/>
              </w:rPr>
            </w:pPr>
            <w:r>
              <w:rPr>
                <w:rFonts w:ascii="Arial" w:cs="Arial" w:eastAsia="Arial" w:hAnsi="Arial"/>
                <w:sz w:val="14"/>
                <w:szCs w:val="14"/>
                <w:color w:val="auto"/>
              </w:rPr>
              <w:t>Jan M. Lundberg, Ph.D.</w:t>
            </w:r>
          </w:p>
        </w:tc>
        <w:tc>
          <w:tcPr>
            <w:tcW w:w="72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520" w:type="dxa"/>
            <w:vAlign w:val="bottom"/>
            <w:tcBorders>
              <w:left w:val="single" w:sz="8" w:color="00000A"/>
              <w:right w:val="single" w:sz="8" w:color="auto"/>
            </w:tcBorders>
          </w:tcPr>
          <w:p>
            <w:pPr>
              <w:ind w:left="40"/>
              <w:spacing w:after="0" w:line="135" w:lineRule="exact"/>
              <w:rPr>
                <w:sz w:val="20"/>
                <w:szCs w:val="20"/>
                <w:color w:val="auto"/>
              </w:rPr>
            </w:pPr>
            <w:r>
              <w:rPr>
                <w:rFonts w:ascii="Arial" w:cs="Arial" w:eastAsia="Arial" w:hAnsi="Arial"/>
                <w:sz w:val="13"/>
                <w:szCs w:val="13"/>
                <w:color w:val="auto"/>
                <w:w w:val="96"/>
              </w:rPr>
              <w:t>Executive VP, Science and Technology and</w:t>
            </w:r>
          </w:p>
        </w:tc>
        <w:tc>
          <w:tcPr>
            <w:tcW w:w="72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520" w:type="dxa"/>
            <w:vAlign w:val="bottom"/>
            <w:tcBorders>
              <w:left w:val="single" w:sz="8" w:color="00000A"/>
              <w:right w:val="single" w:sz="8" w:color="auto"/>
            </w:tcBorders>
          </w:tcPr>
          <w:p>
            <w:pPr>
              <w:ind w:left="40"/>
              <w:spacing w:after="0"/>
              <w:rPr>
                <w:sz w:val="20"/>
                <w:szCs w:val="20"/>
                <w:color w:val="auto"/>
              </w:rPr>
            </w:pPr>
            <w:r>
              <w:rPr>
                <w:rFonts w:ascii="Arial" w:cs="Arial" w:eastAsia="Arial" w:hAnsi="Arial"/>
                <w:sz w:val="13"/>
                <w:szCs w:val="13"/>
                <w:color w:val="auto"/>
              </w:rPr>
              <w:t>President, Lilly Research Laboratories</w:t>
            </w:r>
          </w:p>
        </w:tc>
        <w:tc>
          <w:tcPr>
            <w:tcW w:w="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127,871</w:t>
            </w:r>
          </w:p>
        </w:tc>
        <w:tc>
          <w:tcPr>
            <w:tcW w:w="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620,024</w:t>
            </w: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901,590</w:t>
            </w:r>
          </w:p>
        </w:tc>
        <w:tc>
          <w:tcPr>
            <w:tcW w:w="0" w:type="dxa"/>
            <w:vAlign w:val="bottom"/>
          </w:tcPr>
          <w:p>
            <w:pPr>
              <w:spacing w:after="0"/>
              <w:rPr>
                <w:sz w:val="1"/>
                <w:szCs w:val="1"/>
                <w:color w:val="auto"/>
              </w:rPr>
            </w:pPr>
          </w:p>
        </w:tc>
      </w:tr>
      <w:tr>
        <w:trPr>
          <w:trHeight w:val="145"/>
        </w:trPr>
        <w:tc>
          <w:tcPr>
            <w:tcW w:w="2520" w:type="dxa"/>
            <w:vAlign w:val="bottom"/>
            <w:tcBorders>
              <w:left w:val="single" w:sz="8" w:color="00000A"/>
              <w:bottom w:val="single" w:sz="8" w:color="auto"/>
              <w:right w:val="single" w:sz="8" w:color="auto"/>
            </w:tcBorders>
          </w:tcPr>
          <w:p>
            <w:pPr>
              <w:spacing w:after="0"/>
              <w:rPr>
                <w:sz w:val="12"/>
                <w:szCs w:val="12"/>
                <w:color w:val="auto"/>
              </w:rPr>
            </w:pPr>
          </w:p>
        </w:tc>
        <w:tc>
          <w:tcPr>
            <w:tcW w:w="720" w:type="dxa"/>
            <w:vAlign w:val="bottom"/>
            <w:tcBorders>
              <w:bottom w:val="single" w:sz="8" w:color="auto"/>
              <w:right w:val="single" w:sz="8" w:color="auto"/>
            </w:tcBorders>
            <w:vMerge w:val="continue"/>
          </w:tcPr>
          <w:p>
            <w:pPr>
              <w:spacing w:after="0"/>
              <w:rPr>
                <w:sz w:val="12"/>
                <w:szCs w:val="12"/>
                <w:color w:val="auto"/>
              </w:rPr>
            </w:pPr>
          </w:p>
        </w:tc>
        <w:tc>
          <w:tcPr>
            <w:tcW w:w="780" w:type="dxa"/>
            <w:vAlign w:val="bottom"/>
            <w:tcBorders>
              <w:bottom w:val="single" w:sz="8" w:color="auto"/>
              <w:right w:val="single" w:sz="8" w:color="auto"/>
            </w:tcBorders>
            <w:vMerge w:val="continue"/>
          </w:tcPr>
          <w:p>
            <w:pPr>
              <w:spacing w:after="0"/>
              <w:rPr>
                <w:sz w:val="12"/>
                <w:szCs w:val="12"/>
                <w:color w:val="auto"/>
              </w:rPr>
            </w:pPr>
          </w:p>
        </w:tc>
        <w:tc>
          <w:tcPr>
            <w:tcW w:w="800" w:type="dxa"/>
            <w:vAlign w:val="bottom"/>
            <w:tcBorders>
              <w:bottom w:val="single" w:sz="8" w:color="auto"/>
              <w:right w:val="single" w:sz="8" w:color="auto"/>
            </w:tcBorders>
            <w:vMerge w:val="continue"/>
          </w:tcPr>
          <w:p>
            <w:pPr>
              <w:spacing w:after="0"/>
              <w:rPr>
                <w:sz w:val="12"/>
                <w:szCs w:val="12"/>
                <w:color w:val="auto"/>
              </w:rPr>
            </w:pPr>
          </w:p>
        </w:tc>
        <w:tc>
          <w:tcPr>
            <w:tcW w:w="880" w:type="dxa"/>
            <w:vAlign w:val="bottom"/>
            <w:tcBorders>
              <w:bottom w:val="single" w:sz="8" w:color="auto"/>
              <w:right w:val="single" w:sz="8" w:color="auto"/>
            </w:tcBorders>
            <w:vMerge w:val="continue"/>
          </w:tcPr>
          <w:p>
            <w:pPr>
              <w:spacing w:after="0"/>
              <w:rPr>
                <w:sz w:val="12"/>
                <w:szCs w:val="12"/>
                <w:color w:val="auto"/>
              </w:rPr>
            </w:pPr>
          </w:p>
        </w:tc>
        <w:tc>
          <w:tcPr>
            <w:tcW w:w="1020" w:type="dxa"/>
            <w:vAlign w:val="bottom"/>
            <w:tcBorders>
              <w:bottom w:val="single" w:sz="8" w:color="auto"/>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520" w:type="dxa"/>
            <w:vAlign w:val="bottom"/>
            <w:tcBorders>
              <w:left w:val="single" w:sz="8" w:color="00000A"/>
              <w:right w:val="single" w:sz="8" w:color="auto"/>
            </w:tcBorders>
          </w:tcPr>
          <w:p>
            <w:pPr>
              <w:ind w:left="40"/>
              <w:spacing w:after="0"/>
              <w:rPr>
                <w:sz w:val="20"/>
                <w:szCs w:val="20"/>
                <w:color w:val="auto"/>
              </w:rPr>
            </w:pPr>
            <w:r>
              <w:rPr>
                <w:rFonts w:ascii="Arial" w:cs="Arial" w:eastAsia="Arial" w:hAnsi="Arial"/>
                <w:sz w:val="14"/>
                <w:szCs w:val="14"/>
                <w:color w:val="auto"/>
              </w:rPr>
              <w:t>Michael Harrington</w:t>
            </w:r>
          </w:p>
        </w:tc>
        <w:tc>
          <w:tcPr>
            <w:tcW w:w="72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2520" w:type="dxa"/>
            <w:vAlign w:val="bottom"/>
            <w:tcBorders>
              <w:left w:val="single" w:sz="8" w:color="00000A"/>
              <w:right w:val="single" w:sz="8" w:color="auto"/>
            </w:tcBorders>
          </w:tcPr>
          <w:p>
            <w:pPr>
              <w:ind w:left="40"/>
              <w:spacing w:after="0"/>
              <w:rPr>
                <w:sz w:val="20"/>
                <w:szCs w:val="20"/>
                <w:color w:val="auto"/>
              </w:rPr>
            </w:pPr>
            <w:r>
              <w:rPr>
                <w:rFonts w:ascii="Arial" w:cs="Arial" w:eastAsia="Arial" w:hAnsi="Arial"/>
                <w:sz w:val="13"/>
                <w:szCs w:val="13"/>
                <w:color w:val="auto"/>
              </w:rPr>
              <w:t>Senior VP and General Counsel</w:t>
            </w:r>
          </w:p>
        </w:tc>
        <w:tc>
          <w:tcPr>
            <w:tcW w:w="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17,746</w:t>
            </w: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5,000</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22,778</w:t>
            </w:r>
          </w:p>
        </w:tc>
        <w:tc>
          <w:tcPr>
            <w:tcW w:w="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313,188</w:t>
            </w: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466,151</w:t>
            </w:r>
          </w:p>
        </w:tc>
        <w:tc>
          <w:tcPr>
            <w:tcW w:w="0" w:type="dxa"/>
            <w:vAlign w:val="bottom"/>
          </w:tcPr>
          <w:p>
            <w:pPr>
              <w:spacing w:after="0"/>
              <w:rPr>
                <w:sz w:val="1"/>
                <w:szCs w:val="1"/>
                <w:color w:val="auto"/>
              </w:rPr>
            </w:pPr>
          </w:p>
        </w:tc>
      </w:tr>
      <w:tr>
        <w:trPr>
          <w:trHeight w:val="145"/>
        </w:trPr>
        <w:tc>
          <w:tcPr>
            <w:tcW w:w="2520" w:type="dxa"/>
            <w:vAlign w:val="bottom"/>
            <w:tcBorders>
              <w:left w:val="single" w:sz="8" w:color="00000A"/>
              <w:bottom w:val="single" w:sz="8" w:color="auto"/>
              <w:right w:val="single" w:sz="8" w:color="auto"/>
            </w:tcBorders>
          </w:tcPr>
          <w:p>
            <w:pPr>
              <w:spacing w:after="0"/>
              <w:rPr>
                <w:sz w:val="12"/>
                <w:szCs w:val="12"/>
                <w:color w:val="auto"/>
              </w:rPr>
            </w:pPr>
          </w:p>
        </w:tc>
        <w:tc>
          <w:tcPr>
            <w:tcW w:w="720" w:type="dxa"/>
            <w:vAlign w:val="bottom"/>
            <w:tcBorders>
              <w:bottom w:val="single" w:sz="8" w:color="auto"/>
              <w:right w:val="single" w:sz="8" w:color="auto"/>
            </w:tcBorders>
            <w:vMerge w:val="continue"/>
          </w:tcPr>
          <w:p>
            <w:pPr>
              <w:spacing w:after="0"/>
              <w:rPr>
                <w:sz w:val="12"/>
                <w:szCs w:val="12"/>
                <w:color w:val="auto"/>
              </w:rPr>
            </w:pPr>
          </w:p>
        </w:tc>
        <w:tc>
          <w:tcPr>
            <w:tcW w:w="780" w:type="dxa"/>
            <w:vAlign w:val="bottom"/>
            <w:tcBorders>
              <w:bottom w:val="single" w:sz="8" w:color="auto"/>
              <w:right w:val="single" w:sz="8" w:color="auto"/>
            </w:tcBorders>
            <w:vMerge w:val="continue"/>
          </w:tcPr>
          <w:p>
            <w:pPr>
              <w:spacing w:after="0"/>
              <w:rPr>
                <w:sz w:val="12"/>
                <w:szCs w:val="12"/>
                <w:color w:val="auto"/>
              </w:rPr>
            </w:pPr>
          </w:p>
        </w:tc>
        <w:tc>
          <w:tcPr>
            <w:tcW w:w="800" w:type="dxa"/>
            <w:vAlign w:val="bottom"/>
            <w:tcBorders>
              <w:bottom w:val="single" w:sz="8" w:color="auto"/>
              <w:right w:val="single" w:sz="8" w:color="auto"/>
            </w:tcBorders>
            <w:vMerge w:val="continue"/>
          </w:tcPr>
          <w:p>
            <w:pPr>
              <w:spacing w:after="0"/>
              <w:rPr>
                <w:sz w:val="12"/>
                <w:szCs w:val="12"/>
                <w:color w:val="auto"/>
              </w:rPr>
            </w:pPr>
          </w:p>
        </w:tc>
        <w:tc>
          <w:tcPr>
            <w:tcW w:w="880" w:type="dxa"/>
            <w:vAlign w:val="bottom"/>
            <w:tcBorders>
              <w:bottom w:val="single" w:sz="8" w:color="auto"/>
              <w:right w:val="single" w:sz="8" w:color="auto"/>
            </w:tcBorders>
            <w:vMerge w:val="continue"/>
          </w:tcPr>
          <w:p>
            <w:pPr>
              <w:spacing w:after="0"/>
              <w:rPr>
                <w:sz w:val="12"/>
                <w:szCs w:val="12"/>
                <w:color w:val="auto"/>
              </w:rPr>
            </w:pPr>
          </w:p>
        </w:tc>
        <w:tc>
          <w:tcPr>
            <w:tcW w:w="1020" w:type="dxa"/>
            <w:vAlign w:val="bottom"/>
            <w:tcBorders>
              <w:bottom w:val="single" w:sz="8" w:color="auto"/>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520" w:type="dxa"/>
            <w:vAlign w:val="bottom"/>
            <w:tcBorders>
              <w:left w:val="single" w:sz="8" w:color="00000A"/>
              <w:right w:val="single" w:sz="8" w:color="auto"/>
            </w:tcBorders>
          </w:tcPr>
          <w:p>
            <w:pPr>
              <w:ind w:left="40"/>
              <w:spacing w:after="0"/>
              <w:rPr>
                <w:sz w:val="20"/>
                <w:szCs w:val="20"/>
                <w:color w:val="auto"/>
              </w:rPr>
            </w:pPr>
            <w:r>
              <w:rPr>
                <w:rFonts w:ascii="Arial" w:cs="Arial" w:eastAsia="Arial" w:hAnsi="Arial"/>
                <w:sz w:val="14"/>
                <w:szCs w:val="14"/>
                <w:color w:val="auto"/>
              </w:rPr>
              <w:t>Current Executive Officers, as a</w:t>
            </w:r>
          </w:p>
        </w:tc>
        <w:tc>
          <w:tcPr>
            <w:tcW w:w="72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520" w:type="dxa"/>
            <w:vAlign w:val="bottom"/>
            <w:tcBorders>
              <w:left w:val="single" w:sz="8" w:color="00000A"/>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Group</w:t>
            </w: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392,978</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30,000</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443,736</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4,053,170</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6,045,121</w:t>
            </w:r>
          </w:p>
        </w:tc>
        <w:tc>
          <w:tcPr>
            <w:tcW w:w="0" w:type="dxa"/>
            <w:vAlign w:val="bottom"/>
          </w:tcPr>
          <w:p>
            <w:pPr>
              <w:spacing w:after="0"/>
              <w:rPr>
                <w:sz w:val="1"/>
                <w:szCs w:val="1"/>
                <w:color w:val="auto"/>
              </w:rPr>
            </w:pPr>
          </w:p>
        </w:tc>
      </w:tr>
      <w:tr>
        <w:trPr>
          <w:trHeight w:val="204"/>
        </w:trPr>
        <w:tc>
          <w:tcPr>
            <w:tcW w:w="2520" w:type="dxa"/>
            <w:vAlign w:val="bottom"/>
            <w:tcBorders>
              <w:left w:val="single" w:sz="8" w:color="00000A"/>
              <w:right w:val="single" w:sz="8" w:color="auto"/>
            </w:tcBorders>
          </w:tcPr>
          <w:p>
            <w:pPr>
              <w:ind w:left="40"/>
              <w:spacing w:after="0"/>
              <w:rPr>
                <w:sz w:val="20"/>
                <w:szCs w:val="20"/>
                <w:color w:val="auto"/>
              </w:rPr>
            </w:pPr>
            <w:r>
              <w:rPr>
                <w:rFonts w:ascii="Arial" w:cs="Arial" w:eastAsia="Arial" w:hAnsi="Arial"/>
                <w:sz w:val="14"/>
                <w:szCs w:val="14"/>
                <w:color w:val="auto"/>
              </w:rPr>
              <w:t>Non-Employee Directors, as a Group</w:t>
            </w:r>
          </w:p>
        </w:tc>
        <w:tc>
          <w:tcPr>
            <w:tcW w:w="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19,600</w:t>
            </w: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68"/>
        </w:trPr>
        <w:tc>
          <w:tcPr>
            <w:tcW w:w="2520" w:type="dxa"/>
            <w:vAlign w:val="bottom"/>
            <w:tcBorders>
              <w:left w:val="single" w:sz="8" w:color="00000A"/>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vMerge w:val="continue"/>
          </w:tcPr>
          <w:p>
            <w:pPr>
              <w:spacing w:after="0"/>
              <w:rPr>
                <w:sz w:val="14"/>
                <w:szCs w:val="14"/>
                <w:color w:val="auto"/>
              </w:rPr>
            </w:pPr>
          </w:p>
        </w:tc>
        <w:tc>
          <w:tcPr>
            <w:tcW w:w="780" w:type="dxa"/>
            <w:vAlign w:val="bottom"/>
            <w:tcBorders>
              <w:bottom w:val="single" w:sz="8" w:color="auto"/>
              <w:right w:val="single" w:sz="8" w:color="auto"/>
            </w:tcBorders>
            <w:vMerge w:val="continue"/>
          </w:tcPr>
          <w:p>
            <w:pPr>
              <w:spacing w:after="0"/>
              <w:rPr>
                <w:sz w:val="14"/>
                <w:szCs w:val="14"/>
                <w:color w:val="auto"/>
              </w:rPr>
            </w:pPr>
          </w:p>
        </w:tc>
        <w:tc>
          <w:tcPr>
            <w:tcW w:w="800" w:type="dxa"/>
            <w:vAlign w:val="bottom"/>
            <w:tcBorders>
              <w:bottom w:val="single" w:sz="8" w:color="auto"/>
              <w:right w:val="single" w:sz="8" w:color="auto"/>
            </w:tcBorders>
            <w:vMerge w:val="continue"/>
          </w:tcPr>
          <w:p>
            <w:pPr>
              <w:spacing w:after="0"/>
              <w:rPr>
                <w:sz w:val="14"/>
                <w:szCs w:val="14"/>
                <w:color w:val="auto"/>
              </w:rPr>
            </w:pPr>
          </w:p>
        </w:tc>
        <w:tc>
          <w:tcPr>
            <w:tcW w:w="880" w:type="dxa"/>
            <w:vAlign w:val="bottom"/>
            <w:tcBorders>
              <w:bottom w:val="single" w:sz="8" w:color="auto"/>
              <w:right w:val="single" w:sz="8" w:color="auto"/>
            </w:tcBorders>
            <w:vMerge w:val="continue"/>
          </w:tcPr>
          <w:p>
            <w:pPr>
              <w:spacing w:after="0"/>
              <w:rPr>
                <w:sz w:val="14"/>
                <w:szCs w:val="14"/>
                <w:color w:val="auto"/>
              </w:rPr>
            </w:pPr>
          </w:p>
        </w:tc>
        <w:tc>
          <w:tcPr>
            <w:tcW w:w="102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520" w:type="dxa"/>
            <w:vAlign w:val="bottom"/>
            <w:tcBorders>
              <w:left w:val="single" w:sz="8" w:color="00000A"/>
              <w:right w:val="single" w:sz="8" w:color="auto"/>
            </w:tcBorders>
          </w:tcPr>
          <w:p>
            <w:pPr>
              <w:ind w:left="40"/>
              <w:spacing w:after="0"/>
              <w:rPr>
                <w:sz w:val="20"/>
                <w:szCs w:val="20"/>
                <w:color w:val="auto"/>
              </w:rPr>
            </w:pPr>
            <w:r>
              <w:rPr>
                <w:rFonts w:ascii="Arial" w:cs="Arial" w:eastAsia="Arial" w:hAnsi="Arial"/>
                <w:sz w:val="14"/>
                <w:szCs w:val="14"/>
                <w:color w:val="auto"/>
              </w:rPr>
              <w:t>All current employees who are not</w:t>
            </w:r>
          </w:p>
        </w:tc>
        <w:tc>
          <w:tcPr>
            <w:tcW w:w="72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520" w:type="dxa"/>
            <w:vAlign w:val="bottom"/>
            <w:tcBorders>
              <w:left w:val="single" w:sz="8" w:color="00000A"/>
              <w:bottom w:val="single" w:sz="8" w:color="00000A"/>
              <w:right w:val="single" w:sz="8" w:color="auto"/>
            </w:tcBorders>
          </w:tcPr>
          <w:p>
            <w:pPr>
              <w:ind w:left="40"/>
              <w:spacing w:after="0"/>
              <w:rPr>
                <w:sz w:val="20"/>
                <w:szCs w:val="20"/>
                <w:color w:val="auto"/>
              </w:rPr>
            </w:pPr>
            <w:r>
              <w:rPr>
                <w:rFonts w:ascii="Arial" w:cs="Arial" w:eastAsia="Arial" w:hAnsi="Arial"/>
                <w:sz w:val="14"/>
                <w:szCs w:val="14"/>
                <w:color w:val="auto"/>
              </w:rPr>
              <w:t>executive officers, as a group</w:t>
            </w:r>
          </w:p>
        </w:tc>
        <w:tc>
          <w:tcPr>
            <w:tcW w:w="720" w:type="dxa"/>
            <w:vAlign w:val="bottom"/>
            <w:tcBorders>
              <w:bottom w:val="single" w:sz="8" w:color="00000A"/>
              <w:right w:val="single" w:sz="8" w:color="auto"/>
            </w:tcBorders>
          </w:tcPr>
          <w:p>
            <w:pPr>
              <w:jc w:val="center"/>
              <w:spacing w:after="0"/>
              <w:rPr>
                <w:sz w:val="20"/>
                <w:szCs w:val="20"/>
                <w:color w:val="auto"/>
              </w:rPr>
            </w:pPr>
            <w:r>
              <w:rPr>
                <w:rFonts w:ascii="Arial" w:cs="Arial" w:eastAsia="Arial" w:hAnsi="Arial"/>
                <w:sz w:val="14"/>
                <w:szCs w:val="14"/>
                <w:color w:val="auto"/>
              </w:rPr>
              <w:t>9,201,253</w:t>
            </w:r>
          </w:p>
        </w:tc>
        <w:tc>
          <w:tcPr>
            <w:tcW w:w="780" w:type="dxa"/>
            <w:vAlign w:val="bottom"/>
            <w:tcBorders>
              <w:bottom w:val="single" w:sz="8" w:color="00000A"/>
              <w:right w:val="single" w:sz="8" w:color="auto"/>
            </w:tcBorders>
          </w:tcPr>
          <w:p>
            <w:pPr>
              <w:jc w:val="center"/>
              <w:spacing w:after="0"/>
              <w:rPr>
                <w:sz w:val="20"/>
                <w:szCs w:val="20"/>
                <w:color w:val="auto"/>
              </w:rPr>
            </w:pPr>
            <w:r>
              <w:rPr>
                <w:rFonts w:ascii="Arial" w:cs="Arial" w:eastAsia="Arial" w:hAnsi="Arial"/>
                <w:sz w:val="14"/>
                <w:szCs w:val="14"/>
                <w:color w:val="auto"/>
              </w:rPr>
              <w:t>55,700</w:t>
            </w:r>
          </w:p>
        </w:tc>
        <w:tc>
          <w:tcPr>
            <w:tcW w:w="800" w:type="dxa"/>
            <w:vAlign w:val="bottom"/>
            <w:tcBorders>
              <w:bottom w:val="single" w:sz="8" w:color="00000A"/>
              <w:right w:val="single" w:sz="8" w:color="auto"/>
            </w:tcBorders>
          </w:tcPr>
          <w:p>
            <w:pPr>
              <w:jc w:val="center"/>
              <w:spacing w:after="0"/>
              <w:rPr>
                <w:sz w:val="20"/>
                <w:szCs w:val="20"/>
                <w:color w:val="auto"/>
              </w:rPr>
            </w:pPr>
            <w:r>
              <w:rPr>
                <w:rFonts w:ascii="Arial" w:cs="Arial" w:eastAsia="Arial" w:hAnsi="Arial"/>
                <w:sz w:val="14"/>
                <w:szCs w:val="14"/>
                <w:color w:val="auto"/>
              </w:rPr>
              <w:t>10,760,750</w:t>
            </w:r>
          </w:p>
        </w:tc>
        <w:tc>
          <w:tcPr>
            <w:tcW w:w="880" w:type="dxa"/>
            <w:vAlign w:val="bottom"/>
            <w:tcBorders>
              <w:bottom w:val="single" w:sz="8" w:color="00000A"/>
              <w:right w:val="single" w:sz="8" w:color="auto"/>
            </w:tcBorders>
          </w:tcPr>
          <w:p>
            <w:pPr>
              <w:jc w:val="center"/>
              <w:spacing w:after="0"/>
              <w:rPr>
                <w:sz w:val="20"/>
                <w:szCs w:val="20"/>
                <w:color w:val="auto"/>
              </w:rPr>
            </w:pPr>
            <w:r>
              <w:rPr>
                <w:rFonts w:ascii="Arial" w:cs="Arial" w:eastAsia="Arial" w:hAnsi="Arial"/>
                <w:sz w:val="14"/>
                <w:szCs w:val="14"/>
                <w:color w:val="auto"/>
              </w:rPr>
              <w:t>18,190,202</w:t>
            </w:r>
          </w:p>
        </w:tc>
        <w:tc>
          <w:tcPr>
            <w:tcW w:w="1020" w:type="dxa"/>
            <w:vAlign w:val="bottom"/>
            <w:tcBorders>
              <w:bottom w:val="single" w:sz="8" w:color="00000A"/>
              <w:right w:val="single" w:sz="8" w:color="auto"/>
            </w:tcBorders>
          </w:tcPr>
          <w:p>
            <w:pPr>
              <w:jc w:val="center"/>
              <w:spacing w:after="0"/>
              <w:rPr>
                <w:sz w:val="20"/>
                <w:szCs w:val="20"/>
                <w:color w:val="auto"/>
              </w:rPr>
            </w:pPr>
            <w:r>
              <w:rPr>
                <w:rFonts w:ascii="Arial" w:cs="Arial" w:eastAsia="Arial" w:hAnsi="Arial"/>
                <w:sz w:val="14"/>
                <w:szCs w:val="14"/>
                <w:color w:val="auto"/>
              </w:rPr>
              <w:t>29,334,005</w:t>
            </w:r>
          </w:p>
        </w:tc>
        <w:tc>
          <w:tcPr>
            <w:tcW w:w="0" w:type="dxa"/>
            <w:vAlign w:val="bottom"/>
          </w:tcPr>
          <w:p>
            <w:pPr>
              <w:spacing w:after="0"/>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31"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The affirmative vote of at least a majority of the outstanding common shares present in person or by proxy at the annual meeting is needed to pass this proposal.</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FF0000"/>
        </w:rPr>
        <w:t>Board Recommendation on Item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that you vote FOR approving the Amended and Restated 2002 Lilly Stock Plan.</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40"/>
          <w:szCs w:val="40"/>
          <w:b w:val="1"/>
          <w:bCs w:val="1"/>
          <w:color w:val="EE2724"/>
        </w:rPr>
        <w:t>Shareholder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2720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26" w:lineRule="exact"/>
        <w:rPr>
          <w:sz w:val="20"/>
          <w:szCs w:val="20"/>
          <w:color w:val="auto"/>
        </w:rPr>
      </w:pPr>
    </w:p>
    <w:p>
      <w:pPr>
        <w:spacing w:after="0"/>
        <w:rPr>
          <w:sz w:val="20"/>
          <w:szCs w:val="20"/>
          <w:color w:val="auto"/>
        </w:rPr>
      </w:pPr>
      <w:r>
        <w:rPr>
          <w:rFonts w:ascii="Arial" w:cs="Arial" w:eastAsia="Arial" w:hAnsi="Arial"/>
          <w:sz w:val="29"/>
          <w:szCs w:val="29"/>
          <w:b w:val="1"/>
          <w:bCs w:val="1"/>
          <w:color w:val="FF0000"/>
        </w:rPr>
        <w:t>Item 7. Shareholder Proposal Seeking Support for the Descheduling of Cannabis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720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Fred Pfenninger, 9247 N. Meridian Street, Suite 219, Indianapolis, Indiana, beneficial owner of 79 shares of common stock of Eli Lilly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Company, has submitted the following proposal:</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Proposal</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151515"/>
        </w:rPr>
        <w:t>The proponent requests that the Company announce its support for the descheduling of cannabis.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151515"/>
        </w:rPr>
        <w:t>Supporting Statement</w:t>
      </w:r>
    </w:p>
    <w:p>
      <w:pPr>
        <w:spacing w:after="0" w:line="3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Eli Lilly, who was the Third President of Lilly from 1932 to 1948, graduated from the Philadelphia College of Pharmacy in 1907 and wrote his Doctoral Thesis on "The Comparative Physiological Effects of Several Varieties of Cannabis Sativa." Lilly was a world leader in cannabis based pharmaceutical products in the early 1900s. Lilly sold 23 different cannabis entries in its medical catalog in 1935 before the 1937 Marijuana Tax Act and Reefer Madness halted sales. Parke Davis worked with Lilly to create its own strain Cannabis Americana which Lilly grew in Greenfield, Indiana.</w:t>
      </w:r>
    </w:p>
    <w:p>
      <w:pPr>
        <w:spacing w:after="0" w:line="200" w:lineRule="exact"/>
        <w:rPr>
          <w:sz w:val="20"/>
          <w:szCs w:val="20"/>
          <w:color w:val="auto"/>
        </w:rPr>
      </w:pPr>
    </w:p>
    <w:p>
      <w:pPr>
        <w:spacing w:after="0" w:line="24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P77</w:t>
      </w:r>
    </w:p>
    <w:p>
      <w:pPr>
        <w:sectPr>
          <w:pgSz w:w="11900" w:h="16838" w:orient="portrait"/>
          <w:cols w:equalWidth="0" w:num="1">
            <w:col w:w="11420"/>
          </w:cols>
          <w:pgMar w:left="240" w:top="576" w:right="239" w:bottom="1440" w:gutter="0" w:footer="0" w:header="0"/>
        </w:sectPr>
      </w:pPr>
    </w:p>
    <w:bookmarkStart w:id="81" w:name="page82"/>
    <w:bookmarkEnd w:id="81"/>
    <w:p>
      <w:pPr>
        <w:ind w:right="260"/>
        <w:spacing w:after="0" w:line="253" w:lineRule="auto"/>
        <w:rPr>
          <w:sz w:val="20"/>
          <w:szCs w:val="20"/>
          <w:color w:val="auto"/>
        </w:rPr>
      </w:pPr>
      <w:r>
        <w:rPr>
          <w:rFonts w:ascii="Arial" w:cs="Arial" w:eastAsia="Arial" w:hAnsi="Arial"/>
          <w:sz w:val="18"/>
          <w:szCs w:val="18"/>
          <w:color w:val="auto"/>
        </w:rPr>
        <w:t>Federal prohibitions outlawing cannabis recreational, industrial and therapeutic use were first imposed by Congress under the Marijuana Tax Act of 1937 and later reaffirmed by federal lawmakers' decision to "temporarily" classify marijuana as well as the plant's organic compounds known as cannabinoids as a Schedule I substance under the Controlled Substances Act of 1970. This classification, which categorizes the plant by statute alongside heroin, defines cannabis and its cannabinoids as possessing a high potential for abuse, no currently accepted medical use and a lack of accepted safety for the use of the drug.</w:t>
      </w:r>
    </w:p>
    <w:p>
      <w:pPr>
        <w:spacing w:after="0" w:line="206"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Controlled Substances Act of 1970 called for the creation of a special federal commission appointed by Congress and President Nixon to study all aspects of cannabis and report their findings. After 2 years of scientific study the National Commission on Marijuana and Drug Abuse ("Schafer Commission") report "Marijuana: A Signal of Misunderstanding" reported that there was little proven danger of physical or psychological harm, it does not lead to physical dependence, it is not a gateway drug, and no one should go to jail for the private possession of cannabis.</w:t>
      </w:r>
    </w:p>
    <w:p>
      <w:pPr>
        <w:spacing w:after="0" w:line="206"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Despite the US Government's nearly century long prohibition of the plant, cannabis is one of the most investigated therapeutically active substances in history. To date there are approximately 22,000 published studies or reviews in the scientific literature referencing the cannabis plant and its cannabinoids, nearly half of which were published within 10 years according to a key work search on the search engine PubMed Central.</w:t>
      </w:r>
    </w:p>
    <w:p>
      <w:pPr>
        <w:spacing w:after="0" w:line="20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late 1980s discovery of the endogenous cannabinoid system, with specific receptors and ligands, has progressed our understanding of the therapeutic actions of cannabis. The cannabinoid system evolved with our species and is intricately involved in normal physiology -control of movement; pain, reproduction, memory, appetite.</w:t>
      </w:r>
    </w:p>
    <w:p>
      <w:pPr>
        <w:spacing w:after="0" w:line="202"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Cannabis oil kills cancer, prevents and reverses dementia, prevents epileptic seizures, and extends longevity among other things. Cannabis is the most medicinal plant on the planet.</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EE2724"/>
        </w:rPr>
        <w:t>Statement in Opposition to the Shareholder Proposal Regarding Support for the Descheduling of Cannabis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4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Public Policy and Compliance Committee has reviewed and recommends a vote against this proposal. We have finite resources for advocacy, which we must limit and focus to be effective, and descheduling of cannabis is not one of our core priorities. We focus our resources to support organizations that champion public policies that contribute to pharmaceutical innovation, healthy patients, and a healthy business climate. The company is also actively engaged in public policy discussions that relate to our current products and other important topics related to drug pricing.</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color w:val="FF0000"/>
        </w:rPr>
        <w:t>Board Recommendation on Item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a vote AGAINST the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350520</wp:posOffset>
            </wp:positionV>
            <wp:extent cx="72720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660"/>
        <w:spacing w:after="0" w:line="278" w:lineRule="auto"/>
        <w:rPr>
          <w:sz w:val="20"/>
          <w:szCs w:val="20"/>
          <w:color w:val="auto"/>
        </w:rPr>
      </w:pPr>
      <w:r>
        <w:rPr>
          <w:rFonts w:ascii="Arial" w:cs="Arial" w:eastAsia="Arial" w:hAnsi="Arial"/>
          <w:sz w:val="29"/>
          <w:szCs w:val="29"/>
          <w:b w:val="1"/>
          <w:bCs w:val="1"/>
          <w:color w:val="FF0000"/>
        </w:rPr>
        <w:t>Item 8. Shareholder Proposal Requesting Report Regarding Direct and Indirect Political Contributions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wp:posOffset>
            </wp:positionV>
            <wp:extent cx="72720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165" w:lineRule="exact"/>
        <w:rPr>
          <w:sz w:val="20"/>
          <w:szCs w:val="20"/>
          <w:color w:val="auto"/>
        </w:rPr>
      </w:pPr>
    </w:p>
    <w:p>
      <w:pPr>
        <w:ind w:right="40"/>
        <w:spacing w:after="0" w:line="291" w:lineRule="auto"/>
        <w:rPr>
          <w:sz w:val="20"/>
          <w:szCs w:val="20"/>
          <w:color w:val="auto"/>
        </w:rPr>
      </w:pPr>
      <w:r>
        <w:rPr>
          <w:rFonts w:ascii="Arial" w:cs="Arial" w:eastAsia="Arial" w:hAnsi="Arial"/>
          <w:sz w:val="17"/>
          <w:szCs w:val="17"/>
          <w:color w:val="auto"/>
        </w:rPr>
        <w:t>The Comptroller of the State of New York, Thomas P. DiNapoli, trustee of the New York State Common Retirement Fund and the administrative head of the New York State and Local Retirement System, beneficial owner of 2,967,282 shares, has submitted the following proposal:</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Proposal</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151515"/>
        </w:rPr>
        <w:t>The proponent seeks a report from the company regarding its direct and indirect political contributions.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151515"/>
        </w:rPr>
        <w:t>Supporting Statement</w:t>
      </w:r>
    </w:p>
    <w:p>
      <w:pPr>
        <w:spacing w:after="0" w:line="31" w:lineRule="exact"/>
        <w:rPr>
          <w:sz w:val="20"/>
          <w:szCs w:val="20"/>
          <w:color w:val="auto"/>
        </w:rPr>
      </w:pPr>
    </w:p>
    <w:p>
      <w:pPr>
        <w:ind w:right="500"/>
        <w:spacing w:after="0" w:line="262" w:lineRule="auto"/>
        <w:rPr>
          <w:sz w:val="20"/>
          <w:szCs w:val="20"/>
          <w:color w:val="auto"/>
        </w:rPr>
      </w:pPr>
      <w:r>
        <w:rPr>
          <w:rFonts w:ascii="Arial" w:cs="Arial" w:eastAsia="Arial" w:hAnsi="Arial"/>
          <w:sz w:val="18"/>
          <w:szCs w:val="18"/>
          <w:b w:val="1"/>
          <w:bCs w:val="1"/>
          <w:color w:val="151515"/>
        </w:rPr>
        <w:t xml:space="preserve">Whereas, </w:t>
      </w:r>
      <w:r>
        <w:rPr>
          <w:rFonts w:ascii="Arial" w:cs="Arial" w:eastAsia="Arial" w:hAnsi="Arial"/>
          <w:sz w:val="18"/>
          <w:szCs w:val="18"/>
          <w:color w:val="151515"/>
        </w:rPr>
        <w:t>we believe in full disclosure of Eli Lilly and Company's ("Lilly") direct and indirect lobbying activities and expenditures to assess</w:t>
      </w:r>
      <w:r>
        <w:rPr>
          <w:rFonts w:ascii="Arial" w:cs="Arial" w:eastAsia="Arial" w:hAnsi="Arial"/>
          <w:sz w:val="18"/>
          <w:szCs w:val="18"/>
          <w:b w:val="1"/>
          <w:bCs w:val="1"/>
          <w:color w:val="151515"/>
        </w:rPr>
        <w:t xml:space="preserve"> </w:t>
      </w:r>
      <w:r>
        <w:rPr>
          <w:rFonts w:ascii="Arial" w:cs="Arial" w:eastAsia="Arial" w:hAnsi="Arial"/>
          <w:sz w:val="18"/>
          <w:szCs w:val="18"/>
          <w:color w:val="151515"/>
        </w:rPr>
        <w:t>whether Lilly's lobbying is consistent with its expressed goals and in the best interests of shareholders.</w:t>
      </w: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P78</w:t>
      </w:r>
    </w:p>
    <w:p>
      <w:pPr>
        <w:sectPr>
          <w:pgSz w:w="11900" w:h="16838" w:orient="portrait"/>
          <w:cols w:equalWidth="0" w:num="1">
            <w:col w:w="11420"/>
          </w:cols>
          <w:pgMar w:left="240" w:top="598" w:right="2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151515"/>
        </w:rPr>
        <w:t xml:space="preserve">Resolved, </w:t>
      </w:r>
      <w:r>
        <w:rPr>
          <w:rFonts w:ascii="Arial" w:cs="Arial" w:eastAsia="Arial" w:hAnsi="Arial"/>
          <w:sz w:val="18"/>
          <w:szCs w:val="18"/>
          <w:color w:val="151515"/>
        </w:rPr>
        <w:t>the shareholders of Lilly request the preparation of a report, updated annually, disclosing:</w:t>
      </w:r>
    </w:p>
    <w:p>
      <w:pPr>
        <w:spacing w:after="0" w:line="247" w:lineRule="exact"/>
        <w:rPr>
          <w:sz w:val="20"/>
          <w:szCs w:val="20"/>
          <w:color w:val="auto"/>
        </w:rPr>
      </w:pPr>
    </w:p>
    <w:p>
      <w:pPr>
        <w:ind w:left="740" w:hanging="327"/>
        <w:spacing w:after="0"/>
        <w:tabs>
          <w:tab w:leader="none" w:pos="740" w:val="left"/>
        </w:tabs>
        <w:numPr>
          <w:ilvl w:val="0"/>
          <w:numId w:val="106"/>
        </w:numPr>
        <w:rPr>
          <w:rFonts w:ascii="Arial" w:cs="Arial" w:eastAsia="Arial" w:hAnsi="Arial"/>
          <w:sz w:val="18"/>
          <w:szCs w:val="18"/>
          <w:color w:val="auto"/>
        </w:rPr>
      </w:pPr>
      <w:r>
        <w:rPr>
          <w:rFonts w:ascii="Arial" w:cs="Arial" w:eastAsia="Arial" w:hAnsi="Arial"/>
          <w:sz w:val="18"/>
          <w:szCs w:val="18"/>
          <w:color w:val="151515"/>
        </w:rPr>
        <w:t>Company policy and procedures governing lobbying, both direct and indirect, and grassroots lobbying communications.</w:t>
      </w:r>
    </w:p>
    <w:p>
      <w:pPr>
        <w:spacing w:after="0" w:line="225" w:lineRule="exact"/>
        <w:rPr>
          <w:rFonts w:ascii="Arial" w:cs="Arial" w:eastAsia="Arial" w:hAnsi="Arial"/>
          <w:sz w:val="18"/>
          <w:szCs w:val="18"/>
          <w:color w:val="auto"/>
        </w:rPr>
      </w:pPr>
    </w:p>
    <w:p>
      <w:pPr>
        <w:ind w:left="740" w:right="640" w:hanging="327"/>
        <w:spacing w:after="0" w:line="262" w:lineRule="auto"/>
        <w:tabs>
          <w:tab w:leader="none" w:pos="740" w:val="left"/>
        </w:tabs>
        <w:numPr>
          <w:ilvl w:val="0"/>
          <w:numId w:val="106"/>
        </w:numPr>
        <w:rPr>
          <w:rFonts w:ascii="Arial" w:cs="Arial" w:eastAsia="Arial" w:hAnsi="Arial"/>
          <w:sz w:val="18"/>
          <w:szCs w:val="18"/>
          <w:color w:val="auto"/>
        </w:rPr>
      </w:pPr>
      <w:r>
        <w:rPr>
          <w:rFonts w:ascii="Arial" w:cs="Arial" w:eastAsia="Arial" w:hAnsi="Arial"/>
          <w:sz w:val="18"/>
          <w:szCs w:val="18"/>
          <w:color w:val="151515"/>
        </w:rPr>
        <w:t>Payments by Lilly used for (a) direct or indirect lobbying or (b) grassroots lobbying communications, in each case including the amount of the payment and the recipient.</w:t>
      </w:r>
    </w:p>
    <w:p>
      <w:pPr>
        <w:spacing w:after="0" w:line="196" w:lineRule="exact"/>
        <w:rPr>
          <w:rFonts w:ascii="Arial" w:cs="Arial" w:eastAsia="Arial" w:hAnsi="Arial"/>
          <w:sz w:val="18"/>
          <w:szCs w:val="18"/>
          <w:color w:val="auto"/>
        </w:rPr>
      </w:pPr>
    </w:p>
    <w:p>
      <w:pPr>
        <w:ind w:left="760" w:hanging="320"/>
        <w:spacing w:after="0"/>
        <w:tabs>
          <w:tab w:leader="none" w:pos="760" w:val="left"/>
        </w:tabs>
        <w:numPr>
          <w:ilvl w:val="1"/>
          <w:numId w:val="106"/>
        </w:numPr>
        <w:rPr>
          <w:rFonts w:ascii="Arial" w:cs="Arial" w:eastAsia="Arial" w:hAnsi="Arial"/>
          <w:sz w:val="18"/>
          <w:szCs w:val="18"/>
          <w:color w:val="auto"/>
        </w:rPr>
      </w:pPr>
      <w:r>
        <w:rPr>
          <w:rFonts w:ascii="Arial" w:cs="Arial" w:eastAsia="Arial" w:hAnsi="Arial"/>
          <w:sz w:val="18"/>
          <w:szCs w:val="18"/>
          <w:color w:val="151515"/>
        </w:rPr>
        <w:t>Lilly's membership in and payments to any tax-exempt organization that writes and endorses model legislation.</w:t>
      </w:r>
    </w:p>
    <w:p>
      <w:pPr>
        <w:spacing w:after="0" w:line="225" w:lineRule="exact"/>
        <w:rPr>
          <w:sz w:val="20"/>
          <w:szCs w:val="20"/>
          <w:color w:val="auto"/>
        </w:rPr>
      </w:pPr>
    </w:p>
    <w:p>
      <w:pPr>
        <w:ind w:left="820" w:right="20" w:hanging="407"/>
        <w:spacing w:after="0" w:line="262" w:lineRule="auto"/>
        <w:tabs>
          <w:tab w:leader="none" w:pos="820" w:val="left"/>
        </w:tabs>
        <w:numPr>
          <w:ilvl w:val="0"/>
          <w:numId w:val="107"/>
        </w:numPr>
        <w:rPr>
          <w:rFonts w:ascii="Arial" w:cs="Arial" w:eastAsia="Arial" w:hAnsi="Arial"/>
          <w:sz w:val="18"/>
          <w:szCs w:val="18"/>
          <w:color w:val="auto"/>
        </w:rPr>
      </w:pPr>
      <w:r>
        <w:rPr>
          <w:rFonts w:ascii="Arial" w:cs="Arial" w:eastAsia="Arial" w:hAnsi="Arial"/>
          <w:sz w:val="18"/>
          <w:szCs w:val="18"/>
          <w:color w:val="151515"/>
        </w:rPr>
        <w:t>Description of the decision making process and oversight by management and the Board for making payments described in section 2 and 3 above.</w:t>
      </w:r>
    </w:p>
    <w:p>
      <w:pPr>
        <w:spacing w:after="0" w:line="19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151515"/>
        </w:rPr>
        <w:t>For purposes of this proposal, a "grassroots lobbying communication" is a communication directed to the general public that (a) refers to specific legislation or regulation, (b) reflects a view on the legislation or regulation and (c) encourages the recipient of the communication to take action with respect to the legislation or regulation. "Indirect lobbying" is lobbying engaged in by a trade association or other organization of which Lilly is a member.</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151515"/>
        </w:rPr>
        <w:t>Both "direct and indirect lobbying” and "grassroots lobbying communications" include efforts at the local, state and federal levels.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151515"/>
        </w:rPr>
        <w:t>The report shall be presented to the Audit Committee or other relevant oversight committees and posted on Lilly's website.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151515"/>
        </w:rPr>
        <w:t>Supporting Statement</w:t>
      </w:r>
    </w:p>
    <w:p>
      <w:pPr>
        <w:spacing w:after="0" w:line="31"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151515"/>
        </w:rPr>
        <w:t xml:space="preserve">We encourage transparency in the use of corporate funds to influence legislation and regulation, both directly and indirectly. Since 2010, Lilly has spent over $64 million on federal lobbying (opensecrets.org). This figure does not include lobbying expenditures to influence legislation in states, where Lilly also lobbies in 48 states ("Amid Federal Gridlock, Lobbying Rises in the States," </w:t>
      </w:r>
      <w:r>
        <w:rPr>
          <w:rFonts w:ascii="Arial" w:cs="Arial" w:eastAsia="Arial" w:hAnsi="Arial"/>
          <w:sz w:val="18"/>
          <w:szCs w:val="18"/>
          <w:i w:val="1"/>
          <w:iCs w:val="1"/>
          <w:color w:val="151515"/>
        </w:rPr>
        <w:t>Center for Public Integrity,</w:t>
      </w:r>
      <w:r>
        <w:rPr>
          <w:rFonts w:ascii="Arial" w:cs="Arial" w:eastAsia="Arial" w:hAnsi="Arial"/>
          <w:sz w:val="18"/>
          <w:szCs w:val="18"/>
          <w:color w:val="151515"/>
        </w:rPr>
        <w:t xml:space="preserve"> February 11, 2016), but disclosure is uneven or absent.</w:t>
      </w:r>
    </w:p>
    <w:p>
      <w:pPr>
        <w:spacing w:after="0" w:line="204"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151515"/>
        </w:rPr>
        <w:t xml:space="preserve">Lilly is a member of the Pharmaceutical Research and Manufacturers of America (PhRMA), which spent over $100 million fighting a California drug pricing initiative ("Big Pharma Fights 'Tooth and Nail' against California Drug Vote," </w:t>
      </w:r>
      <w:r>
        <w:rPr>
          <w:rFonts w:ascii="Arial" w:cs="Arial" w:eastAsia="Arial" w:hAnsi="Arial"/>
          <w:sz w:val="18"/>
          <w:szCs w:val="18"/>
          <w:i w:val="1"/>
          <w:iCs w:val="1"/>
          <w:color w:val="151515"/>
        </w:rPr>
        <w:t>Bloomberg,</w:t>
      </w:r>
      <w:r>
        <w:rPr>
          <w:rFonts w:ascii="Arial" w:cs="Arial" w:eastAsia="Arial" w:hAnsi="Arial"/>
          <w:sz w:val="18"/>
          <w:szCs w:val="18"/>
          <w:color w:val="151515"/>
        </w:rPr>
        <w:t xml:space="preserve"> October 25, 2016), and belongs to the Chamber of Commerce, which has spent over $1.3 billion on lobbying since 1998. Lilly does not disclose its payments to trade associations, or the amounts used for lobbying. We are concerned that Lilly's lack of trade association lobbying disclosure presents reputational risks. For example, Lilly believes in providing affordable medicines, yet helps fund PhRMA's opposition to lower drug price initiatives, and Lilly supports smoking cessation, yet the Chamber works to block global smoking laws.</w:t>
      </w:r>
    </w:p>
    <w:p>
      <w:pPr>
        <w:spacing w:after="0" w:line="20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151515"/>
        </w:rPr>
        <w:t xml:space="preserve">And Lilly does not disclose its contributions to tax-exempt organizations that write and endorse model legislation, such as its membership in the American Legislative Exchange Council (ALEC). Lilly's ALEC membership has drawn media scrutiny ("Kendall: Businesses Should Cut Ties with Union-busting Lobbyists," </w:t>
      </w:r>
      <w:r>
        <w:rPr>
          <w:rFonts w:ascii="Arial" w:cs="Arial" w:eastAsia="Arial" w:hAnsi="Arial"/>
          <w:sz w:val="18"/>
          <w:szCs w:val="18"/>
          <w:i w:val="1"/>
          <w:iCs w:val="1"/>
          <w:color w:val="151515"/>
        </w:rPr>
        <w:t>Indianapolis Star</w:t>
      </w:r>
      <w:r>
        <w:rPr>
          <w:rFonts w:ascii="Arial" w:cs="Arial" w:eastAsia="Arial" w:hAnsi="Arial"/>
          <w:sz w:val="18"/>
          <w:szCs w:val="18"/>
          <w:color w:val="151515"/>
        </w:rPr>
        <w:t>, July 27, 2016). Over 100 companies have publicly left ALEC, including Allergan, Amgen, AstraZeneca, GlaxoSmithKline, Medtronic and Merck.</w:t>
      </w:r>
    </w:p>
    <w:p>
      <w:pPr>
        <w:spacing w:after="0" w:line="186" w:lineRule="exact"/>
        <w:rPr>
          <w:sz w:val="20"/>
          <w:szCs w:val="20"/>
          <w:color w:val="auto"/>
        </w:rPr>
      </w:pPr>
    </w:p>
    <w:p>
      <w:pPr>
        <w:ind w:right="880"/>
        <w:spacing w:after="0" w:line="274" w:lineRule="auto"/>
        <w:rPr>
          <w:sz w:val="20"/>
          <w:szCs w:val="20"/>
          <w:color w:val="auto"/>
        </w:rPr>
      </w:pPr>
      <w:r>
        <w:rPr>
          <w:rFonts w:ascii="Arial" w:cs="Arial" w:eastAsia="Arial" w:hAnsi="Arial"/>
          <w:sz w:val="22"/>
          <w:szCs w:val="22"/>
          <w:b w:val="1"/>
          <w:bCs w:val="1"/>
          <w:color w:val="EE2724"/>
        </w:rPr>
        <w:t>Statement in Opposition to the Shareholder Proposal Requesting Report Regarding Direct and Indirect Political Contributions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421005</wp:posOffset>
            </wp:positionH>
            <wp:positionV relativeFrom="paragraph">
              <wp:posOffset>27305</wp:posOffset>
            </wp:positionV>
            <wp:extent cx="684339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43395" cy="42545"/>
                    </a:xfrm>
                    <a:prstGeom prst="rect">
                      <a:avLst/>
                    </a:prstGeom>
                    <a:noFill/>
                  </pic:spPr>
                </pic:pic>
              </a:graphicData>
            </a:graphic>
          </wp:anchor>
        </w:drawing>
      </w:r>
    </w:p>
    <w:p>
      <w:pPr>
        <w:spacing w:after="0" w:line="177" w:lineRule="exact"/>
        <w:rPr>
          <w:sz w:val="20"/>
          <w:szCs w:val="20"/>
          <w:color w:val="auto"/>
        </w:rPr>
      </w:pPr>
    </w:p>
    <w:p>
      <w:pPr>
        <w:jc w:val="both"/>
        <w:ind w:right="500"/>
        <w:spacing w:after="0" w:line="256" w:lineRule="auto"/>
        <w:rPr>
          <w:sz w:val="20"/>
          <w:szCs w:val="20"/>
          <w:color w:val="auto"/>
        </w:rPr>
      </w:pPr>
      <w:r>
        <w:rPr>
          <w:rFonts w:ascii="Arial" w:cs="Arial" w:eastAsia="Arial" w:hAnsi="Arial"/>
          <w:sz w:val="18"/>
          <w:szCs w:val="18"/>
          <w:color w:val="auto"/>
        </w:rPr>
        <w:t>The Public Policy and Compliance Committee of the board has reviewed this proposal and recommends a vote against it, as we currently publish most of the information requested by the shareholder. The additional reporting requirements are unnecessary, as the information requested is publicly available and this reporting would place an undue administrative burden on the company.</w:t>
      </w:r>
    </w:p>
    <w:p>
      <w:pPr>
        <w:spacing w:after="0" w:line="20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Beginning in 2005, the company has published the following information on our website (</w:t>
      </w:r>
      <w:r>
        <w:rPr>
          <w:rFonts w:ascii="Arial" w:cs="Arial" w:eastAsia="Arial" w:hAnsi="Arial"/>
          <w:sz w:val="18"/>
          <w:szCs w:val="18"/>
          <w:u w:val="single" w:color="auto"/>
          <w:color w:val="0000FF"/>
        </w:rPr>
        <w:t>www.lilly.com</w:t>
      </w:r>
      <w:r>
        <w:rPr>
          <w:rFonts w:ascii="Arial" w:cs="Arial" w:eastAsia="Arial" w:hAnsi="Arial"/>
          <w:sz w:val="18"/>
          <w:szCs w:val="18"/>
          <w:color w:val="auto"/>
        </w:rPr>
        <w:t>) for both direct company contributions and employee political action committee (PAC) contributions to support candidates for political office, political parties, officials, or committees in the U.S.:</w:t>
      </w: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P79</w:t>
      </w:r>
    </w:p>
    <w:p>
      <w:pPr>
        <w:sectPr>
          <w:pgSz w:w="11900" w:h="16838" w:orient="portrait"/>
          <w:cols w:equalWidth="0" w:num="1">
            <w:col w:w="11420"/>
          </w:cols>
          <w:pgMar w:left="240" w:top="576" w:right="239" w:bottom="1440" w:gutter="0" w:footer="0" w:header="0"/>
        </w:sectPr>
      </w:pPr>
    </w:p>
    <w:bookmarkStart w:id="83" w:name="page84"/>
    <w:bookmarkEnd w:id="83"/>
    <w:p>
      <w:pPr>
        <w:ind w:left="660" w:hanging="328"/>
        <w:spacing w:after="0"/>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policies and procedures for company and PAC contributions</w:t>
      </w:r>
    </w:p>
    <w:p>
      <w:pPr>
        <w:spacing w:after="0" w:line="9" w:lineRule="exact"/>
        <w:rPr>
          <w:rFonts w:ascii="Arial" w:cs="Arial" w:eastAsia="Arial" w:hAnsi="Arial"/>
          <w:sz w:val="18"/>
          <w:szCs w:val="18"/>
          <w:color w:val="auto"/>
        </w:rPr>
      </w:pPr>
    </w:p>
    <w:p>
      <w:pPr>
        <w:ind w:left="660" w:right="200" w:hanging="328"/>
        <w:spacing w:after="0" w:line="250" w:lineRule="auto"/>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contributions to candidates, including information about the candidate's office (for example, state, local, or federal; House or Senate), party affiliation, and state</w:t>
      </w:r>
    </w:p>
    <w:p>
      <w:pPr>
        <w:ind w:left="660" w:hanging="328"/>
        <w:spacing w:after="0"/>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contributions to political organizations and Section 527 organizations reported by state.</w:t>
      </w:r>
    </w:p>
    <w:p>
      <w:pPr>
        <w:spacing w:after="0" w:line="22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This information is updated annually. In addition to the information available on our website, detailed corporate contributions, PAC contribution data, and the company’s direct lobbying expenses are available to the public on the Federal Election Committee website (https://www.fec.gov/data/) and through individual state agencies. The company’s direct lobbying expenses are also available to the public on the Lobbying Disclosure page of the U.S. House website (http://disclosures.house.gov/ld/ldsearch.aspx) and through individual state agencies.</w:t>
      </w:r>
    </w:p>
    <w:p>
      <w:pPr>
        <w:spacing w:after="0" w:line="204"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In addition to direct political contributions, Lilly maintains memberships in certain 501(c)(6)s - trade associations that report lobbying activity to the U.S. government. We maintain memberships in trade associations and other tax-exempt organizations specific to business and pharmaceutical industry interests, such as PhRMA (Pharmaceutical Research and Manufacturers Association), BIO (Biotechnology Association), and the National Association of Manufacturers. We support organizations that champion public policies that contribute to pharmaceutical innovation, healthy patients, and a healthy business climate.</w:t>
      </w:r>
    </w:p>
    <w:p>
      <w:pPr>
        <w:spacing w:after="0" w:line="206"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Information relating to Lilly’s memberships in trade associations to which we contribute $50,000 per year or more, and any such organizations where Lilly has a board seat can be found at https://www.lilly.com/LillyPAC.</w:t>
      </w:r>
    </w:p>
    <w:p>
      <w:pPr>
        <w:spacing w:after="0" w:line="196" w:lineRule="exact"/>
        <w:rPr>
          <w:sz w:val="20"/>
          <w:szCs w:val="20"/>
          <w:color w:val="auto"/>
        </w:rPr>
      </w:pPr>
    </w:p>
    <w:p>
      <w:pPr>
        <w:ind w:right="440"/>
        <w:spacing w:after="0" w:line="262" w:lineRule="auto"/>
        <w:rPr>
          <w:sz w:val="20"/>
          <w:szCs w:val="20"/>
          <w:color w:val="auto"/>
        </w:rPr>
      </w:pPr>
      <w:r>
        <w:rPr>
          <w:rFonts w:ascii="Arial" w:cs="Arial" w:eastAsia="Arial" w:hAnsi="Arial"/>
          <w:sz w:val="18"/>
          <w:szCs w:val="18"/>
          <w:color w:val="auto"/>
        </w:rPr>
        <w:t>These tax exempt organizations are also required to disclose their lobbying expenditures under the Lobbying Act of 1995: they report their lobbying expenditures to the U.S. Senate.</w:t>
      </w:r>
    </w:p>
    <w:p>
      <w:pPr>
        <w:spacing w:after="0" w:line="19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As we do not control what portion of the organization’s budget is spent on lobbying, it is the fact of company membership in and support for the trade association, and the trade association’s total lobbying expenditure, that reveals the most about Lilly's political activities. As a result, the board of directors does not believe any value provided by the requested additional disclosures merits the resources required to produce such a report.</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color w:val="FF0000"/>
        </w:rPr>
        <w:t>Board Recommendation on Item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a vote AGAINST the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350520</wp:posOffset>
            </wp:positionV>
            <wp:extent cx="72720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1220"/>
        <w:spacing w:after="0" w:line="278" w:lineRule="auto"/>
        <w:rPr>
          <w:sz w:val="20"/>
          <w:szCs w:val="20"/>
          <w:color w:val="auto"/>
        </w:rPr>
      </w:pPr>
      <w:r>
        <w:rPr>
          <w:rFonts w:ascii="Arial" w:cs="Arial" w:eastAsia="Arial" w:hAnsi="Arial"/>
          <w:sz w:val="29"/>
          <w:szCs w:val="29"/>
          <w:b w:val="1"/>
          <w:bCs w:val="1"/>
          <w:color w:val="FF0000"/>
        </w:rPr>
        <w:t>Item 9. Shareholder Proposal Requesting Report on Policies and Practices Regarding Contract Animal Laboratories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wp:posOffset>
            </wp:positionV>
            <wp:extent cx="72720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165"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People for the Ethical Treatment of Animals (PETA), 1536 16th Street N.W., Washington, D.C., beneficial owner of 56 shares of common stock of Eli Lilly and Company, has submitted the following proposal:</w:t>
      </w:r>
    </w:p>
    <w:p>
      <w:pPr>
        <w:spacing w:after="0" w:line="17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Establish Accountability for Animal Welfare</w:t>
      </w:r>
    </w:p>
    <w:p>
      <w:pPr>
        <w:spacing w:after="0" w:line="31" w:lineRule="exact"/>
        <w:rPr>
          <w:sz w:val="20"/>
          <w:szCs w:val="20"/>
          <w:color w:val="auto"/>
        </w:rPr>
      </w:pPr>
    </w:p>
    <w:p>
      <w:pPr>
        <w:ind w:left="20" w:right="20"/>
        <w:spacing w:after="0" w:line="291" w:lineRule="auto"/>
        <w:rPr>
          <w:sz w:val="20"/>
          <w:szCs w:val="20"/>
          <w:color w:val="auto"/>
        </w:rPr>
      </w:pPr>
      <w:r>
        <w:rPr>
          <w:rFonts w:ascii="Arial" w:cs="Arial" w:eastAsia="Arial" w:hAnsi="Arial"/>
          <w:sz w:val="17"/>
          <w:szCs w:val="17"/>
          <w:color w:val="auto"/>
        </w:rPr>
        <w:t>RESOLVED, in light of disturbing mistreatment of animals at external research organizations with which our Company has conducted business, the Board should strengthen our Company's policy and practices regarding contract animal laboratories and issue a report to shareholders.</w:t>
      </w:r>
    </w:p>
    <w:p>
      <w:pPr>
        <w:spacing w:after="0" w:line="15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Supporting Statement</w:t>
      </w:r>
    </w:p>
    <w:p>
      <w:pPr>
        <w:spacing w:after="0" w:line="31"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In spite of its "commitment to the ethical treatment of animals," which extends to external laboratories, our Company has repeatedly conducted business with contract laboratories where substandard animal care practices have been documented by government agencies.</w:t>
      </w:r>
    </w:p>
    <w:p>
      <w:pPr>
        <w:spacing w:after="0" w:line="19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Company's animal care policy states that “animals used in research shall be treated humanely, with pain or distress eliminated or minimized." Additionally, our Company requires all contract research organizations "to adhere to [its animal welfare] policies and principles." Yet our Company has paid for services conducted at and purchased animals from at least three contract laboratories—Liberty Research, Inc. (Liberty), Professional Laboratory and Research Services (PLRS), and Covance—with serious violations of federal animal welfare laws.</w:t>
      </w:r>
    </w:p>
    <w:p>
      <w:pPr>
        <w:spacing w:after="0" w:line="2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P80</w:t>
      </w:r>
    </w:p>
    <w:p>
      <w:pPr>
        <w:sectPr>
          <w:pgSz w:w="11900" w:h="16838" w:orient="portrait"/>
          <w:cols w:equalWidth="0" w:num="1">
            <w:col w:w="11420"/>
          </w:cols>
          <w:pgMar w:left="240" w:top="598" w:right="239" w:bottom="1440" w:gutter="0" w:footer="0" w:header="0"/>
        </w:sectPr>
      </w:pPr>
    </w:p>
    <w:bookmarkStart w:id="84" w:name="page85"/>
    <w:bookmarkEnd w:id="84"/>
    <w:p>
      <w:pPr>
        <w:ind w:right="240"/>
        <w:spacing w:after="0" w:line="271" w:lineRule="auto"/>
        <w:rPr>
          <w:sz w:val="20"/>
          <w:szCs w:val="20"/>
          <w:color w:val="auto"/>
        </w:rPr>
      </w:pPr>
      <w:r>
        <w:rPr>
          <w:rFonts w:ascii="Arial" w:cs="Arial" w:eastAsia="Arial" w:hAnsi="Arial"/>
          <w:sz w:val="17"/>
          <w:szCs w:val="17"/>
          <w:color w:val="auto"/>
        </w:rPr>
        <w:t>A 2017 exposé of Liberty conducted by People for the Ethical Treatment of Animals (PETA) documented, including on video, living and dying conditions for dogs and cats marked by pain and misery. Workers failed to provide adequate anesthesia to dogs whose skulls were opened during invasive surgery and failed to administer humane euthanasia. Liberty used animals in multiple tests despite the long-term effects of experimental compounds and possible interactions with other medications. Cats were forced to live in severely crowded, barren, windowless pens where recently, some suffocated under litter pans; and dogs suffered severe injuries after being confined with incompatible cagemates.</w:t>
      </w:r>
    </w:p>
    <w:p>
      <w:pPr>
        <w:spacing w:after="0" w:line="193"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Our company also contracts with Covance, which was cited and fined by the U.S. Department of Agriculture (USDA) in 2016 when negligence resulted in thirteen monkeys dying of hyperthermia.</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According to recent federal inspections, beagles and monkeys at Covance were denied adequate veterinary care for numerous ailments: monkeys sustained limb fractures and beagles were not adequately treated for inflamed and painful skin. A rabbit was euthanized after she was found with a bell stuck in her mouth. Another rabbit was euthanized after she sustained a spinal injury.</w:t>
      </w:r>
    </w:p>
    <w:p>
      <w:pPr>
        <w:spacing w:after="0" w:line="21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Apparent carelessness in choosing outside laboratories is a long-standing issue for our Company. A 2010 PETA video exposé of PLRS documented repeated violations of federal laws. Workers yelled profanities at cowering, frightened dogs and cats. Employees kicked, threw, dropped, and dragged dogs, and violently threw cats into cages. Animals at PLRS were forced to live in their own feces and urine and suffered constantly from burns and sores-but received no veterinary care for their wounds. Following the release of the video, and inspection by the USDA, this laboratory was forced to close.</w:t>
      </w:r>
    </w:p>
    <w:p>
      <w:pPr>
        <w:spacing w:after="0" w:line="20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Shareholders cannot monitor what goes on inside animal testing laboratories, but our Company can and must review federal records and conduct frequent and extensive visits to contract laboratories. The Board must ensure that animal welfare measures are an integral part of our Company's corporate stewardship.</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 urge shareholders to vote in favor of this socially and ethically important proposal.</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w:t>
      </w:r>
    </w:p>
    <w:p>
      <w:pPr>
        <w:spacing w:after="0" w:line="222" w:lineRule="exact"/>
        <w:rPr>
          <w:sz w:val="20"/>
          <w:szCs w:val="20"/>
          <w:color w:val="auto"/>
        </w:rPr>
      </w:pPr>
    </w:p>
    <w:p>
      <w:pPr>
        <w:spacing w:after="0"/>
        <w:rPr>
          <w:sz w:val="20"/>
          <w:szCs w:val="20"/>
          <w:color w:val="auto"/>
        </w:rPr>
      </w:pPr>
      <w:r>
        <w:rPr>
          <w:rFonts w:ascii="Arial" w:cs="Arial" w:eastAsia="Arial" w:hAnsi="Arial"/>
          <w:sz w:val="21"/>
          <w:szCs w:val="21"/>
          <w:color w:val="auto"/>
          <w:vertAlign w:val="superscript"/>
        </w:rPr>
        <w:t>1</w:t>
      </w:r>
      <w:r>
        <w:rPr>
          <w:rFonts w:ascii="Arial" w:cs="Arial" w:eastAsia="Arial" w:hAnsi="Arial"/>
          <w:sz w:val="18"/>
          <w:szCs w:val="18"/>
          <w:color w:val="auto"/>
        </w:rPr>
        <w:t>http://www.mediapeta.com/peta/PDF/Covance_Research_Products.Stip.July2016.pdf</w:t>
      </w:r>
    </w:p>
    <w:p>
      <w:pPr>
        <w:spacing w:after="0" w:line="175" w:lineRule="exact"/>
        <w:rPr>
          <w:sz w:val="20"/>
          <w:szCs w:val="20"/>
          <w:color w:val="auto"/>
        </w:rPr>
      </w:pPr>
    </w:p>
    <w:p>
      <w:pPr>
        <w:ind w:right="180"/>
        <w:spacing w:after="0" w:line="274" w:lineRule="auto"/>
        <w:rPr>
          <w:sz w:val="20"/>
          <w:szCs w:val="20"/>
          <w:color w:val="auto"/>
        </w:rPr>
      </w:pPr>
      <w:r>
        <w:rPr>
          <w:rFonts w:ascii="Arial" w:cs="Arial" w:eastAsia="Arial" w:hAnsi="Arial"/>
          <w:sz w:val="22"/>
          <w:szCs w:val="22"/>
          <w:b w:val="1"/>
          <w:bCs w:val="1"/>
          <w:color w:val="EE2724"/>
        </w:rPr>
        <w:t>Statement in Opposition to the Shareholder Proposal Requesting Report on Policies and Practices Regarding Contract Animal Laboratories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421005</wp:posOffset>
            </wp:positionH>
            <wp:positionV relativeFrom="paragraph">
              <wp:posOffset>27305</wp:posOffset>
            </wp:positionV>
            <wp:extent cx="684339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43395" cy="42545"/>
                    </a:xfrm>
                    <a:prstGeom prst="rect">
                      <a:avLst/>
                    </a:prstGeom>
                    <a:noFill/>
                  </pic:spPr>
                </pic:pic>
              </a:graphicData>
            </a:graphic>
          </wp:anchor>
        </w:drawing>
      </w:r>
    </w:p>
    <w:p>
      <w:pPr>
        <w:spacing w:after="0" w:line="177"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We share the concerns raised in this shareholder proposal. We abhor mistreatment of animals and we are committed to the appropriate treatment of animals in research. However, for reasons stated below, the Public Policy and Compliance Committee of the board has reviewed this proposal and recommends a vote against it.</w:t>
      </w:r>
    </w:p>
    <w:p>
      <w:pPr>
        <w:spacing w:after="0" w:line="20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Of the violations cited by PETA in their proposal, Lilly has terminated relationships with one of the three laboratories. For the second laboratory, work has been curtailed and confined to a single site with additional oversight and remediation. The third laboratory self-reported the incidents and took immediate action to address the cited issues. We do not condone, in any form, the mistreatment of research animals, and we recognize our fundamental ethical and scientific obligation to ensure the appropriate treatment of animals used in research. We have processes and procedures in place to ensure humane treatment of animals, including programs for oversight by an internal corporate Animal Welfare Board, Institutional Animal Care and Use Committees, or an equivalent ethical review board, as well as veterinary oversight at every site—both ours and contract laboratories. We are committed to quality research-animal care and use, the responsible use of animals in medical research, and the use of alternative methods whenever possible and appropriate.</w:t>
      </w:r>
    </w:p>
    <w:p>
      <w:pPr>
        <w:spacing w:after="0" w:line="206"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We adhere to standards set forth in the U.S. Animal Welfare Act. We have been accredited by the Association for Assessment and Accreditation of Laboratory Animal Care (AAALAC). AAALAC accreditation rules and standards can be found on the AAALAC website (www.aaalac.org). This accreditation is a voluntary process that includes a detailed, comprehensive review of our research-animal program including animal care and use policies and procedures, animal environment, housing and management, veterinary medical care, and physical plant operations. We consider our policies and practices to be very much in line with leading industry standards as evidenced by our engagement in industry consortia and professional societies focused on the use of animals in biomedical research (National Association of Biomedical Research, IQ Consortium, Foundation of Biomedical Research). We currently</w:t>
      </w:r>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P81</w:t>
      </w:r>
    </w:p>
    <w:p>
      <w:pPr>
        <w:sectPr>
          <w:pgSz w:w="11900" w:h="16838" w:orient="portrait"/>
          <w:cols w:equalWidth="0" w:num="1">
            <w:col w:w="11420"/>
          </w:cols>
          <w:pgMar w:left="240" w:top="814" w:right="239" w:bottom="1440" w:gutter="0" w:footer="0" w:header="0"/>
        </w:sectPr>
      </w:pPr>
    </w:p>
    <w:bookmarkStart w:id="85" w:name="page86"/>
    <w:bookmarkEnd w:id="85"/>
    <w:p>
      <w:pPr>
        <w:ind w:right="460"/>
        <w:spacing w:after="0" w:line="262" w:lineRule="auto"/>
        <w:rPr>
          <w:sz w:val="20"/>
          <w:szCs w:val="20"/>
          <w:color w:val="auto"/>
        </w:rPr>
      </w:pPr>
      <w:r>
        <w:rPr>
          <w:rFonts w:ascii="Arial" w:cs="Arial" w:eastAsia="Arial" w:hAnsi="Arial"/>
          <w:sz w:val="18"/>
          <w:szCs w:val="18"/>
          <w:color w:val="auto"/>
        </w:rPr>
        <w:t>publish information detailing our commitment to responsible animal research as well as an overview of our policies and procedures on our website (www.lilly.com).</w:t>
      </w:r>
    </w:p>
    <w:p>
      <w:pPr>
        <w:spacing w:after="0" w:line="196"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For safe and effective medicines to be available to patients, U.S. and foreign regulatory agencies have mandated that a defined amount of research be performed in animals. Where animals must be used, we take every measure to assure that the lowest number of animals is used and that discomfort and distress are either eliminated or minimized.</w:t>
      </w:r>
    </w:p>
    <w:p>
      <w:pPr>
        <w:spacing w:after="0" w:line="20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As a global company, we develop contractual relationships with select laboratory-animal research and animal-supply companies inside and outside the U.S. We seek to do business only with those companies that share our commitment to animal welfare. We require these companies to maintain a quality animal care and use program. To ensure animal welfare, we assess third-party organization adherence to these expectations. If events suggest a laboratory has failed to meet our standards, we promptly investigate and act upon the allegations. These actions may include termination of a business relationship.</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color w:val="FF0000"/>
        </w:rPr>
        <w:t>Board Recommendation on Item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a vote AGAINST the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350520</wp:posOffset>
            </wp:positionV>
            <wp:extent cx="72720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560"/>
        <w:spacing w:after="0" w:line="260" w:lineRule="auto"/>
        <w:rPr>
          <w:sz w:val="20"/>
          <w:szCs w:val="20"/>
          <w:color w:val="auto"/>
        </w:rPr>
      </w:pPr>
      <w:r>
        <w:rPr>
          <w:rFonts w:ascii="Arial" w:cs="Arial" w:eastAsia="Arial" w:hAnsi="Arial"/>
          <w:sz w:val="29"/>
          <w:szCs w:val="29"/>
          <w:b w:val="1"/>
          <w:bCs w:val="1"/>
          <w:color w:val="FF0000"/>
        </w:rPr>
        <w:t>Item 10. Shareholder Proposal Requesting Report on the Extent to Which Risks Related to Public Concern Over Drug Pricing Strategies are Integrated into Incentive Compensation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2720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Mercy Investment Services, Inc., 2039 North Geyer Road, St. Louis, Missouri, beneficial owner of 73 shares of common stock of Eli Lilly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Company, has submitted the following proposal:</w:t>
      </w:r>
    </w:p>
    <w:p>
      <w:pPr>
        <w:spacing w:after="0" w:line="20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shareholders of Eli Lilly and Company (“Eli Lilly”) urge the Compensation Committee (the “Committee”) to report annually to</w:t>
      </w:r>
      <w:r>
        <w:rPr>
          <w:rFonts w:ascii="Arial" w:cs="Arial" w:eastAsia="Arial" w:hAnsi="Arial"/>
          <w:sz w:val="18"/>
          <w:szCs w:val="18"/>
          <w:b w:val="1"/>
          <w:bCs w:val="1"/>
          <w:color w:val="auto"/>
        </w:rPr>
        <w:t xml:space="preserve"> </w:t>
      </w:r>
      <w:r>
        <w:rPr>
          <w:rFonts w:ascii="Arial" w:cs="Arial" w:eastAsia="Arial" w:hAnsi="Arial"/>
          <w:sz w:val="18"/>
          <w:szCs w:val="18"/>
          <w:color w:val="auto"/>
        </w:rPr>
        <w:t>shareholders on the extent to which risks related to public concern over drug pricing strategies are integrated into Eli Lilly’s incentive compensation policies, plans and programs (together, “arrangements”) for senior executives. The report should include, but need not be limited to, discussion of whether incentive compensation arrangements reward, or not penalize, senior executives for (i) adopting pricing strategies, or making and honoring commitments about pricing, that incorporate public concern regarding the level or rate of increase in prescription drug prices; and (ii) considering risks related to drug pricing when allocating capital.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SUPPORTING STATEMENT</w:t>
      </w:r>
    </w:p>
    <w:p>
      <w:pPr>
        <w:spacing w:after="0" w:line="31"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As long-term investors, we believe that senior executive incentive compensation arrangements should reward the creation of sustainable long-term value. To that end, it is important that those arrangements align with company strategy and encourage responsible risk management.</w:t>
      </w:r>
    </w:p>
    <w:p>
      <w:pPr>
        <w:spacing w:after="0" w:line="196"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 key risk facing pharmaceutical companies is potential backlash against high drug prices. Public outrage over high prices and their impact on patient access may force price rollbacks and harm corporate reputation. Legislative or regulatory investigations regarding pricing of prescription medicines may bring about broader changes, with some favoring allowing Medicare to bargain over drug prices. (</w:t>
      </w:r>
      <w:r>
        <w:rPr>
          <w:rFonts w:ascii="Arial" w:cs="Arial" w:eastAsia="Arial" w:hAnsi="Arial"/>
          <w:sz w:val="18"/>
          <w:szCs w:val="18"/>
          <w:u w:val="single" w:color="auto"/>
          <w:color w:val="auto"/>
        </w:rPr>
        <w:t>E.g.</w:t>
      </w:r>
      <w:r>
        <w:rPr>
          <w:rFonts w:ascii="Arial" w:cs="Arial" w:eastAsia="Arial" w:hAnsi="Arial"/>
          <w:sz w:val="18"/>
          <w:szCs w:val="18"/>
          <w:color w:val="auto"/>
        </w:rPr>
        <w:t>, https://democrats-oversight.house.gov/news/press-releases/cummings-and-welch-launch-investigation-of-drug-companies-skyrocketing-prices; https://democrats-oversight.house.gov/news/press-releases/cummings-and-welch-propose-medicare-drug-negotiation-bill-in-meeting-with) An October 2017 report indicated that five states and federal prosecutors are investigating insulin makers, including Eli Lilly, for anticompetitive practices related to pricing. (https://medcitynews.com/2017/10/insulin-prices-soar/)</w:t>
      </w:r>
    </w:p>
    <w:p>
      <w:pPr>
        <w:spacing w:after="0" w:line="207"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We applaud Eli Lilly for improving transparency on drug pricing and supporting alternative pricing approaches. We are concerned, however, that the incentive compensation arrangements applicable to Eli Lilly’s senior executives may not encourage senior executives to take actions that result in lower short-term financial performance even when those actions may be in Eli Lilly’s best long-term financial interests.</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P82</w:t>
      </w:r>
    </w:p>
    <w:p>
      <w:pPr>
        <w:sectPr>
          <w:pgSz w:w="11900" w:h="16838" w:orient="portrait"/>
          <w:cols w:equalWidth="0" w:num="1">
            <w:col w:w="11420"/>
          </w:cols>
          <w:pgMar w:left="240" w:top="598" w:right="239" w:bottom="1440" w:gutter="0" w:footer="0" w:header="0"/>
        </w:sectPr>
      </w:pPr>
    </w:p>
    <w:bookmarkStart w:id="86" w:name="page87"/>
    <w:bookmarkEnd w:id="86"/>
    <w:p>
      <w:pPr>
        <w:ind w:right="300"/>
        <w:spacing w:after="0" w:line="253" w:lineRule="auto"/>
        <w:rPr>
          <w:sz w:val="20"/>
          <w:szCs w:val="20"/>
          <w:color w:val="auto"/>
        </w:rPr>
      </w:pPr>
      <w:r>
        <w:rPr>
          <w:rFonts w:ascii="Arial" w:cs="Arial" w:eastAsia="Arial" w:hAnsi="Arial"/>
          <w:sz w:val="18"/>
          <w:szCs w:val="18"/>
          <w:color w:val="auto"/>
        </w:rPr>
        <w:t>Eli Lilly uses revenue and earnings per share (EPS) as metrics for the annual bonus and EPS growth as the metric for performance awards. (2017 Proxy Statement, at 41-42) A recent Credit Suisse analyst report stated that “US drug price rises contributed 100% of industry EPS growth in 2016” and characterized that fact as “the most important issue for a Pharma investor today.” The report identified Eli Lilly as a company where price increases accounted for at least 100% of EPS growth in 2016. (</w:t>
      </w:r>
      <w:r>
        <w:rPr>
          <w:rFonts w:ascii="Arial" w:cs="Arial" w:eastAsia="Arial" w:hAnsi="Arial"/>
          <w:sz w:val="18"/>
          <w:szCs w:val="18"/>
          <w:i w:val="1"/>
          <w:iCs w:val="1"/>
          <w:color w:val="auto"/>
        </w:rPr>
        <w:t>Global Pharma and Biotech Sector Review: Exploring</w:t>
      </w:r>
      <w:r>
        <w:rPr>
          <w:rFonts w:ascii="Arial" w:cs="Arial" w:eastAsia="Arial" w:hAnsi="Arial"/>
          <w:sz w:val="18"/>
          <w:szCs w:val="18"/>
          <w:color w:val="auto"/>
        </w:rPr>
        <w:t xml:space="preserve"> </w:t>
      </w:r>
      <w:r>
        <w:rPr>
          <w:rFonts w:ascii="Arial" w:cs="Arial" w:eastAsia="Arial" w:hAnsi="Arial"/>
          <w:sz w:val="18"/>
          <w:szCs w:val="18"/>
          <w:i w:val="1"/>
          <w:iCs w:val="1"/>
          <w:color w:val="auto"/>
        </w:rPr>
        <w:t>Future US Pricing Pressure</w:t>
      </w:r>
      <w:r>
        <w:rPr>
          <w:rFonts w:ascii="Arial" w:cs="Arial" w:eastAsia="Arial" w:hAnsi="Arial"/>
          <w:sz w:val="18"/>
          <w:szCs w:val="18"/>
          <w:color w:val="auto"/>
        </w:rPr>
        <w:t>, Apr. 18, 2017, at 1)</w:t>
      </w:r>
    </w:p>
    <w:p>
      <w:pPr>
        <w:spacing w:after="0" w:line="206"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 our view, excessive dependence on drug price increases is a risky and unsustainable strategy, especially when price hikes drive large senior executive payouts. For example, media coverage of the skyrocketing cost of Mylan’s EpiPen noted that a 600% rise in Mylan’s CEO’s total compensation accompanied the 400% EpiPen price increase. (</w:t>
      </w:r>
      <w:r>
        <w:rPr>
          <w:rFonts w:ascii="Arial" w:cs="Arial" w:eastAsia="Arial" w:hAnsi="Arial"/>
          <w:sz w:val="18"/>
          <w:szCs w:val="18"/>
          <w:u w:val="single" w:color="auto"/>
          <w:color w:val="auto"/>
        </w:rPr>
        <w:t>See</w:t>
      </w:r>
      <w:r>
        <w:rPr>
          <w:rFonts w:ascii="Arial" w:cs="Arial" w:eastAsia="Arial" w:hAnsi="Arial"/>
          <w:sz w:val="18"/>
          <w:szCs w:val="18"/>
          <w:color w:val="auto"/>
        </w:rPr>
        <w:t xml:space="preserve">, </w:t>
      </w:r>
      <w:r>
        <w:rPr>
          <w:rFonts w:ascii="Arial" w:cs="Arial" w:eastAsia="Arial" w:hAnsi="Arial"/>
          <w:sz w:val="18"/>
          <w:szCs w:val="18"/>
          <w:u w:val="single" w:color="auto"/>
          <w:color w:val="auto"/>
        </w:rPr>
        <w:t>e.g.</w:t>
      </w:r>
      <w:r>
        <w:rPr>
          <w:rFonts w:ascii="Arial" w:cs="Arial" w:eastAsia="Arial" w:hAnsi="Arial"/>
          <w:sz w:val="18"/>
          <w:szCs w:val="18"/>
          <w:color w:val="auto"/>
        </w:rPr>
        <w:t>, https://www.nbcnews.com/business/consumer/mylan-execs-gave-themselves-raises-they-hiked-epipen-prices-n636591; https://www.wsj.com/articles/epipen-maker-dispenses-outsize-pay-1473786288; https://www.marketwatch.com/story/mylan-top-executive-pay-was-second-highest-in-industry-just-as-company-raised-epipen-prices-2016-09-13)</w:t>
      </w:r>
    </w:p>
    <w:p>
      <w:pPr>
        <w:spacing w:after="0" w:line="20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disclosure we request would allow shareholders to better assess the extent to which compensation arrangements encourage senior executives to responsibly manage risks relating to drug pricing and contribute to long-term value creation. We urge shareholders to vote for this Proposal.</w:t>
      </w:r>
    </w:p>
    <w:p>
      <w:pPr>
        <w:spacing w:after="0" w:line="184" w:lineRule="exact"/>
        <w:rPr>
          <w:sz w:val="20"/>
          <w:szCs w:val="20"/>
          <w:color w:val="auto"/>
        </w:rPr>
      </w:pPr>
    </w:p>
    <w:p>
      <w:pPr>
        <w:ind w:right="100"/>
        <w:spacing w:after="0" w:line="298" w:lineRule="auto"/>
        <w:rPr>
          <w:sz w:val="20"/>
          <w:szCs w:val="20"/>
          <w:color w:val="auto"/>
        </w:rPr>
      </w:pPr>
      <w:r>
        <w:rPr>
          <w:rFonts w:ascii="Arial" w:cs="Arial" w:eastAsia="Arial" w:hAnsi="Arial"/>
          <w:sz w:val="21"/>
          <w:szCs w:val="21"/>
          <w:b w:val="1"/>
          <w:bCs w:val="1"/>
          <w:color w:val="EE2724"/>
        </w:rPr>
        <w:t xml:space="preserve">Statement in Opposition to the Shareholder Proposal Requesting </w:t>
      </w:r>
      <w:r>
        <w:rPr>
          <w:rFonts w:ascii="Arial" w:cs="Arial" w:eastAsia="Arial" w:hAnsi="Arial"/>
          <w:sz w:val="21"/>
          <w:szCs w:val="21"/>
          <w:b w:val="1"/>
          <w:bCs w:val="1"/>
          <w:color w:val="FF0000"/>
        </w:rPr>
        <w:t>Report on the Extent to Which Risks Related</w:t>
      </w:r>
      <w:r>
        <w:rPr>
          <w:rFonts w:ascii="Arial" w:cs="Arial" w:eastAsia="Arial" w:hAnsi="Arial"/>
          <w:sz w:val="21"/>
          <w:szCs w:val="21"/>
          <w:b w:val="1"/>
          <w:bCs w:val="1"/>
          <w:color w:val="EE2724"/>
        </w:rPr>
        <w:t xml:space="preserve"> </w:t>
      </w:r>
      <w:r>
        <w:rPr>
          <w:rFonts w:ascii="Arial" w:cs="Arial" w:eastAsia="Arial" w:hAnsi="Arial"/>
          <w:sz w:val="21"/>
          <w:szCs w:val="21"/>
          <w:b w:val="1"/>
          <w:bCs w:val="1"/>
          <w:color w:val="FF0000"/>
        </w:rPr>
        <w:t>to Public Concern Over Drug Pricing Strategies are Integrated into Incentive Compensation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421005</wp:posOffset>
            </wp:positionH>
            <wp:positionV relativeFrom="paragraph">
              <wp:posOffset>13335</wp:posOffset>
            </wp:positionV>
            <wp:extent cx="684339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43395" cy="4254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The Public Policy and Compliance Committee of the board has reviewed this proposal and recommends against it.</w:t>
      </w:r>
    </w:p>
    <w:p>
      <w:pPr>
        <w:spacing w:after="0" w:line="22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company’s annual proxy statement provides detailed information on the company’s policies, plans, and practices relating to executive compensation. Each year, the CD&amp;A section of this document describes our executive compensation philosophy, the Board of Director’s Compensation Committee's process for setting executive compensation, the elements of our compensation program, the factors the committee considered when setting executive compensation for the previous year, and how the company's results affected incentive payouts for the previous year’s performance.</w:t>
      </w:r>
    </w:p>
    <w:p>
      <w:pPr>
        <w:spacing w:after="0" w:line="206"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The proxy statement includes a detailed summary of the Compensation Committee’s review of individual named executive officers. These summaries provide all relevant information regarding the factors considered in those executive’s compensation. These summaries include information regarding specific individualized performance inputs, including inputs relating to strategic efforts and decisions. This information is broadly available to shareholders and the general public.</w:t>
      </w:r>
    </w:p>
    <w:p>
      <w:pPr>
        <w:spacing w:after="0" w:line="204"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Given that information relating to executive compensation programs, plans, and practices is already disclosed as part of the proxy statement, we believe an annual report is unnecessary.</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FF0000"/>
        </w:rPr>
        <w:t>Board Recommendation on Item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a vote AGAINST the proposal.</w:t>
      </w:r>
    </w:p>
    <w:p>
      <w:pPr>
        <w:spacing w:after="0" w:line="218" w:lineRule="exact"/>
        <w:rPr>
          <w:sz w:val="20"/>
          <w:szCs w:val="20"/>
          <w:color w:val="auto"/>
        </w:rPr>
      </w:pPr>
    </w:p>
    <w:p>
      <w:pPr>
        <w:spacing w:after="0"/>
        <w:rPr>
          <w:sz w:val="20"/>
          <w:szCs w:val="20"/>
          <w:color w:val="auto"/>
        </w:rPr>
      </w:pPr>
      <w:r>
        <w:rPr>
          <w:rFonts w:ascii="Arial" w:cs="Arial" w:eastAsia="Arial" w:hAnsi="Arial"/>
          <w:sz w:val="40"/>
          <w:szCs w:val="40"/>
          <w:b w:val="1"/>
          <w:bCs w:val="1"/>
          <w:color w:val="EE2724"/>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2720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26" w:lineRule="exact"/>
        <w:rPr>
          <w:sz w:val="20"/>
          <w:szCs w:val="20"/>
          <w:color w:val="auto"/>
        </w:rPr>
      </w:pPr>
    </w:p>
    <w:p>
      <w:pPr>
        <w:spacing w:after="0"/>
        <w:rPr>
          <w:sz w:val="20"/>
          <w:szCs w:val="20"/>
          <w:color w:val="auto"/>
        </w:rPr>
      </w:pPr>
      <w:r>
        <w:rPr>
          <w:rFonts w:ascii="Arial" w:cs="Arial" w:eastAsia="Arial" w:hAnsi="Arial"/>
          <w:sz w:val="29"/>
          <w:szCs w:val="29"/>
          <w:b w:val="1"/>
          <w:bCs w:val="1"/>
          <w:color w:val="FF0000"/>
        </w:rPr>
        <w:t>Meeting and Voting Logistics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720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Additional Items of Business</w:t>
      </w:r>
    </w:p>
    <w:p>
      <w:pPr>
        <w:spacing w:after="0" w:line="85"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We do not expect any items of business other than those above because the deadline for shareholder proposals and nominations has passed. Nonetheless, if necessary, the accompanying proxy gives discretionary authority to the persons named on the proxy with respect to any other matters that might be brought before the meeting. Those persons intend to vote that proxy in accordance with their best judgment.</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P83</w:t>
      </w:r>
    </w:p>
    <w:p>
      <w:pPr>
        <w:sectPr>
          <w:pgSz w:w="11900" w:h="16838" w:orient="portrait"/>
          <w:cols w:equalWidth="0" w:num="1">
            <w:col w:w="11420"/>
          </w:cols>
          <w:pgMar w:left="240" w:top="814" w:right="2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u w:val="single" w:color="auto"/>
          <w:color w:val="auto"/>
        </w:rPr>
        <w:t>Voting</w:t>
      </w:r>
    </w:p>
    <w:p>
      <w:pPr>
        <w:spacing w:after="0" w:line="85" w:lineRule="exact"/>
        <w:rPr>
          <w:sz w:val="20"/>
          <w:szCs w:val="20"/>
          <w:color w:val="auto"/>
        </w:rPr>
      </w:pPr>
    </w:p>
    <w:p>
      <w:pPr>
        <w:ind w:right="400"/>
        <w:spacing w:after="0" w:line="250" w:lineRule="auto"/>
        <w:rPr>
          <w:sz w:val="20"/>
          <w:szCs w:val="20"/>
          <w:color w:val="auto"/>
        </w:rPr>
      </w:pPr>
      <w:r>
        <w:rPr>
          <w:rFonts w:ascii="Arial" w:cs="Arial" w:eastAsia="Arial" w:hAnsi="Arial"/>
          <w:sz w:val="18"/>
          <w:szCs w:val="18"/>
          <w:color w:val="auto"/>
        </w:rPr>
        <w:t>Shareholders as of the close of business on March 12, 2018 (the record date) may vote at the annual meeting. You have one vote for each share of common stock you held on the record date, including shares:</w:t>
      </w:r>
    </w:p>
    <w:p>
      <w:pPr>
        <w:spacing w:after="0" w:line="1" w:lineRule="exact"/>
        <w:rPr>
          <w:sz w:val="20"/>
          <w:szCs w:val="20"/>
          <w:color w:val="auto"/>
        </w:rPr>
      </w:pPr>
    </w:p>
    <w:p>
      <w:pPr>
        <w:ind w:left="340" w:hanging="170"/>
        <w:spacing w:after="0"/>
        <w:tabs>
          <w:tab w:leader="none" w:pos="3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held directly in your name as the shareholder of record</w:t>
      </w:r>
    </w:p>
    <w:p>
      <w:pPr>
        <w:spacing w:after="0" w:line="9" w:lineRule="exact"/>
        <w:rPr>
          <w:rFonts w:ascii="Arial" w:cs="Arial" w:eastAsia="Arial" w:hAnsi="Arial"/>
          <w:sz w:val="18"/>
          <w:szCs w:val="18"/>
          <w:color w:val="auto"/>
        </w:rPr>
      </w:pPr>
    </w:p>
    <w:p>
      <w:pPr>
        <w:ind w:left="340" w:hanging="170"/>
        <w:spacing w:after="0"/>
        <w:tabs>
          <w:tab w:leader="none" w:pos="3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held for you in an account with a broker, bank, or other nominee</w:t>
      </w:r>
    </w:p>
    <w:p>
      <w:pPr>
        <w:spacing w:after="0" w:line="9" w:lineRule="exact"/>
        <w:rPr>
          <w:rFonts w:ascii="Arial" w:cs="Arial" w:eastAsia="Arial" w:hAnsi="Arial"/>
          <w:sz w:val="18"/>
          <w:szCs w:val="18"/>
          <w:color w:val="auto"/>
        </w:rPr>
      </w:pPr>
    </w:p>
    <w:p>
      <w:pPr>
        <w:ind w:left="340" w:hanging="170"/>
        <w:spacing w:after="0"/>
        <w:tabs>
          <w:tab w:leader="none" w:pos="3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attributed to your account in the company's 401(k) plan.</w:t>
      </w:r>
    </w:p>
    <w:p>
      <w:pPr>
        <w:spacing w:after="0" w:line="225"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You may vote your shares in person at the meeting. However, we encourage you to vote by mail, by telephone, or online even if you plan to attend the meeting.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Required Vote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Below are the vote requirements for the various proposals:</w:t>
      </w:r>
    </w:p>
    <w:p>
      <w:pPr>
        <w:spacing w:after="0" w:line="63" w:lineRule="exact"/>
        <w:rPr>
          <w:sz w:val="20"/>
          <w:szCs w:val="20"/>
          <w:color w:val="auto"/>
        </w:rPr>
      </w:pPr>
    </w:p>
    <w:p>
      <w:pPr>
        <w:ind w:left="340" w:right="120" w:hanging="170"/>
        <w:spacing w:after="0" w:line="250" w:lineRule="auto"/>
        <w:tabs>
          <w:tab w:leader="none" w:pos="3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five nominees for director will be elected if the votes cast for the nominee exceed the votes cast against the nominee. Abstentions will not count as votes cast either for or against a nominee.</w:t>
      </w:r>
    </w:p>
    <w:p>
      <w:pPr>
        <w:ind w:left="340" w:hanging="170"/>
        <w:spacing w:after="0"/>
        <w:tabs>
          <w:tab w:leader="none" w:pos="3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following items of business will be approved if the votes cast for the proposal exceed those cast against the proposal:</w:t>
      </w:r>
    </w:p>
    <w:p>
      <w:pPr>
        <w:spacing w:after="0" w:line="9" w:lineRule="exact"/>
        <w:rPr>
          <w:rFonts w:ascii="Arial" w:cs="Arial" w:eastAsia="Arial" w:hAnsi="Arial"/>
          <w:sz w:val="18"/>
          <w:szCs w:val="18"/>
          <w:color w:val="auto"/>
        </w:rPr>
      </w:pPr>
    </w:p>
    <w:p>
      <w:pPr>
        <w:ind w:left="880" w:hanging="224"/>
        <w:spacing w:after="0"/>
        <w:tabs>
          <w:tab w:leader="none" w:pos="88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advisory approval of executive compensation</w:t>
      </w:r>
    </w:p>
    <w:p>
      <w:pPr>
        <w:spacing w:after="0" w:line="9" w:lineRule="exact"/>
        <w:rPr>
          <w:rFonts w:ascii="Arial" w:cs="Arial" w:eastAsia="Arial" w:hAnsi="Arial"/>
          <w:sz w:val="18"/>
          <w:szCs w:val="18"/>
          <w:color w:val="auto"/>
        </w:rPr>
      </w:pPr>
    </w:p>
    <w:p>
      <w:pPr>
        <w:ind w:left="880" w:hanging="224"/>
        <w:spacing w:after="0"/>
        <w:tabs>
          <w:tab w:leader="none" w:pos="88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ratification of the appointment of principal independent auditor</w:t>
      </w:r>
    </w:p>
    <w:p>
      <w:pPr>
        <w:spacing w:after="0" w:line="9" w:lineRule="exact"/>
        <w:rPr>
          <w:rFonts w:ascii="Arial" w:cs="Arial" w:eastAsia="Arial" w:hAnsi="Arial"/>
          <w:sz w:val="18"/>
          <w:szCs w:val="18"/>
          <w:color w:val="auto"/>
        </w:rPr>
      </w:pPr>
    </w:p>
    <w:p>
      <w:pPr>
        <w:ind w:left="880" w:hanging="224"/>
        <w:spacing w:after="0"/>
        <w:tabs>
          <w:tab w:leader="none" w:pos="88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approve the amended and restated 2002 Lilly stock plan</w:t>
      </w:r>
    </w:p>
    <w:p>
      <w:pPr>
        <w:spacing w:after="0" w:line="9" w:lineRule="exact"/>
        <w:rPr>
          <w:rFonts w:ascii="Arial" w:cs="Arial" w:eastAsia="Arial" w:hAnsi="Arial"/>
          <w:sz w:val="18"/>
          <w:szCs w:val="18"/>
          <w:color w:val="auto"/>
        </w:rPr>
      </w:pPr>
    </w:p>
    <w:p>
      <w:pPr>
        <w:ind w:left="880" w:hanging="224"/>
        <w:spacing w:after="0"/>
        <w:tabs>
          <w:tab w:leader="none" w:pos="88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four shareholder proposals.</w:t>
      </w:r>
    </w:p>
    <w:p>
      <w:pPr>
        <w:spacing w:after="0" w:line="225" w:lineRule="exact"/>
        <w:rPr>
          <w:sz w:val="20"/>
          <w:szCs w:val="20"/>
          <w:color w:val="auto"/>
        </w:rPr>
      </w:pPr>
    </w:p>
    <w:p>
      <w:pPr>
        <w:ind w:left="340" w:right="120" w:hanging="170"/>
        <w:spacing w:after="0" w:line="256" w:lineRule="auto"/>
        <w:tabs>
          <w:tab w:leader="none" w:pos="3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proposals to amend the articles of incorporation for declassification of the board and to eliminate supermajority voting provisions require the vote of 80 percent of the outstanding shares. For these items, abstentions and broker nonvotes have the same effect as a vote against the proposals.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Quorum</w:t>
      </w:r>
    </w:p>
    <w:p>
      <w:pPr>
        <w:spacing w:after="0" w:line="85"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A majority of the outstanding shares, present or represented by proxy, constitutes a quorum for the annual meeting. As of February 28, 2018, 1,092,700,369 shares of company common stock were issued and outstanding.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Voting By Proxy</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If you are a shareholder of record, you may vote your proxy by any one of the following methods:</w:t>
      </w:r>
    </w:p>
    <w:p>
      <w:pPr>
        <w:spacing w:after="0" w:line="55" w:lineRule="exact"/>
        <w:rPr>
          <w:sz w:val="20"/>
          <w:szCs w:val="20"/>
          <w:color w:val="auto"/>
        </w:rPr>
      </w:pPr>
    </w:p>
    <w:p>
      <w:pPr>
        <w:ind w:left="660" w:right="280" w:hanging="652"/>
        <w:spacing w:after="0" w:line="312" w:lineRule="auto"/>
        <w:tabs>
          <w:tab w:leader="none" w:pos="660" w:val="left"/>
        </w:tabs>
        <w:numPr>
          <w:ilvl w:val="0"/>
          <w:numId w:val="112"/>
        </w:numPr>
        <w:rPr>
          <w:rFonts w:ascii="Arial" w:cs="Arial" w:eastAsia="Arial" w:hAnsi="Arial"/>
          <w:sz w:val="28"/>
          <w:szCs w:val="28"/>
          <w:color w:val="auto"/>
        </w:rPr>
      </w:pPr>
      <w:r>
        <w:rPr>
          <w:rFonts w:ascii="Arial" w:cs="Arial" w:eastAsia="Arial" w:hAnsi="Arial"/>
          <w:sz w:val="17"/>
          <w:szCs w:val="17"/>
          <w:b w:val="1"/>
          <w:bCs w:val="1"/>
          <w:i w:val="1"/>
          <w:iCs w:val="1"/>
          <w:color w:val="auto"/>
        </w:rPr>
        <w:t>Online</w:t>
      </w:r>
      <w:r>
        <w:rPr>
          <w:rFonts w:ascii="Arial" w:cs="Arial" w:eastAsia="Arial" w:hAnsi="Arial"/>
          <w:sz w:val="17"/>
          <w:szCs w:val="17"/>
          <w:color w:val="auto"/>
        </w:rPr>
        <w:t>. You may vote online at www.proxyvote.com. Follow the instructions on your proxy card or notice. If you received these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materials electronically, follow the instructions in the e-mail message that notified you of their availability. Voting online has the same</w:t>
      </w:r>
    </w:p>
    <w:p>
      <w:pPr>
        <w:spacing w:after="0" w:line="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effect as voting by mail. If you vote online, do not return your proxy card.</w:t>
      </w:r>
    </w:p>
    <w:p>
      <w:pPr>
        <w:spacing w:after="0" w:line="41" w:lineRule="exact"/>
        <w:rPr>
          <w:sz w:val="20"/>
          <w:szCs w:val="20"/>
          <w:color w:val="auto"/>
        </w:rPr>
      </w:pPr>
    </w:p>
    <w:p>
      <w:pPr>
        <w:ind w:left="660" w:hanging="652"/>
        <w:spacing w:after="0"/>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b w:val="1"/>
          <w:bCs w:val="1"/>
          <w:i w:val="1"/>
          <w:iCs w:val="1"/>
          <w:color w:val="auto"/>
        </w:rPr>
        <w:t>By telephone</w:t>
      </w:r>
      <w:r>
        <w:rPr>
          <w:rFonts w:ascii="Arial" w:cs="Arial" w:eastAsia="Arial" w:hAnsi="Arial"/>
          <w:sz w:val="18"/>
          <w:szCs w:val="18"/>
          <w:color w:val="auto"/>
        </w:rPr>
        <w:t>. Shareholders in the U.S., Puerto Rico, and Canada may vote by telephone by following the instructions on your proxy</w:t>
      </w:r>
    </w:p>
    <w:p>
      <w:pPr>
        <w:spacing w:after="0" w:line="31" w:lineRule="exact"/>
        <w:rPr>
          <w:sz w:val="20"/>
          <w:szCs w:val="20"/>
          <w:color w:val="auto"/>
        </w:rPr>
      </w:pPr>
    </w:p>
    <w:p>
      <w:pPr>
        <w:ind w:left="980" w:right="180"/>
        <w:spacing w:after="0" w:line="265" w:lineRule="auto"/>
        <w:rPr>
          <w:sz w:val="20"/>
          <w:szCs w:val="20"/>
          <w:color w:val="auto"/>
        </w:rPr>
      </w:pPr>
      <w:r>
        <w:rPr>
          <w:rFonts w:ascii="Arial" w:cs="Arial" w:eastAsia="Arial" w:hAnsi="Arial"/>
          <w:sz w:val="17"/>
          <w:szCs w:val="17"/>
          <w:color w:val="auto"/>
        </w:rPr>
        <w:t>card or notice. If you received these materials electronically, follow the instructions in the e-mail message that notified you of their availability. Voting by telephone has the same effect as voting by mail. If you vote by telephone, do not return your proxy card.</w:t>
      </w:r>
    </w:p>
    <w:p>
      <w:pPr>
        <w:ind w:left="980" w:right="40" w:hanging="972"/>
        <w:spacing w:after="0" w:line="252" w:lineRule="auto"/>
        <w:tabs>
          <w:tab w:leader="none" w:pos="656" w:val="left"/>
        </w:tabs>
        <w:numPr>
          <w:ilvl w:val="0"/>
          <w:numId w:val="114"/>
        </w:numPr>
        <w:rPr>
          <w:rFonts w:ascii="Arial" w:cs="Arial" w:eastAsia="Arial" w:hAnsi="Arial"/>
          <w:sz w:val="18"/>
          <w:szCs w:val="18"/>
          <w:color w:val="auto"/>
        </w:rPr>
      </w:pPr>
      <w:r>
        <w:rPr>
          <w:rFonts w:ascii="Arial" w:cs="Arial" w:eastAsia="Arial" w:hAnsi="Arial"/>
          <w:sz w:val="18"/>
          <w:szCs w:val="18"/>
          <w:b w:val="1"/>
          <w:bCs w:val="1"/>
          <w:i w:val="1"/>
          <w:iCs w:val="1"/>
          <w:color w:val="auto"/>
        </w:rPr>
        <w:t>By mail</w:t>
      </w:r>
      <w:r>
        <w:rPr>
          <w:rFonts w:ascii="Arial" w:cs="Arial" w:eastAsia="Arial" w:hAnsi="Arial"/>
          <w:sz w:val="18"/>
          <w:szCs w:val="18"/>
          <w:color w:val="auto"/>
        </w:rPr>
        <w:t>. Sign and date each proxy card you receive and return it in the prepaid envelope. Sign your name exactly as it appears 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proxy. If you are signing in a representative capacity (for example, as an attorney-in-fact, executor, administrator, guardian, trustee, or the officer or agent of a corporation or partnership), please indicate your name and your title or capacity. If the stock is held in custody for a minor (for example, under the Uniform Transfers to Minors Act), the custodian should sign, not the minor. If the stock is held in joint ownership, one owner may sign on behalf of all owners. If you return your signed proxy but do not indicate your voting preferences, we will vote on your behalf with the board’s recommendations.</w:t>
      </w:r>
    </w:p>
    <w:p>
      <w:pPr>
        <w:spacing w:after="0" w:line="20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You have the right to revoke your proxy at any time before the meeting by (i) notifying the company’s secretary in writing, or (ii) delivering a later-dated proxy online, by mail, or by telephone. If you are a shareholder of record, you may also revoke your proxy by voting in person at the meeting.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Voting Shares Held By a Broker</w:t>
      </w:r>
    </w:p>
    <w:p>
      <w:pPr>
        <w:spacing w:after="0" w:line="85" w:lineRule="exact"/>
        <w:rPr>
          <w:sz w:val="20"/>
          <w:szCs w:val="20"/>
          <w:color w:val="auto"/>
        </w:rPr>
      </w:pPr>
    </w:p>
    <w:p>
      <w:pPr>
        <w:ind w:right="660"/>
        <w:spacing w:after="0" w:line="262" w:lineRule="auto"/>
        <w:rPr>
          <w:sz w:val="20"/>
          <w:szCs w:val="20"/>
          <w:color w:val="auto"/>
        </w:rPr>
      </w:pPr>
      <w:r>
        <w:rPr>
          <w:rFonts w:ascii="Arial" w:cs="Arial" w:eastAsia="Arial" w:hAnsi="Arial"/>
          <w:sz w:val="18"/>
          <w:szCs w:val="18"/>
          <w:color w:val="auto"/>
        </w:rPr>
        <w:t>If your shares are held by a broker, the broker will ask you how you want your shares to be voted. You may instruct your broker or other nominee to vote your shares by following instructions that the broker or nominee provides to</w:t>
      </w:r>
    </w:p>
    <w:p>
      <w:pPr>
        <w:spacing w:after="0" w:line="2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P84</w:t>
      </w:r>
    </w:p>
    <w:p>
      <w:pPr>
        <w:sectPr>
          <w:pgSz w:w="11900" w:h="16838" w:orient="portrait"/>
          <w:cols w:equalWidth="0" w:num="1">
            <w:col w:w="11420"/>
          </w:cols>
          <w:pgMar w:left="240" w:top="792" w:right="239" w:bottom="1440" w:gutter="0" w:footer="0" w:header="0"/>
        </w:sectPr>
      </w:pPr>
    </w:p>
    <w:bookmarkStart w:id="88" w:name="page89"/>
    <w:bookmarkEnd w:id="88"/>
    <w:p>
      <w:pPr>
        <w:spacing w:after="0"/>
        <w:rPr>
          <w:sz w:val="20"/>
          <w:szCs w:val="20"/>
          <w:color w:val="auto"/>
        </w:rPr>
      </w:pPr>
      <w:r>
        <w:rPr>
          <w:rFonts w:ascii="Arial" w:cs="Arial" w:eastAsia="Arial" w:hAnsi="Arial"/>
          <w:sz w:val="18"/>
          <w:szCs w:val="18"/>
          <w:color w:val="auto"/>
        </w:rPr>
        <w:t>you. Most brokers offer voting by mail, by telephone, and online.</w:t>
      </w:r>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If you give the broker instructions, your shares will be voted as you direct. If you do not give instructions, one of two things can happen, depending on the type of proposal. For the ratification of the principal independent auditor, the broker may vote your shares in its discretion. For all other proposals, the broker may not vote your shares at all.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Voting Shares Held in the Company 401(k) Plan</w:t>
      </w:r>
    </w:p>
    <w:p>
      <w:pPr>
        <w:spacing w:after="0" w:line="31"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You may instruct the plan trustee on how to vote your shares in the 401(k) plan online, by mail, or by telephone as described above, except that, if you vote by mail, the card that you use will be a voting instruction form rather than a proxy card.</w:t>
      </w:r>
    </w:p>
    <w:p>
      <w:pPr>
        <w:spacing w:after="0" w:line="196"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In addition, unless you decline, your vote will apply to a proportionate number of other shares held by participants in the 401(k) plan for which voting directions are not received (except for a small number of shares from a prior stock ownership plan, which can be voted only on the directions of the participants to whose accounts the shares are credited).</w:t>
      </w:r>
    </w:p>
    <w:p>
      <w:pPr>
        <w:spacing w:after="0" w:line="202"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All participants are named fiduciaries under the terms of the 401(k) plan and under the Employee Retirement Income Security Act (ERISA) for the limited purpose of voting shares credited to their accounts and the portion of undirected shares to which their vote applies. Under ERISA, fiduciaries are required to act prudently in making voting decisions.</w:t>
      </w:r>
    </w:p>
    <w:p>
      <w:pPr>
        <w:spacing w:after="0" w:line="202"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If you do not want to have your vote applied to the undirected shares, you must so indicate when you vote. Otherwise, the trustee will automatically apply your voting preferences to the undirected shares proportionally with all other participants who elected to have their votes applied in this manner.</w:t>
      </w:r>
    </w:p>
    <w:p>
      <w:pPr>
        <w:spacing w:after="0" w:line="202"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If you do not vote, your shares will be voted by other plan participants who have elected to have their voting preferences applied proportionally to all shares for which voting instructions are not otherwise received.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Proxy Cards and Notices</w:t>
      </w:r>
    </w:p>
    <w:p>
      <w:pPr>
        <w:spacing w:after="0" w:line="85"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If you received more than one proxy card, notice, or e-mail related to proxy materials, you hold shares in more than one account. To ensure that all your shares are voted, sign and return each card. Alternatively, if you vote by telephone or online, you will need to vote once for each proxy card, notice, or e-mail you receive. If you do not receive a proxy card, you may have elected to receive your proxy statement electronically, in which case you should have received an e-mail with directions on how to access the proxy statement and how to vote your shares. If you wish to request a paper copy of these materials and a proxy card, please call 800-579-1639.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Vote Tabulation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Votes are tabulated by an independent inspector of election, Broadridge Financial Solutions, Inc.</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Attending the Annual Meeting</w:t>
      </w:r>
    </w:p>
    <w:p>
      <w:pPr>
        <w:spacing w:after="0" w:line="85" w:lineRule="exact"/>
        <w:rPr>
          <w:sz w:val="20"/>
          <w:szCs w:val="20"/>
          <w:color w:val="auto"/>
        </w:rPr>
      </w:pPr>
    </w:p>
    <w:p>
      <w:pPr>
        <w:jc w:val="both"/>
        <w:ind w:right="40"/>
        <w:spacing w:after="0" w:line="250" w:lineRule="auto"/>
        <w:rPr>
          <w:sz w:val="20"/>
          <w:szCs w:val="20"/>
          <w:color w:val="auto"/>
        </w:rPr>
      </w:pPr>
      <w:r>
        <w:rPr>
          <w:rFonts w:ascii="Arial" w:cs="Arial" w:eastAsia="Arial" w:hAnsi="Arial"/>
          <w:sz w:val="18"/>
          <w:szCs w:val="18"/>
          <w:color w:val="auto"/>
        </w:rPr>
        <w:t>Attendance at the meeting will be limited to shareholders of record, those holding proxies from shareholders of record, and invited guests from the media and financial community. All shareholders of record as of the record date may attend by presenting the admission ticket that appears at the end of this proxy statement. Please fill it out and bring it with you to the meeting. The meeting will be held at the Lilly Center Auditorium.</w:t>
      </w:r>
    </w:p>
    <w:p>
      <w:pPr>
        <w:spacing w:after="0" w:line="1"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Please use the Lilly Center entrance to the south of the fountain at the intersection of Delaware and McCarty streets. You will need to pass through security, including a metal detector. Present your ticket to an usher at the meeting.</w:t>
      </w:r>
    </w:p>
    <w:p>
      <w:pPr>
        <w:spacing w:after="0" w:line="196"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Parking will be available on a first-come, first-served basis in the garage indicated on the map at the end of this report. If you have questions about admittance or parking, please call 855-731-6026 (toll free) or 317-433-5112 (prior to the annual meeting).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The 2019 Annual Meeting</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company’s 2019 annual meeting is currently scheduled for May 6, 2019.</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P85</w:t>
      </w:r>
    </w:p>
    <w:p>
      <w:pPr>
        <w:sectPr>
          <w:pgSz w:w="11900" w:h="16838" w:orient="portrait"/>
          <w:cols w:equalWidth="0" w:num="1">
            <w:col w:w="11420"/>
          </w:cols>
          <w:pgMar w:left="240" w:top="598" w:right="239" w:bottom="1440" w:gutter="0" w:footer="0" w:header="0"/>
        </w:sectPr>
      </w:pPr>
    </w:p>
    <w:bookmarkStart w:id="89" w:name="page90"/>
    <w:bookmarkEnd w:id="89"/>
    <w:p>
      <w:pPr>
        <w:spacing w:after="0"/>
        <w:rPr>
          <w:sz w:val="20"/>
          <w:szCs w:val="20"/>
          <w:color w:val="auto"/>
        </w:rPr>
      </w:pPr>
      <w:r>
        <w:rPr>
          <w:rFonts w:ascii="Arial" w:cs="Arial" w:eastAsia="Arial" w:hAnsi="Arial"/>
          <w:sz w:val="29"/>
          <w:szCs w:val="29"/>
          <w:b w:val="1"/>
          <w:bCs w:val="1"/>
          <w:color w:val="FF0000"/>
        </w:rPr>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720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Householding</w:t>
      </w:r>
    </w:p>
    <w:p>
      <w:pPr>
        <w:spacing w:after="0" w:line="85"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We have adopted a procedure approved by the SEC called "householding." Under the householding procedure, certain shareholders, whether they own registered shares or shares in street name, who have the same address will receive only one set of proxy materials, unless one or more of the shareholders at that address has previously notified us that they want to receive separate copies. Each 401(k) Plan participant will continue to receive a copy of all of the proxy materials. Regardless of how you own your shares, if you received a single set of proxy materials as a result of householding, and one or more shareholders at your address would like to have separate copies of these materials with respect to the 2018 annual meeting or in the future, please contact Broadridge Financial Solutions, Inc. at 866-540-7095.</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information regarding the company’s proxy solicitation</w:t>
      </w:r>
    </w:p>
    <w:p>
      <w:pPr>
        <w:spacing w:after="0" w:line="85"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The board of directors is soliciting proxies for the 2018 annual meeting. We will pay all expenses in connection with our solicitation of proxies. We will pay brokers, nominees, fiduciaries, or other custodians their reasonable expenses for sending proxy material to and obtaining instructions from persons for whom they hold stock of the company. We expect to solicit proxies primarily by mail and email, but directors, officers, and other employees of the company may also solicit in person or by telephone, fax, or email. We have retained Georgeson LLC to assist in the distribution and solicitation of proxies. Georgeson may solicit proxies by personal interview, telephone, fax, mail, and email. We expect that the fee for those services will not exceed $17,500 plus reimbursement of customary out-of-pocket expenses.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16(a) beneficial ownership reporting compliance</w:t>
      </w:r>
    </w:p>
    <w:p>
      <w:pPr>
        <w:spacing w:after="0" w:line="85"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Under SEC rules, our directors and executive officers are required to file with the SEC reports of holdings and changes in beneficial ownership of company stock. We have reviewed copies of reports provided to the company, as well as other records and information. Based on that review, we concluded that all reports were timely filed, except that, due to administrative errors, Dr. Carolyn Bertozzi was late in filing Form 3, due to absence of SEC Edgar access codes; Christi Shaw was late in filing a Form 4 to report a restricted stock unit grant; and Maria Crowe was late in filing a Form 4 to report a 2016 charitable gift contribution. Each filing was made promptly after the issue was discovered.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Bronwen L. Mantlo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March 19, 2018</w:t>
      </w: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P86</w:t>
      </w:r>
    </w:p>
    <w:p>
      <w:pPr>
        <w:sectPr>
          <w:pgSz w:w="11900" w:h="16838" w:orient="portrait"/>
          <w:cols w:equalWidth="0" w:num="1">
            <w:col w:w="11420"/>
          </w:cols>
          <w:pgMar w:left="240" w:top="829" w:right="239" w:bottom="1440" w:gutter="0" w:footer="0" w:header="0"/>
        </w:sectPr>
      </w:pPr>
    </w:p>
    <w:bookmarkStart w:id="90" w:name="page91"/>
    <w:bookmarkEnd w:id="90"/>
    <w:p>
      <w:pPr>
        <w:ind w:right="680"/>
        <w:spacing w:after="0" w:line="278" w:lineRule="auto"/>
        <w:rPr>
          <w:sz w:val="20"/>
          <w:szCs w:val="20"/>
          <w:color w:val="auto"/>
        </w:rPr>
      </w:pPr>
      <w:r>
        <w:rPr>
          <w:rFonts w:ascii="Arial" w:cs="Arial" w:eastAsia="Arial" w:hAnsi="Arial"/>
          <w:sz w:val="29"/>
          <w:szCs w:val="29"/>
          <w:b w:val="1"/>
          <w:bCs w:val="1"/>
          <w:color w:val="FF0000"/>
        </w:rPr>
        <w:t>Appendix A - Summary of Adjustments Related to the Annual Cash Bonus and Performance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wp:posOffset>
            </wp:positionV>
            <wp:extent cx="72720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19"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Consistent with past practice, the Compensation Committee adjusted the reported financial results on which the 2017 annual cash bonus and the 2016-2018 performance awards were determined to eliminate the distorting effect of certain unusual items on incentive compensation performance measures. The adjustments are intended to:</w:t>
      </w:r>
    </w:p>
    <w:p>
      <w:pPr>
        <w:spacing w:after="0" w:line="40" w:lineRule="exact"/>
        <w:rPr>
          <w:sz w:val="20"/>
          <w:szCs w:val="20"/>
          <w:color w:val="auto"/>
        </w:rPr>
      </w:pPr>
    </w:p>
    <w:p>
      <w:pPr>
        <w:ind w:left="340" w:hanging="170"/>
        <w:spacing w:after="0"/>
        <w:tabs>
          <w:tab w:leader="none" w:pos="3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align award payments with the underlying performance of the core business</w:t>
      </w:r>
    </w:p>
    <w:p>
      <w:pPr>
        <w:spacing w:after="0" w:line="9" w:lineRule="exact"/>
        <w:rPr>
          <w:rFonts w:ascii="Arial" w:cs="Arial" w:eastAsia="Arial" w:hAnsi="Arial"/>
          <w:sz w:val="18"/>
          <w:szCs w:val="18"/>
          <w:color w:val="auto"/>
        </w:rPr>
      </w:pPr>
    </w:p>
    <w:p>
      <w:pPr>
        <w:ind w:left="340" w:right="1000" w:hanging="170"/>
        <w:spacing w:after="0" w:line="250" w:lineRule="auto"/>
        <w:tabs>
          <w:tab w:leader="none" w:pos="3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avoid volatile, artificial inflation or deflation of awards due to unusual items in the award year, and, where relevant, the previous (comparator) year</w:t>
      </w:r>
    </w:p>
    <w:p>
      <w:pPr>
        <w:ind w:left="340" w:right="460" w:hanging="170"/>
        <w:spacing w:after="0" w:line="250" w:lineRule="auto"/>
        <w:tabs>
          <w:tab w:leader="none" w:pos="3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eliminate certain counterproductive short-term incentives—for example, incentives to refrain from acquiring new technologies, to defer disposing of underutilized assets, or to defer settling legacy legal proceedings to protect current bonus payments</w:t>
      </w:r>
    </w:p>
    <w:p>
      <w:pPr>
        <w:ind w:left="340" w:hanging="170"/>
        <w:spacing w:after="0"/>
        <w:tabs>
          <w:tab w:leader="none" w:pos="3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facilitate comparisons with peer companies.</w:t>
      </w:r>
    </w:p>
    <w:p>
      <w:pPr>
        <w:spacing w:after="0" w:line="22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To ensure the integrity of the adjustments, the Compensation Committee establishes adjustment guidelines in the first 90 days of the performance period. These guidelines are generally consistent with the company guidelines for reporting non-GAAP financial measures to the investment community, which are reviewed by the Audit Committee. The adjustments apply equally to income and expense items. The Compensation Committee reviews all adjustments and retains downward discretion, i.e., discretion to reduce compensation below the amounts that are yielded by the adjustment guidelines.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Adjustments for 2017 Bonus Plan</w:t>
      </w:r>
    </w:p>
    <w:p>
      <w:pPr>
        <w:spacing w:after="0" w:line="85" w:lineRule="exact"/>
        <w:rPr>
          <w:sz w:val="20"/>
          <w:szCs w:val="20"/>
          <w:color w:val="auto"/>
        </w:rPr>
      </w:pPr>
    </w:p>
    <w:p>
      <w:pPr>
        <w:ind w:right="540"/>
        <w:spacing w:after="0" w:line="262" w:lineRule="auto"/>
        <w:rPr>
          <w:sz w:val="20"/>
          <w:szCs w:val="20"/>
          <w:color w:val="auto"/>
        </w:rPr>
      </w:pPr>
      <w:r>
        <w:rPr>
          <w:rFonts w:ascii="Arial" w:cs="Arial" w:eastAsia="Arial" w:hAnsi="Arial"/>
          <w:sz w:val="18"/>
          <w:szCs w:val="18"/>
          <w:color w:val="auto"/>
        </w:rPr>
        <w:t>For 2017 bonus calculations, the Compensation Committee made the following adjustments to reported EPS consistent with our external reporting of non-GAAP financial measures:</w:t>
      </w:r>
    </w:p>
    <w:p>
      <w:pPr>
        <w:spacing w:after="0" w:line="196" w:lineRule="exact"/>
        <w:rPr>
          <w:sz w:val="20"/>
          <w:szCs w:val="20"/>
          <w:color w:val="auto"/>
        </w:rPr>
      </w:pPr>
    </w:p>
    <w:p>
      <w:pPr>
        <w:ind w:left="340" w:hanging="170"/>
        <w:spacing w:after="0"/>
        <w:tabs>
          <w:tab w:leader="none" w:pos="3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Eliminated the impact of the charge related to U.S. tax reform legislation</w:t>
      </w:r>
    </w:p>
    <w:p>
      <w:pPr>
        <w:spacing w:after="0" w:line="9" w:lineRule="exact"/>
        <w:rPr>
          <w:rFonts w:ascii="Arial" w:cs="Arial" w:eastAsia="Arial" w:hAnsi="Arial"/>
          <w:sz w:val="18"/>
          <w:szCs w:val="18"/>
          <w:color w:val="auto"/>
        </w:rPr>
      </w:pPr>
    </w:p>
    <w:p>
      <w:pPr>
        <w:ind w:left="340" w:hanging="170"/>
        <w:spacing w:after="0"/>
        <w:tabs>
          <w:tab w:leader="none" w:pos="3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Eliminated the impact of asset impairments, restructuring and other special charges</w:t>
      </w:r>
    </w:p>
    <w:p>
      <w:pPr>
        <w:spacing w:after="0" w:line="9" w:lineRule="exact"/>
        <w:rPr>
          <w:rFonts w:ascii="Arial" w:cs="Arial" w:eastAsia="Arial" w:hAnsi="Arial"/>
          <w:sz w:val="18"/>
          <w:szCs w:val="18"/>
          <w:color w:val="auto"/>
        </w:rPr>
      </w:pPr>
    </w:p>
    <w:p>
      <w:pPr>
        <w:ind w:left="340" w:hanging="170"/>
        <w:spacing w:after="0"/>
        <w:tabs>
          <w:tab w:leader="none" w:pos="3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Eliminated the impact of the charge recognized for acquired in-process research and development</w:t>
      </w:r>
    </w:p>
    <w:p>
      <w:pPr>
        <w:spacing w:after="0" w:line="9" w:lineRule="exact"/>
        <w:rPr>
          <w:rFonts w:ascii="Arial" w:cs="Arial" w:eastAsia="Arial" w:hAnsi="Arial"/>
          <w:sz w:val="18"/>
          <w:szCs w:val="18"/>
          <w:color w:val="auto"/>
        </w:rPr>
      </w:pPr>
    </w:p>
    <w:p>
      <w:pPr>
        <w:ind w:left="340" w:hanging="170"/>
        <w:spacing w:after="0"/>
        <w:tabs>
          <w:tab w:leader="none" w:pos="3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Eliminated the impact of amortization of certain intangible assets</w:t>
      </w:r>
    </w:p>
    <w:p>
      <w:pPr>
        <w:spacing w:after="0" w:line="9" w:lineRule="exact"/>
        <w:rPr>
          <w:rFonts w:ascii="Arial" w:cs="Arial" w:eastAsia="Arial" w:hAnsi="Arial"/>
          <w:sz w:val="18"/>
          <w:szCs w:val="18"/>
          <w:color w:val="auto"/>
        </w:rPr>
      </w:pPr>
    </w:p>
    <w:p>
      <w:pPr>
        <w:ind w:left="340" w:right="240" w:hanging="170"/>
        <w:spacing w:after="0" w:line="262" w:lineRule="auto"/>
        <w:tabs>
          <w:tab w:leader="none" w:pos="3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Eliminated the impact of inventory step-up costs associated with the acquisition of Boehringer Ingelheim Vetmedica’s U.S. feline, canine, and rabies vaccine portfolio.</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Reconciliations of these adjustments to our reported EPS are below:</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14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tcPr>
          <w:p>
            <w:pPr>
              <w:jc w:val="right"/>
              <w:ind w:right="90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04"/>
        </w:trPr>
        <w:tc>
          <w:tcPr>
            <w:tcW w:w="9140" w:type="dxa"/>
            <w:vAlign w:val="bottom"/>
          </w:tcPr>
          <w:p>
            <w:pPr>
              <w:ind w:left="40"/>
              <w:spacing w:after="0"/>
              <w:rPr>
                <w:sz w:val="20"/>
                <w:szCs w:val="20"/>
                <w:color w:val="auto"/>
              </w:rPr>
            </w:pPr>
            <w:r>
              <w:rPr>
                <w:rFonts w:ascii="Arial" w:cs="Arial" w:eastAsia="Arial" w:hAnsi="Arial"/>
                <w:sz w:val="14"/>
                <w:szCs w:val="14"/>
                <w:color w:val="auto"/>
              </w:rPr>
              <w:t>EPS as reported</w:t>
            </w:r>
          </w:p>
        </w:tc>
        <w:tc>
          <w:tcPr>
            <w:tcW w:w="2280" w:type="dxa"/>
            <w:vAlign w:val="bottom"/>
          </w:tcPr>
          <w:p>
            <w:pPr>
              <w:jc w:val="right"/>
              <w:spacing w:after="0"/>
              <w:rPr>
                <w:sz w:val="20"/>
                <w:szCs w:val="20"/>
                <w:color w:val="auto"/>
              </w:rPr>
            </w:pPr>
            <w:r>
              <w:rPr>
                <w:rFonts w:ascii="Arial" w:cs="Arial" w:eastAsia="Arial" w:hAnsi="Arial"/>
                <w:sz w:val="14"/>
                <w:szCs w:val="14"/>
                <w:color w:val="auto"/>
              </w:rPr>
              <w:t>$(0.19)</w:t>
            </w:r>
          </w:p>
        </w:tc>
        <w:tc>
          <w:tcPr>
            <w:tcW w:w="0" w:type="dxa"/>
            <w:vAlign w:val="bottom"/>
          </w:tcPr>
          <w:p>
            <w:pPr>
              <w:spacing w:after="0"/>
              <w:rPr>
                <w:sz w:val="1"/>
                <w:szCs w:val="1"/>
                <w:color w:val="auto"/>
              </w:rPr>
            </w:pPr>
          </w:p>
        </w:tc>
      </w:tr>
      <w:tr>
        <w:trPr>
          <w:trHeight w:val="216"/>
        </w:trPr>
        <w:tc>
          <w:tcPr>
            <w:tcW w:w="9140" w:type="dxa"/>
            <w:vAlign w:val="bottom"/>
          </w:tcPr>
          <w:p>
            <w:pPr>
              <w:ind w:left="200"/>
              <w:spacing w:after="0"/>
              <w:rPr>
                <w:sz w:val="20"/>
                <w:szCs w:val="20"/>
                <w:color w:val="auto"/>
              </w:rPr>
            </w:pPr>
            <w:r>
              <w:rPr>
                <w:rFonts w:ascii="Arial" w:cs="Arial" w:eastAsia="Arial" w:hAnsi="Arial"/>
                <w:sz w:val="14"/>
                <w:szCs w:val="14"/>
                <w:color w:val="auto"/>
              </w:rPr>
              <w:t>Eliminate U.S. tax reform legislation charge</w:t>
            </w:r>
          </w:p>
        </w:tc>
        <w:tc>
          <w:tcPr>
            <w:tcW w:w="2280" w:type="dxa"/>
            <w:vAlign w:val="bottom"/>
            <w:vMerge w:val="restart"/>
          </w:tcPr>
          <w:p>
            <w:pPr>
              <w:jc w:val="right"/>
              <w:spacing w:after="0"/>
              <w:rPr>
                <w:sz w:val="20"/>
                <w:szCs w:val="20"/>
                <w:color w:val="auto"/>
              </w:rPr>
            </w:pPr>
            <w:r>
              <w:rPr>
                <w:rFonts w:ascii="Arial" w:cs="Arial" w:eastAsia="Arial" w:hAnsi="Arial"/>
                <w:sz w:val="14"/>
                <w:szCs w:val="14"/>
                <w:color w:val="auto"/>
              </w:rPr>
              <w:t>$1.81</w:t>
            </w:r>
          </w:p>
        </w:tc>
        <w:tc>
          <w:tcPr>
            <w:tcW w:w="0" w:type="dxa"/>
            <w:vAlign w:val="bottom"/>
          </w:tcPr>
          <w:p>
            <w:pPr>
              <w:spacing w:after="0"/>
              <w:rPr>
                <w:sz w:val="1"/>
                <w:szCs w:val="1"/>
                <w:color w:val="auto"/>
              </w:rPr>
            </w:pPr>
          </w:p>
        </w:tc>
      </w:tr>
      <w:tr>
        <w:trPr>
          <w:trHeight w:val="162"/>
        </w:trPr>
        <w:tc>
          <w:tcPr>
            <w:tcW w:w="9140" w:type="dxa"/>
            <w:vAlign w:val="bottom"/>
          </w:tcPr>
          <w:p>
            <w:pPr>
              <w:spacing w:after="0"/>
              <w:rPr>
                <w:sz w:val="14"/>
                <w:szCs w:val="14"/>
                <w:color w:val="auto"/>
              </w:rPr>
            </w:pPr>
          </w:p>
        </w:tc>
        <w:tc>
          <w:tcPr>
            <w:tcW w:w="2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9140" w:type="dxa"/>
            <w:vAlign w:val="bottom"/>
          </w:tcPr>
          <w:p>
            <w:pPr>
              <w:ind w:left="200"/>
              <w:spacing w:after="0"/>
              <w:rPr>
                <w:sz w:val="20"/>
                <w:szCs w:val="20"/>
                <w:color w:val="auto"/>
              </w:rPr>
            </w:pPr>
            <w:r>
              <w:rPr>
                <w:rFonts w:ascii="Arial" w:cs="Arial" w:eastAsia="Arial" w:hAnsi="Arial"/>
                <w:sz w:val="14"/>
                <w:szCs w:val="14"/>
                <w:color w:val="auto"/>
              </w:rPr>
              <w:t>Eliminate asset impairments, restructuring and other special charges</w:t>
            </w:r>
          </w:p>
        </w:tc>
        <w:tc>
          <w:tcPr>
            <w:tcW w:w="2280" w:type="dxa"/>
            <w:vAlign w:val="bottom"/>
            <w:vMerge w:val="restart"/>
          </w:tcPr>
          <w:p>
            <w:pPr>
              <w:jc w:val="right"/>
              <w:spacing w:after="0"/>
              <w:rPr>
                <w:sz w:val="20"/>
                <w:szCs w:val="20"/>
                <w:color w:val="auto"/>
              </w:rPr>
            </w:pPr>
            <w:r>
              <w:rPr>
                <w:rFonts w:ascii="Arial" w:cs="Arial" w:eastAsia="Arial" w:hAnsi="Arial"/>
                <w:sz w:val="14"/>
                <w:szCs w:val="14"/>
                <w:color w:val="auto"/>
              </w:rPr>
              <w:t>$1.23</w:t>
            </w:r>
          </w:p>
        </w:tc>
        <w:tc>
          <w:tcPr>
            <w:tcW w:w="0" w:type="dxa"/>
            <w:vAlign w:val="bottom"/>
          </w:tcPr>
          <w:p>
            <w:pPr>
              <w:spacing w:after="0"/>
              <w:rPr>
                <w:sz w:val="1"/>
                <w:szCs w:val="1"/>
                <w:color w:val="auto"/>
              </w:rPr>
            </w:pPr>
          </w:p>
        </w:tc>
      </w:tr>
      <w:tr>
        <w:trPr>
          <w:trHeight w:val="162"/>
        </w:trPr>
        <w:tc>
          <w:tcPr>
            <w:tcW w:w="9140" w:type="dxa"/>
            <w:vAlign w:val="bottom"/>
          </w:tcPr>
          <w:p>
            <w:pPr>
              <w:spacing w:after="0"/>
              <w:rPr>
                <w:sz w:val="14"/>
                <w:szCs w:val="14"/>
                <w:color w:val="auto"/>
              </w:rPr>
            </w:pPr>
          </w:p>
        </w:tc>
        <w:tc>
          <w:tcPr>
            <w:tcW w:w="2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9140" w:type="dxa"/>
            <w:vAlign w:val="bottom"/>
          </w:tcPr>
          <w:p>
            <w:pPr>
              <w:ind w:left="200"/>
              <w:spacing w:after="0"/>
              <w:rPr>
                <w:sz w:val="20"/>
                <w:szCs w:val="20"/>
                <w:color w:val="auto"/>
              </w:rPr>
            </w:pPr>
            <w:r>
              <w:rPr>
                <w:rFonts w:ascii="Arial" w:cs="Arial" w:eastAsia="Arial" w:hAnsi="Arial"/>
                <w:sz w:val="14"/>
                <w:szCs w:val="14"/>
                <w:color w:val="auto"/>
              </w:rPr>
              <w:t>Eliminate acquired in-process research and development charge</w:t>
            </w:r>
          </w:p>
        </w:tc>
        <w:tc>
          <w:tcPr>
            <w:tcW w:w="2280" w:type="dxa"/>
            <w:vAlign w:val="bottom"/>
          </w:tcPr>
          <w:p>
            <w:pPr>
              <w:jc w:val="right"/>
              <w:spacing w:after="0"/>
              <w:rPr>
                <w:sz w:val="20"/>
                <w:szCs w:val="20"/>
                <w:color w:val="auto"/>
              </w:rPr>
            </w:pPr>
            <w:r>
              <w:rPr>
                <w:rFonts w:ascii="Arial" w:cs="Arial" w:eastAsia="Arial" w:hAnsi="Arial"/>
                <w:sz w:val="14"/>
                <w:szCs w:val="14"/>
                <w:color w:val="auto"/>
              </w:rPr>
              <w:t>$0.97</w:t>
            </w:r>
          </w:p>
        </w:tc>
        <w:tc>
          <w:tcPr>
            <w:tcW w:w="0" w:type="dxa"/>
            <w:vAlign w:val="bottom"/>
          </w:tcPr>
          <w:p>
            <w:pPr>
              <w:spacing w:after="0"/>
              <w:rPr>
                <w:sz w:val="1"/>
                <w:szCs w:val="1"/>
                <w:color w:val="auto"/>
              </w:rPr>
            </w:pPr>
          </w:p>
        </w:tc>
      </w:tr>
      <w:tr>
        <w:trPr>
          <w:trHeight w:val="216"/>
        </w:trPr>
        <w:tc>
          <w:tcPr>
            <w:tcW w:w="9140" w:type="dxa"/>
            <w:vAlign w:val="bottom"/>
          </w:tcPr>
          <w:p>
            <w:pPr>
              <w:ind w:left="200"/>
              <w:spacing w:after="0"/>
              <w:rPr>
                <w:sz w:val="20"/>
                <w:szCs w:val="20"/>
                <w:color w:val="auto"/>
              </w:rPr>
            </w:pPr>
            <w:r>
              <w:rPr>
                <w:rFonts w:ascii="Arial" w:cs="Arial" w:eastAsia="Arial" w:hAnsi="Arial"/>
                <w:sz w:val="14"/>
                <w:szCs w:val="14"/>
                <w:color w:val="auto"/>
              </w:rPr>
              <w:t>Eliminate amortization of certain intangible assets</w:t>
            </w:r>
          </w:p>
        </w:tc>
        <w:tc>
          <w:tcPr>
            <w:tcW w:w="2280" w:type="dxa"/>
            <w:vAlign w:val="bottom"/>
          </w:tcPr>
          <w:p>
            <w:pPr>
              <w:jc w:val="right"/>
              <w:spacing w:after="0"/>
              <w:rPr>
                <w:sz w:val="20"/>
                <w:szCs w:val="20"/>
                <w:color w:val="auto"/>
              </w:rPr>
            </w:pPr>
            <w:r>
              <w:rPr>
                <w:rFonts w:ascii="Arial" w:cs="Arial" w:eastAsia="Arial" w:hAnsi="Arial"/>
                <w:sz w:val="14"/>
                <w:szCs w:val="14"/>
                <w:color w:val="auto"/>
              </w:rPr>
              <w:t>$0.44</w:t>
            </w:r>
          </w:p>
        </w:tc>
        <w:tc>
          <w:tcPr>
            <w:tcW w:w="0" w:type="dxa"/>
            <w:vAlign w:val="bottom"/>
          </w:tcPr>
          <w:p>
            <w:pPr>
              <w:spacing w:after="0"/>
              <w:rPr>
                <w:sz w:val="1"/>
                <w:szCs w:val="1"/>
                <w:color w:val="auto"/>
              </w:rPr>
            </w:pPr>
          </w:p>
        </w:tc>
      </w:tr>
      <w:tr>
        <w:trPr>
          <w:trHeight w:val="206"/>
        </w:trPr>
        <w:tc>
          <w:tcPr>
            <w:tcW w:w="9140" w:type="dxa"/>
            <w:vAlign w:val="bottom"/>
          </w:tcPr>
          <w:p>
            <w:pPr>
              <w:ind w:left="200"/>
              <w:spacing w:after="0"/>
              <w:rPr>
                <w:sz w:val="20"/>
                <w:szCs w:val="20"/>
                <w:color w:val="auto"/>
              </w:rPr>
            </w:pPr>
            <w:r>
              <w:rPr>
                <w:rFonts w:ascii="Arial" w:cs="Arial" w:eastAsia="Arial" w:hAnsi="Arial"/>
                <w:sz w:val="14"/>
                <w:szCs w:val="14"/>
                <w:color w:val="auto"/>
              </w:rPr>
              <w:t>Eliminate inventory step-up costs associated with the acquisition of</w:t>
            </w: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9140" w:type="dxa"/>
            <w:vAlign w:val="bottom"/>
          </w:tcPr>
          <w:p>
            <w:pPr>
              <w:ind w:left="360"/>
              <w:spacing w:after="0"/>
              <w:rPr>
                <w:sz w:val="20"/>
                <w:szCs w:val="20"/>
                <w:color w:val="auto"/>
              </w:rPr>
            </w:pPr>
            <w:r>
              <w:rPr>
                <w:rFonts w:ascii="Arial" w:cs="Arial" w:eastAsia="Arial" w:hAnsi="Arial"/>
                <w:sz w:val="14"/>
                <w:szCs w:val="14"/>
                <w:color w:val="auto"/>
              </w:rPr>
              <w:t>Boehringer Ingelheim Vetmedica’s U.S. feline, canine, and rabies vaccine portfolio</w:t>
            </w: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$0.03</w:t>
            </w:r>
          </w:p>
        </w:tc>
        <w:tc>
          <w:tcPr>
            <w:tcW w:w="0" w:type="dxa"/>
            <w:vAlign w:val="bottom"/>
          </w:tcPr>
          <w:p>
            <w:pPr>
              <w:spacing w:after="0"/>
              <w:rPr>
                <w:sz w:val="1"/>
                <w:szCs w:val="1"/>
                <w:color w:val="auto"/>
              </w:rPr>
            </w:pPr>
          </w:p>
        </w:tc>
      </w:tr>
      <w:tr>
        <w:trPr>
          <w:trHeight w:val="204"/>
        </w:trPr>
        <w:tc>
          <w:tcPr>
            <w:tcW w:w="9140" w:type="dxa"/>
            <w:vAlign w:val="bottom"/>
          </w:tcPr>
          <w:p>
            <w:pPr>
              <w:ind w:left="40"/>
              <w:spacing w:after="0"/>
              <w:rPr>
                <w:sz w:val="20"/>
                <w:szCs w:val="20"/>
                <w:color w:val="auto"/>
              </w:rPr>
            </w:pPr>
            <w:r>
              <w:rPr>
                <w:rFonts w:ascii="Arial" w:cs="Arial" w:eastAsia="Arial" w:hAnsi="Arial"/>
                <w:sz w:val="14"/>
                <w:szCs w:val="14"/>
                <w:color w:val="auto"/>
              </w:rPr>
              <w:t>Non-GAAP EPS</w:t>
            </w:r>
          </w:p>
        </w:tc>
        <w:tc>
          <w:tcPr>
            <w:tcW w:w="2280" w:type="dxa"/>
            <w:vAlign w:val="bottom"/>
          </w:tcPr>
          <w:p>
            <w:pPr>
              <w:jc w:val="right"/>
              <w:spacing w:after="0"/>
              <w:rPr>
                <w:sz w:val="20"/>
                <w:szCs w:val="20"/>
                <w:color w:val="auto"/>
              </w:rPr>
            </w:pPr>
            <w:r>
              <w:rPr>
                <w:rFonts w:ascii="Arial" w:cs="Arial" w:eastAsia="Arial" w:hAnsi="Arial"/>
                <w:sz w:val="14"/>
                <w:szCs w:val="14"/>
                <w:color w:val="auto"/>
              </w:rPr>
              <w:t>$4.28</w:t>
            </w:r>
          </w:p>
        </w:tc>
        <w:tc>
          <w:tcPr>
            <w:tcW w:w="0" w:type="dxa"/>
            <w:vAlign w:val="bottom"/>
          </w:tcPr>
          <w:p>
            <w:pPr>
              <w:spacing w:after="0"/>
              <w:rPr>
                <w:sz w:val="1"/>
                <w:szCs w:val="1"/>
                <w:color w:val="auto"/>
              </w:rPr>
            </w:pPr>
          </w:p>
        </w:tc>
      </w:tr>
    </w:tbl>
    <w:p>
      <w:pPr>
        <w:spacing w:after="0" w:line="287"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Adjustments for 2016-2018 Performance Award</w:t>
      </w:r>
    </w:p>
    <w:p>
      <w:pPr>
        <w:spacing w:after="0" w:line="85"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For the 2016-2018 performance award payout calculations, the Compensation Committee made the following adjustments to reported EPS consistent with our reporting of non-GAAP financial measures:</w:t>
      </w:r>
    </w:p>
    <w:p>
      <w:pPr>
        <w:spacing w:after="0" w:line="88" w:lineRule="exact"/>
        <w:rPr>
          <w:sz w:val="20"/>
          <w:szCs w:val="20"/>
          <w:color w:val="auto"/>
        </w:rPr>
      </w:pPr>
    </w:p>
    <w:p>
      <w:pPr>
        <w:ind w:left="660" w:hanging="422"/>
        <w:spacing w:after="0"/>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2017: Eliminated the impact of the charge related to U.S. tax reform legislation</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P87</w:t>
      </w:r>
    </w:p>
    <w:p>
      <w:pPr>
        <w:sectPr>
          <w:pgSz w:w="11900" w:h="16838" w:orient="portrait"/>
          <w:cols w:equalWidth="0" w:num="1">
            <w:col w:w="11420"/>
          </w:cols>
          <w:pgMar w:left="240" w:top="558" w:right="239" w:bottom="1440" w:gutter="0" w:footer="0" w:header="0"/>
        </w:sectPr>
      </w:pPr>
    </w:p>
    <w:bookmarkStart w:id="91" w:name="page92"/>
    <w:bookmarkEnd w:id="91"/>
    <w:p>
      <w:pPr>
        <w:ind w:left="660" w:right="60" w:hanging="422"/>
        <w:spacing w:after="0" w:line="250" w:lineRule="auto"/>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2017: Eliminated the impact of inventory step-up costs associated with the acquisition of Boehringer Ingelheim Vetmedica’s U.S. feline, canine, and rabies vaccine portfolio</w:t>
      </w:r>
    </w:p>
    <w:p>
      <w:pPr>
        <w:ind w:left="660" w:hanging="422"/>
        <w:spacing w:after="0"/>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2017, 2016 and 2015: Eliminated the impact of the charges recognized for acquired in-process research and development</w:t>
      </w:r>
    </w:p>
    <w:p>
      <w:pPr>
        <w:spacing w:after="0" w:line="9" w:lineRule="exact"/>
        <w:rPr>
          <w:rFonts w:ascii="Arial" w:cs="Arial" w:eastAsia="Arial" w:hAnsi="Arial"/>
          <w:sz w:val="18"/>
          <w:szCs w:val="18"/>
          <w:color w:val="auto"/>
        </w:rPr>
      </w:pPr>
    </w:p>
    <w:p>
      <w:pPr>
        <w:ind w:left="660" w:hanging="422"/>
        <w:spacing w:after="0"/>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2017, 2016 and 2015: Eliminated the impact of asset impairments, restructuring, and other special charges</w:t>
      </w:r>
    </w:p>
    <w:p>
      <w:pPr>
        <w:spacing w:after="0" w:line="9" w:lineRule="exact"/>
        <w:rPr>
          <w:rFonts w:ascii="Arial" w:cs="Arial" w:eastAsia="Arial" w:hAnsi="Arial"/>
          <w:sz w:val="18"/>
          <w:szCs w:val="18"/>
          <w:color w:val="auto"/>
        </w:rPr>
      </w:pPr>
    </w:p>
    <w:p>
      <w:pPr>
        <w:ind w:left="660" w:hanging="422"/>
        <w:spacing w:after="0"/>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2017, 2016 and 2015: Eliminated the impact of amortization of certain intangible assets.</w:t>
      </w:r>
    </w:p>
    <w:p>
      <w:pPr>
        <w:spacing w:after="0" w:line="9" w:lineRule="exact"/>
        <w:rPr>
          <w:rFonts w:ascii="Arial" w:cs="Arial" w:eastAsia="Arial" w:hAnsi="Arial"/>
          <w:sz w:val="18"/>
          <w:szCs w:val="18"/>
          <w:color w:val="auto"/>
        </w:rPr>
      </w:pPr>
    </w:p>
    <w:p>
      <w:pPr>
        <w:ind w:left="660" w:hanging="422"/>
        <w:spacing w:after="0"/>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2016: Eliminated the impact of the Venezuelan financial crisis</w:t>
      </w:r>
    </w:p>
    <w:p>
      <w:pPr>
        <w:spacing w:after="0" w:line="9" w:lineRule="exact"/>
        <w:rPr>
          <w:rFonts w:ascii="Arial" w:cs="Arial" w:eastAsia="Arial" w:hAnsi="Arial"/>
          <w:sz w:val="18"/>
          <w:szCs w:val="18"/>
          <w:color w:val="auto"/>
        </w:rPr>
      </w:pPr>
    </w:p>
    <w:p>
      <w:pPr>
        <w:ind w:left="660" w:hanging="422"/>
        <w:spacing w:after="0"/>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2015: Eliminated the impact of the debt extinguishment loss</w:t>
      </w:r>
    </w:p>
    <w:p>
      <w:pPr>
        <w:spacing w:after="0" w:line="9" w:lineRule="exact"/>
        <w:rPr>
          <w:rFonts w:ascii="Arial" w:cs="Arial" w:eastAsia="Arial" w:hAnsi="Arial"/>
          <w:sz w:val="18"/>
          <w:szCs w:val="18"/>
          <w:color w:val="auto"/>
        </w:rPr>
      </w:pPr>
    </w:p>
    <w:p>
      <w:pPr>
        <w:ind w:left="660" w:hanging="422"/>
        <w:spacing w:after="0"/>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2015: Eliminated the impact of inventory step-up for Novartis Animal Health.</w:t>
      </w:r>
    </w:p>
    <w:p>
      <w:pPr>
        <w:spacing w:after="0" w:line="225"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In addition to the adjustments consistent with our reporting of non-GAAP financial measures, the Compensation Committee made the following other adjustments:</w:t>
      </w:r>
    </w:p>
    <w:p>
      <w:pPr>
        <w:spacing w:after="0" w:line="196" w:lineRule="exact"/>
        <w:rPr>
          <w:sz w:val="20"/>
          <w:szCs w:val="20"/>
          <w:color w:val="auto"/>
        </w:rPr>
      </w:pPr>
    </w:p>
    <w:p>
      <w:pPr>
        <w:jc w:val="both"/>
        <w:ind w:left="660" w:right="200" w:hanging="409"/>
        <w:spacing w:after="0" w:line="254" w:lineRule="auto"/>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When the Compensation Committee set 2016-2018 performance award targets, the EPS goals were set assuming the transfer of the commercialization rights for Erbitux® in North America to Lilly (which occurred in October 2015). To make effective comparisons, the committee adjusted the base year 2015 results to include the impact of the transfer of the commercialization rights of Erbitux as if the transfer had occurred as of January 1, 2015.</w:t>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Reconciliations of these adjustments to our reported EPS are below.</w:t>
      </w:r>
    </w:p>
    <w:p>
      <w:pPr>
        <w:spacing w:after="0" w:line="382"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c>
          <w:tcPr>
            <w:tcW w:w="13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 Growth</w:t>
            </w:r>
          </w:p>
        </w:tc>
        <w:tc>
          <w:tcPr>
            <w:tcW w:w="1340" w:type="dxa"/>
            <w:vAlign w:val="bottom"/>
            <w:tcBorders>
              <w:right w:val="single" w:sz="8" w:color="auto"/>
            </w:tcBorders>
          </w:tcPr>
          <w:p>
            <w:pPr>
              <w:spacing w:after="0"/>
              <w:rPr>
                <w:sz w:val="20"/>
                <w:szCs w:val="20"/>
                <w:color w:val="auto"/>
              </w:rPr>
            </w:pPr>
          </w:p>
        </w:tc>
        <w:tc>
          <w:tcPr>
            <w:tcW w:w="14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 Growth</w:t>
            </w:r>
          </w:p>
        </w:tc>
        <w:tc>
          <w:tcPr>
            <w:tcW w:w="0" w:type="dxa"/>
            <w:vAlign w:val="bottom"/>
          </w:tcPr>
          <w:p>
            <w:pPr>
              <w:spacing w:after="0"/>
              <w:rPr>
                <w:sz w:val="1"/>
                <w:szCs w:val="1"/>
                <w:color w:val="auto"/>
              </w:rPr>
            </w:pPr>
          </w:p>
        </w:tc>
      </w:tr>
      <w:tr>
        <w:trPr>
          <w:trHeight w:val="205"/>
        </w:trPr>
        <w:tc>
          <w:tcPr>
            <w:tcW w:w="4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2017</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2016</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2017 vs. 2016</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2015</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2016 vs. 2015</w:t>
            </w:r>
          </w:p>
        </w:tc>
        <w:tc>
          <w:tcPr>
            <w:tcW w:w="0" w:type="dxa"/>
            <w:vAlign w:val="bottom"/>
          </w:tcPr>
          <w:p>
            <w:pPr>
              <w:spacing w:after="0"/>
              <w:rPr>
                <w:sz w:val="1"/>
                <w:szCs w:val="1"/>
                <w:color w:val="auto"/>
              </w:rPr>
            </w:pPr>
          </w:p>
        </w:tc>
      </w:tr>
      <w:tr>
        <w:trPr>
          <w:trHeight w:val="204"/>
        </w:trPr>
        <w:tc>
          <w:tcPr>
            <w:tcW w:w="4400" w:type="dxa"/>
            <w:vAlign w:val="bottom"/>
          </w:tcPr>
          <w:p>
            <w:pPr>
              <w:ind w:left="20"/>
              <w:spacing w:after="0"/>
              <w:rPr>
                <w:sz w:val="20"/>
                <w:szCs w:val="20"/>
                <w:color w:val="auto"/>
              </w:rPr>
            </w:pPr>
            <w:r>
              <w:rPr>
                <w:rFonts w:ascii="Arial" w:cs="Arial" w:eastAsia="Arial" w:hAnsi="Arial"/>
                <w:sz w:val="14"/>
                <w:szCs w:val="14"/>
                <w:color w:val="auto"/>
              </w:rPr>
              <w:t>EPS as reported</w:t>
            </w:r>
          </w:p>
        </w:tc>
        <w:tc>
          <w:tcPr>
            <w:tcW w:w="1360" w:type="dxa"/>
            <w:vAlign w:val="bottom"/>
          </w:tcPr>
          <w:p>
            <w:pPr>
              <w:jc w:val="center"/>
              <w:spacing w:after="0"/>
              <w:rPr>
                <w:sz w:val="20"/>
                <w:szCs w:val="20"/>
                <w:color w:val="auto"/>
              </w:rPr>
            </w:pPr>
            <w:r>
              <w:rPr>
                <w:rFonts w:ascii="Arial" w:cs="Arial" w:eastAsia="Arial" w:hAnsi="Arial"/>
                <w:sz w:val="14"/>
                <w:szCs w:val="14"/>
                <w:color w:val="auto"/>
              </w:rPr>
              <w:t>$(0.19)</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$2.58</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NM</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$2.26</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216"/>
        </w:trPr>
        <w:tc>
          <w:tcPr>
            <w:tcW w:w="4400" w:type="dxa"/>
            <w:vAlign w:val="bottom"/>
          </w:tcPr>
          <w:p>
            <w:pPr>
              <w:ind w:left="20"/>
              <w:spacing w:after="0"/>
              <w:rPr>
                <w:sz w:val="20"/>
                <w:szCs w:val="20"/>
                <w:color w:val="auto"/>
              </w:rPr>
            </w:pPr>
            <w:r>
              <w:rPr>
                <w:rFonts w:ascii="Arial" w:cs="Arial" w:eastAsia="Arial" w:hAnsi="Arial"/>
                <w:sz w:val="14"/>
                <w:szCs w:val="14"/>
                <w:color w:val="auto"/>
              </w:rPr>
              <w:t>Eliminate impact of U.S. tax reform legislation</w:t>
            </w:r>
          </w:p>
        </w:tc>
        <w:tc>
          <w:tcPr>
            <w:tcW w:w="1360" w:type="dxa"/>
            <w:vAlign w:val="bottom"/>
            <w:vMerge w:val="restart"/>
          </w:tcPr>
          <w:p>
            <w:pPr>
              <w:jc w:val="center"/>
              <w:spacing w:after="0"/>
              <w:rPr>
                <w:sz w:val="20"/>
                <w:szCs w:val="20"/>
                <w:color w:val="auto"/>
              </w:rPr>
            </w:pPr>
            <w:r>
              <w:rPr>
                <w:rFonts w:ascii="Arial" w:cs="Arial" w:eastAsia="Arial" w:hAnsi="Arial"/>
                <w:sz w:val="14"/>
                <w:szCs w:val="14"/>
                <w:color w:val="auto"/>
              </w:rPr>
              <w:t>$1.81</w:t>
            </w:r>
          </w:p>
        </w:tc>
        <w:tc>
          <w:tcPr>
            <w:tcW w:w="1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13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1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40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1360" w:type="dxa"/>
            <w:vAlign w:val="bottom"/>
            <w:tcBorders>
              <w:right w:val="single" w:sz="8" w:color="auto"/>
            </w:tcBorders>
            <w:vMerge w:val="continue"/>
          </w:tcPr>
          <w:p>
            <w:pPr>
              <w:spacing w:after="0"/>
              <w:rPr>
                <w:sz w:val="14"/>
                <w:szCs w:val="14"/>
                <w:color w:val="auto"/>
              </w:rPr>
            </w:pPr>
          </w:p>
        </w:tc>
        <w:tc>
          <w:tcPr>
            <w:tcW w:w="1320" w:type="dxa"/>
            <w:vAlign w:val="bottom"/>
            <w:tcBorders>
              <w:right w:val="single" w:sz="8" w:color="auto"/>
            </w:tcBorders>
          </w:tcPr>
          <w:p>
            <w:pPr>
              <w:spacing w:after="0"/>
              <w:rPr>
                <w:sz w:val="14"/>
                <w:szCs w:val="14"/>
                <w:color w:val="auto"/>
              </w:rPr>
            </w:pPr>
          </w:p>
        </w:tc>
        <w:tc>
          <w:tcPr>
            <w:tcW w:w="1340" w:type="dxa"/>
            <w:vAlign w:val="bottom"/>
            <w:tcBorders>
              <w:right w:val="single" w:sz="8" w:color="auto"/>
            </w:tcBorders>
            <w:vMerge w:val="continue"/>
          </w:tcPr>
          <w:p>
            <w:pPr>
              <w:spacing w:after="0"/>
              <w:rPr>
                <w:sz w:val="14"/>
                <w:szCs w:val="14"/>
                <w:color w:val="auto"/>
              </w:rPr>
            </w:pPr>
          </w:p>
        </w:tc>
        <w:tc>
          <w:tcPr>
            <w:tcW w:w="14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20"/>
              <w:spacing w:after="0"/>
              <w:rPr>
                <w:sz w:val="20"/>
                <w:szCs w:val="20"/>
                <w:color w:val="auto"/>
              </w:rPr>
            </w:pPr>
            <w:r>
              <w:rPr>
                <w:rFonts w:ascii="Arial" w:cs="Arial" w:eastAsia="Arial" w:hAnsi="Arial"/>
                <w:sz w:val="14"/>
                <w:szCs w:val="14"/>
                <w:color w:val="auto"/>
              </w:rPr>
              <w:t>Eliminate inventory step-up for Vetmedica</w:t>
            </w:r>
          </w:p>
        </w:tc>
        <w:tc>
          <w:tcPr>
            <w:tcW w:w="1360" w:type="dxa"/>
            <w:vAlign w:val="bottom"/>
            <w:vMerge w:val="restart"/>
          </w:tcPr>
          <w:p>
            <w:pPr>
              <w:jc w:val="center"/>
              <w:spacing w:after="0"/>
              <w:rPr>
                <w:sz w:val="20"/>
                <w:szCs w:val="20"/>
                <w:color w:val="auto"/>
              </w:rPr>
            </w:pPr>
            <w:r>
              <w:rPr>
                <w:rFonts w:ascii="Arial" w:cs="Arial" w:eastAsia="Arial" w:hAnsi="Arial"/>
                <w:sz w:val="14"/>
                <w:szCs w:val="14"/>
                <w:color w:val="auto"/>
              </w:rPr>
              <w:t>$0.03</w:t>
            </w:r>
          </w:p>
        </w:tc>
        <w:tc>
          <w:tcPr>
            <w:tcW w:w="1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13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1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40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1360" w:type="dxa"/>
            <w:vAlign w:val="bottom"/>
            <w:tcBorders>
              <w:right w:val="single" w:sz="8" w:color="auto"/>
            </w:tcBorders>
            <w:vMerge w:val="continue"/>
          </w:tcPr>
          <w:p>
            <w:pPr>
              <w:spacing w:after="0"/>
              <w:rPr>
                <w:sz w:val="14"/>
                <w:szCs w:val="14"/>
                <w:color w:val="auto"/>
              </w:rPr>
            </w:pPr>
          </w:p>
        </w:tc>
        <w:tc>
          <w:tcPr>
            <w:tcW w:w="1320" w:type="dxa"/>
            <w:vAlign w:val="bottom"/>
            <w:tcBorders>
              <w:right w:val="single" w:sz="8" w:color="auto"/>
            </w:tcBorders>
          </w:tcPr>
          <w:p>
            <w:pPr>
              <w:spacing w:after="0"/>
              <w:rPr>
                <w:sz w:val="14"/>
                <w:szCs w:val="14"/>
                <w:color w:val="auto"/>
              </w:rPr>
            </w:pPr>
          </w:p>
        </w:tc>
        <w:tc>
          <w:tcPr>
            <w:tcW w:w="1340" w:type="dxa"/>
            <w:vAlign w:val="bottom"/>
            <w:tcBorders>
              <w:right w:val="single" w:sz="8" w:color="auto"/>
            </w:tcBorders>
            <w:vMerge w:val="continue"/>
          </w:tcPr>
          <w:p>
            <w:pPr>
              <w:spacing w:after="0"/>
              <w:rPr>
                <w:sz w:val="14"/>
                <w:szCs w:val="14"/>
                <w:color w:val="auto"/>
              </w:rPr>
            </w:pPr>
          </w:p>
        </w:tc>
        <w:tc>
          <w:tcPr>
            <w:tcW w:w="14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20"/>
              <w:spacing w:after="0"/>
              <w:rPr>
                <w:sz w:val="20"/>
                <w:szCs w:val="20"/>
                <w:color w:val="auto"/>
              </w:rPr>
            </w:pPr>
            <w:r>
              <w:rPr>
                <w:rFonts w:ascii="Arial" w:cs="Arial" w:eastAsia="Arial" w:hAnsi="Arial"/>
                <w:sz w:val="14"/>
                <w:szCs w:val="14"/>
                <w:color w:val="auto"/>
              </w:rPr>
              <w:t>Eliminate impact of the Venezuelan financial crisis</w:t>
            </w:r>
          </w:p>
        </w:tc>
        <w:tc>
          <w:tcPr>
            <w:tcW w:w="136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$0.19</w:t>
            </w:r>
          </w:p>
        </w:tc>
        <w:tc>
          <w:tcPr>
            <w:tcW w:w="13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1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40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1360" w:type="dxa"/>
            <w:vAlign w:val="bottom"/>
            <w:tcBorders>
              <w:right w:val="single" w:sz="8" w:color="auto"/>
            </w:tcBorders>
            <w:vMerge w:val="continue"/>
          </w:tcPr>
          <w:p>
            <w:pPr>
              <w:spacing w:after="0"/>
              <w:rPr>
                <w:sz w:val="14"/>
                <w:szCs w:val="14"/>
                <w:color w:val="auto"/>
              </w:rPr>
            </w:pPr>
          </w:p>
        </w:tc>
        <w:tc>
          <w:tcPr>
            <w:tcW w:w="1320" w:type="dxa"/>
            <w:vAlign w:val="bottom"/>
            <w:tcBorders>
              <w:right w:val="single" w:sz="8" w:color="auto"/>
            </w:tcBorders>
          </w:tcPr>
          <w:p>
            <w:pPr>
              <w:spacing w:after="0"/>
              <w:rPr>
                <w:sz w:val="14"/>
                <w:szCs w:val="14"/>
                <w:color w:val="auto"/>
              </w:rPr>
            </w:pPr>
          </w:p>
        </w:tc>
        <w:tc>
          <w:tcPr>
            <w:tcW w:w="1340" w:type="dxa"/>
            <w:vAlign w:val="bottom"/>
            <w:tcBorders>
              <w:right w:val="single" w:sz="8" w:color="auto"/>
            </w:tcBorders>
            <w:vMerge w:val="continue"/>
          </w:tcPr>
          <w:p>
            <w:pPr>
              <w:spacing w:after="0"/>
              <w:rPr>
                <w:sz w:val="14"/>
                <w:szCs w:val="14"/>
                <w:color w:val="auto"/>
              </w:rPr>
            </w:pPr>
          </w:p>
        </w:tc>
        <w:tc>
          <w:tcPr>
            <w:tcW w:w="14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20"/>
              <w:spacing w:after="0"/>
              <w:rPr>
                <w:sz w:val="20"/>
                <w:szCs w:val="20"/>
                <w:color w:val="auto"/>
              </w:rPr>
            </w:pPr>
            <w:r>
              <w:rPr>
                <w:rFonts w:ascii="Arial" w:cs="Arial" w:eastAsia="Arial" w:hAnsi="Arial"/>
                <w:sz w:val="14"/>
                <w:szCs w:val="14"/>
                <w:color w:val="auto"/>
              </w:rPr>
              <w:t>Eliminate acquired in-process research and development charges</w:t>
            </w:r>
          </w:p>
        </w:tc>
        <w:tc>
          <w:tcPr>
            <w:tcW w:w="1360" w:type="dxa"/>
            <w:vAlign w:val="bottom"/>
            <w:vMerge w:val="restart"/>
          </w:tcPr>
          <w:p>
            <w:pPr>
              <w:jc w:val="center"/>
              <w:spacing w:after="0"/>
              <w:rPr>
                <w:sz w:val="20"/>
                <w:szCs w:val="20"/>
                <w:color w:val="auto"/>
              </w:rPr>
            </w:pPr>
            <w:r>
              <w:rPr>
                <w:rFonts w:ascii="Arial" w:cs="Arial" w:eastAsia="Arial" w:hAnsi="Arial"/>
                <w:sz w:val="14"/>
                <w:szCs w:val="14"/>
                <w:color w:val="auto"/>
              </w:rPr>
              <w:t>$0.97</w:t>
            </w:r>
          </w:p>
        </w:tc>
        <w:tc>
          <w:tcPr>
            <w:tcW w:w="1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$0.02</w:t>
            </w:r>
          </w:p>
        </w:tc>
        <w:tc>
          <w:tcPr>
            <w:tcW w:w="13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$0.33</w:t>
            </w:r>
          </w:p>
        </w:tc>
        <w:tc>
          <w:tcPr>
            <w:tcW w:w="1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40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1360" w:type="dxa"/>
            <w:vAlign w:val="bottom"/>
            <w:tcBorders>
              <w:right w:val="single" w:sz="8" w:color="auto"/>
            </w:tcBorders>
            <w:vMerge w:val="continue"/>
          </w:tcPr>
          <w:p>
            <w:pPr>
              <w:spacing w:after="0"/>
              <w:rPr>
                <w:sz w:val="14"/>
                <w:szCs w:val="14"/>
                <w:color w:val="auto"/>
              </w:rPr>
            </w:pPr>
          </w:p>
        </w:tc>
        <w:tc>
          <w:tcPr>
            <w:tcW w:w="1320" w:type="dxa"/>
            <w:vAlign w:val="bottom"/>
            <w:tcBorders>
              <w:right w:val="single" w:sz="8" w:color="auto"/>
            </w:tcBorders>
          </w:tcPr>
          <w:p>
            <w:pPr>
              <w:spacing w:after="0"/>
              <w:rPr>
                <w:sz w:val="14"/>
                <w:szCs w:val="14"/>
                <w:color w:val="auto"/>
              </w:rPr>
            </w:pPr>
          </w:p>
        </w:tc>
        <w:tc>
          <w:tcPr>
            <w:tcW w:w="1340" w:type="dxa"/>
            <w:vAlign w:val="bottom"/>
            <w:tcBorders>
              <w:right w:val="single" w:sz="8" w:color="auto"/>
            </w:tcBorders>
            <w:vMerge w:val="continue"/>
          </w:tcPr>
          <w:p>
            <w:pPr>
              <w:spacing w:after="0"/>
              <w:rPr>
                <w:sz w:val="14"/>
                <w:szCs w:val="14"/>
                <w:color w:val="auto"/>
              </w:rPr>
            </w:pPr>
          </w:p>
        </w:tc>
        <w:tc>
          <w:tcPr>
            <w:tcW w:w="14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4400" w:type="dxa"/>
            <w:vAlign w:val="bottom"/>
          </w:tcPr>
          <w:p>
            <w:pPr>
              <w:ind w:left="20"/>
              <w:spacing w:after="0"/>
              <w:rPr>
                <w:sz w:val="20"/>
                <w:szCs w:val="20"/>
                <w:color w:val="auto"/>
              </w:rPr>
            </w:pPr>
            <w:r>
              <w:rPr>
                <w:rFonts w:ascii="Arial" w:cs="Arial" w:eastAsia="Arial" w:hAnsi="Arial"/>
                <w:sz w:val="14"/>
                <w:szCs w:val="14"/>
                <w:color w:val="auto"/>
              </w:rPr>
              <w:t>Eliminate asset impairments, restructuring and other special</w:t>
            </w:r>
          </w:p>
        </w:tc>
        <w:tc>
          <w:tcPr>
            <w:tcW w:w="1360" w:type="dxa"/>
            <w:vAlign w:val="bottom"/>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132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4400" w:type="dxa"/>
            <w:vAlign w:val="bottom"/>
          </w:tcPr>
          <w:p>
            <w:pPr>
              <w:ind w:left="20"/>
              <w:spacing w:after="0"/>
              <w:rPr>
                <w:sz w:val="20"/>
                <w:szCs w:val="20"/>
                <w:color w:val="auto"/>
              </w:rPr>
            </w:pPr>
            <w:r>
              <w:rPr>
                <w:rFonts w:ascii="Arial" w:cs="Arial" w:eastAsia="Arial" w:hAnsi="Arial"/>
                <w:sz w:val="14"/>
                <w:szCs w:val="14"/>
                <w:color w:val="auto"/>
              </w:rPr>
              <w:t>charges</w:t>
            </w:r>
          </w:p>
        </w:tc>
        <w:tc>
          <w:tcPr>
            <w:tcW w:w="1360" w:type="dxa"/>
            <w:vAlign w:val="bottom"/>
            <w:vMerge w:val="restart"/>
          </w:tcPr>
          <w:p>
            <w:pPr>
              <w:jc w:val="center"/>
              <w:spacing w:after="0"/>
              <w:rPr>
                <w:sz w:val="20"/>
                <w:szCs w:val="20"/>
                <w:color w:val="auto"/>
              </w:rPr>
            </w:pPr>
            <w:r>
              <w:rPr>
                <w:rFonts w:ascii="Arial" w:cs="Arial" w:eastAsia="Arial" w:hAnsi="Arial"/>
                <w:sz w:val="14"/>
                <w:szCs w:val="14"/>
                <w:color w:val="auto"/>
              </w:rPr>
              <w:t>$1.23</w:t>
            </w:r>
          </w:p>
        </w:tc>
        <w:tc>
          <w:tcPr>
            <w:tcW w:w="1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$0.29</w:t>
            </w:r>
          </w:p>
        </w:tc>
        <w:tc>
          <w:tcPr>
            <w:tcW w:w="1320" w:type="dxa"/>
            <w:vAlign w:val="bottom"/>
            <w:tcBorders>
              <w:right w:val="single" w:sz="8" w:color="auto"/>
            </w:tcBorders>
          </w:tcPr>
          <w:p>
            <w:pPr>
              <w:spacing w:after="0"/>
              <w:rPr>
                <w:sz w:val="14"/>
                <w:szCs w:val="14"/>
                <w:color w:val="auto"/>
              </w:rPr>
            </w:pPr>
          </w:p>
        </w:tc>
        <w:tc>
          <w:tcPr>
            <w:tcW w:w="1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$0.25</w:t>
            </w:r>
          </w:p>
        </w:tc>
        <w:tc>
          <w:tcPr>
            <w:tcW w:w="14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0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1360" w:type="dxa"/>
            <w:vAlign w:val="bottom"/>
            <w:tcBorders>
              <w:right w:val="single" w:sz="8" w:color="auto"/>
            </w:tcBorders>
            <w:vMerge w:val="continue"/>
          </w:tcPr>
          <w:p>
            <w:pPr>
              <w:spacing w:after="0"/>
              <w:rPr>
                <w:sz w:val="14"/>
                <w:szCs w:val="14"/>
                <w:color w:val="auto"/>
              </w:rPr>
            </w:pPr>
          </w:p>
        </w:tc>
        <w:tc>
          <w:tcPr>
            <w:tcW w:w="1320" w:type="dxa"/>
            <w:vAlign w:val="bottom"/>
            <w:tcBorders>
              <w:right w:val="single" w:sz="8" w:color="auto"/>
            </w:tcBorders>
          </w:tcPr>
          <w:p>
            <w:pPr>
              <w:spacing w:after="0"/>
              <w:rPr>
                <w:sz w:val="14"/>
                <w:szCs w:val="14"/>
                <w:color w:val="auto"/>
              </w:rPr>
            </w:pPr>
          </w:p>
        </w:tc>
        <w:tc>
          <w:tcPr>
            <w:tcW w:w="1340" w:type="dxa"/>
            <w:vAlign w:val="bottom"/>
            <w:tcBorders>
              <w:right w:val="single" w:sz="8" w:color="auto"/>
            </w:tcBorders>
            <w:vMerge w:val="continue"/>
          </w:tcPr>
          <w:p>
            <w:pPr>
              <w:spacing w:after="0"/>
              <w:rPr>
                <w:sz w:val="14"/>
                <w:szCs w:val="14"/>
                <w:color w:val="auto"/>
              </w:rPr>
            </w:pPr>
          </w:p>
        </w:tc>
        <w:tc>
          <w:tcPr>
            <w:tcW w:w="14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20"/>
              <w:spacing w:after="0"/>
              <w:rPr>
                <w:sz w:val="20"/>
                <w:szCs w:val="20"/>
                <w:color w:val="auto"/>
              </w:rPr>
            </w:pPr>
            <w:r>
              <w:rPr>
                <w:rFonts w:ascii="Arial" w:cs="Arial" w:eastAsia="Arial" w:hAnsi="Arial"/>
                <w:sz w:val="14"/>
                <w:szCs w:val="14"/>
                <w:color w:val="auto"/>
              </w:rPr>
              <w:t>Eliminate amortization of certain intangible assets</w:t>
            </w:r>
          </w:p>
        </w:tc>
        <w:tc>
          <w:tcPr>
            <w:tcW w:w="1360" w:type="dxa"/>
            <w:vAlign w:val="bottom"/>
            <w:vMerge w:val="restart"/>
          </w:tcPr>
          <w:p>
            <w:pPr>
              <w:jc w:val="center"/>
              <w:spacing w:after="0"/>
              <w:rPr>
                <w:sz w:val="20"/>
                <w:szCs w:val="20"/>
                <w:color w:val="auto"/>
              </w:rPr>
            </w:pPr>
            <w:r>
              <w:rPr>
                <w:rFonts w:ascii="Arial" w:cs="Arial" w:eastAsia="Arial" w:hAnsi="Arial"/>
                <w:sz w:val="14"/>
                <w:szCs w:val="14"/>
                <w:color w:val="auto"/>
              </w:rPr>
              <w:t>$0.44</w:t>
            </w:r>
          </w:p>
        </w:tc>
        <w:tc>
          <w:tcPr>
            <w:tcW w:w="1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$0.44</w:t>
            </w:r>
          </w:p>
        </w:tc>
        <w:tc>
          <w:tcPr>
            <w:tcW w:w="13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$0.39</w:t>
            </w:r>
          </w:p>
        </w:tc>
        <w:tc>
          <w:tcPr>
            <w:tcW w:w="1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40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1360" w:type="dxa"/>
            <w:vAlign w:val="bottom"/>
            <w:tcBorders>
              <w:right w:val="single" w:sz="8" w:color="auto"/>
            </w:tcBorders>
            <w:vMerge w:val="continue"/>
          </w:tcPr>
          <w:p>
            <w:pPr>
              <w:spacing w:after="0"/>
              <w:rPr>
                <w:sz w:val="14"/>
                <w:szCs w:val="14"/>
                <w:color w:val="auto"/>
              </w:rPr>
            </w:pPr>
          </w:p>
        </w:tc>
        <w:tc>
          <w:tcPr>
            <w:tcW w:w="1320" w:type="dxa"/>
            <w:vAlign w:val="bottom"/>
            <w:tcBorders>
              <w:right w:val="single" w:sz="8" w:color="auto"/>
            </w:tcBorders>
          </w:tcPr>
          <w:p>
            <w:pPr>
              <w:spacing w:after="0"/>
              <w:rPr>
                <w:sz w:val="14"/>
                <w:szCs w:val="14"/>
                <w:color w:val="auto"/>
              </w:rPr>
            </w:pPr>
          </w:p>
        </w:tc>
        <w:tc>
          <w:tcPr>
            <w:tcW w:w="1340" w:type="dxa"/>
            <w:vAlign w:val="bottom"/>
            <w:tcBorders>
              <w:right w:val="single" w:sz="8" w:color="auto"/>
            </w:tcBorders>
            <w:vMerge w:val="continue"/>
          </w:tcPr>
          <w:p>
            <w:pPr>
              <w:spacing w:after="0"/>
              <w:rPr>
                <w:sz w:val="14"/>
                <w:szCs w:val="14"/>
                <w:color w:val="auto"/>
              </w:rPr>
            </w:pPr>
          </w:p>
        </w:tc>
        <w:tc>
          <w:tcPr>
            <w:tcW w:w="14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20"/>
              <w:spacing w:after="0"/>
              <w:rPr>
                <w:sz w:val="20"/>
                <w:szCs w:val="20"/>
                <w:color w:val="auto"/>
              </w:rPr>
            </w:pPr>
            <w:r>
              <w:rPr>
                <w:rFonts w:ascii="Arial" w:cs="Arial" w:eastAsia="Arial" w:hAnsi="Arial"/>
                <w:sz w:val="14"/>
                <w:szCs w:val="14"/>
                <w:color w:val="auto"/>
              </w:rPr>
              <w:t>Eliminate debt extinguishment loss</w:t>
            </w:r>
          </w:p>
        </w:tc>
        <w:tc>
          <w:tcPr>
            <w:tcW w:w="136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13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$0.09</w:t>
            </w:r>
          </w:p>
        </w:tc>
        <w:tc>
          <w:tcPr>
            <w:tcW w:w="1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40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1360" w:type="dxa"/>
            <w:vAlign w:val="bottom"/>
            <w:tcBorders>
              <w:right w:val="single" w:sz="8" w:color="auto"/>
            </w:tcBorders>
            <w:vMerge w:val="continue"/>
          </w:tcPr>
          <w:p>
            <w:pPr>
              <w:spacing w:after="0"/>
              <w:rPr>
                <w:sz w:val="14"/>
                <w:szCs w:val="14"/>
                <w:color w:val="auto"/>
              </w:rPr>
            </w:pPr>
          </w:p>
        </w:tc>
        <w:tc>
          <w:tcPr>
            <w:tcW w:w="1320" w:type="dxa"/>
            <w:vAlign w:val="bottom"/>
            <w:tcBorders>
              <w:right w:val="single" w:sz="8" w:color="auto"/>
            </w:tcBorders>
          </w:tcPr>
          <w:p>
            <w:pPr>
              <w:spacing w:after="0"/>
              <w:rPr>
                <w:sz w:val="14"/>
                <w:szCs w:val="14"/>
                <w:color w:val="auto"/>
              </w:rPr>
            </w:pPr>
          </w:p>
        </w:tc>
        <w:tc>
          <w:tcPr>
            <w:tcW w:w="1340" w:type="dxa"/>
            <w:vAlign w:val="bottom"/>
            <w:tcBorders>
              <w:right w:val="single" w:sz="8" w:color="auto"/>
            </w:tcBorders>
            <w:vMerge w:val="continue"/>
          </w:tcPr>
          <w:p>
            <w:pPr>
              <w:spacing w:after="0"/>
              <w:rPr>
                <w:sz w:val="14"/>
                <w:szCs w:val="14"/>
                <w:color w:val="auto"/>
              </w:rPr>
            </w:pPr>
          </w:p>
        </w:tc>
        <w:tc>
          <w:tcPr>
            <w:tcW w:w="14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20"/>
              <w:spacing w:after="0"/>
              <w:rPr>
                <w:sz w:val="20"/>
                <w:szCs w:val="20"/>
                <w:color w:val="auto"/>
              </w:rPr>
            </w:pPr>
            <w:r>
              <w:rPr>
                <w:rFonts w:ascii="Arial" w:cs="Arial" w:eastAsia="Arial" w:hAnsi="Arial"/>
                <w:sz w:val="14"/>
                <w:szCs w:val="14"/>
                <w:color w:val="auto"/>
              </w:rPr>
              <w:t>Eliminate inventory step-up for Novartis Animal Health</w:t>
            </w:r>
          </w:p>
        </w:tc>
        <w:tc>
          <w:tcPr>
            <w:tcW w:w="136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13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$0.10</w:t>
            </w:r>
          </w:p>
        </w:tc>
        <w:tc>
          <w:tcPr>
            <w:tcW w:w="1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4400" w:type="dxa"/>
            <w:vAlign w:val="bottom"/>
          </w:tcPr>
          <w:p>
            <w:pPr>
              <w:spacing w:after="0"/>
              <w:rPr>
                <w:sz w:val="14"/>
                <w:szCs w:val="14"/>
                <w:color w:val="auto"/>
              </w:rPr>
            </w:pPr>
          </w:p>
        </w:tc>
        <w:tc>
          <w:tcPr>
            <w:tcW w:w="1360" w:type="dxa"/>
            <w:vAlign w:val="bottom"/>
            <w:tcBorders>
              <w:bottom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vMerge w:val="continue"/>
          </w:tcPr>
          <w:p>
            <w:pPr>
              <w:spacing w:after="0"/>
              <w:rPr>
                <w:sz w:val="14"/>
                <w:szCs w:val="14"/>
                <w:color w:val="auto"/>
              </w:rPr>
            </w:pPr>
          </w:p>
        </w:tc>
        <w:tc>
          <w:tcPr>
            <w:tcW w:w="1320" w:type="dxa"/>
            <w:vAlign w:val="bottom"/>
            <w:tcBorders>
              <w:right w:val="single" w:sz="8" w:color="auto"/>
            </w:tcBorders>
          </w:tcPr>
          <w:p>
            <w:pPr>
              <w:spacing w:after="0"/>
              <w:rPr>
                <w:sz w:val="14"/>
                <w:szCs w:val="14"/>
                <w:color w:val="auto"/>
              </w:rPr>
            </w:pP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4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4400" w:type="dxa"/>
            <w:vAlign w:val="bottom"/>
          </w:tcPr>
          <w:p>
            <w:pPr>
              <w:ind w:left="20"/>
              <w:spacing w:after="0"/>
              <w:rPr>
                <w:sz w:val="20"/>
                <w:szCs w:val="20"/>
                <w:color w:val="auto"/>
              </w:rPr>
            </w:pPr>
            <w:r>
              <w:rPr>
                <w:rFonts w:ascii="Arial" w:cs="Arial" w:eastAsia="Arial" w:hAnsi="Arial"/>
                <w:sz w:val="14"/>
                <w:szCs w:val="14"/>
                <w:color w:val="auto"/>
              </w:rPr>
              <w:t>Non-GAAP EPS</w:t>
            </w:r>
          </w:p>
        </w:tc>
        <w:tc>
          <w:tcPr>
            <w:tcW w:w="1360" w:type="dxa"/>
            <w:vAlign w:val="bottom"/>
          </w:tcPr>
          <w:p>
            <w:pPr>
              <w:jc w:val="center"/>
              <w:spacing w:after="0"/>
              <w:rPr>
                <w:sz w:val="20"/>
                <w:szCs w:val="20"/>
                <w:color w:val="auto"/>
              </w:rPr>
            </w:pPr>
            <w:r>
              <w:rPr>
                <w:rFonts w:ascii="Arial" w:cs="Arial" w:eastAsia="Arial" w:hAnsi="Arial"/>
                <w:sz w:val="14"/>
                <w:szCs w:val="14"/>
                <w:color w:val="auto"/>
              </w:rPr>
              <w:t>$4.28</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$3.52</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21.6%</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$3.43</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276"/>
        </w:trPr>
        <w:tc>
          <w:tcPr>
            <w:tcW w:w="4400" w:type="dxa"/>
            <w:vAlign w:val="bottom"/>
          </w:tcPr>
          <w:p>
            <w:pPr>
              <w:ind w:left="20"/>
              <w:spacing w:after="0"/>
              <w:rPr>
                <w:sz w:val="20"/>
                <w:szCs w:val="20"/>
                <w:color w:val="auto"/>
              </w:rPr>
            </w:pPr>
            <w:r>
              <w:rPr>
                <w:rFonts w:ascii="Arial" w:cs="Arial" w:eastAsia="Arial" w:hAnsi="Arial"/>
                <w:sz w:val="14"/>
                <w:szCs w:val="14"/>
                <w:color w:val="auto"/>
              </w:rPr>
              <w:t>Transfer of Erbitux commercialization rights adjustment</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320" w:type="dxa"/>
            <w:vAlign w:val="bottom"/>
            <w:tcBorders>
              <w:right w:val="single" w:sz="8" w:color="auto"/>
            </w:tcBorders>
          </w:tcPr>
          <w:p>
            <w:pPr>
              <w:spacing w:after="0"/>
              <w:rPr>
                <w:sz w:val="24"/>
                <w:szCs w:val="24"/>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$0.09</w:t>
            </w:r>
          </w:p>
        </w:tc>
        <w:tc>
          <w:tcPr>
            <w:tcW w:w="1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400" w:type="dxa"/>
            <w:vAlign w:val="bottom"/>
          </w:tcPr>
          <w:p>
            <w:pPr>
              <w:ind w:left="20"/>
              <w:spacing w:after="0"/>
              <w:rPr>
                <w:sz w:val="20"/>
                <w:szCs w:val="20"/>
                <w:color w:val="auto"/>
              </w:rPr>
            </w:pPr>
            <w:r>
              <w:rPr>
                <w:rFonts w:ascii="Arial" w:cs="Arial" w:eastAsia="Arial" w:hAnsi="Arial"/>
                <w:sz w:val="14"/>
                <w:szCs w:val="14"/>
                <w:color w:val="auto"/>
              </w:rPr>
              <w:t>Adjusted Non-GAAP EPS</w:t>
            </w:r>
          </w:p>
        </w:tc>
        <w:tc>
          <w:tcPr>
            <w:tcW w:w="1360" w:type="dxa"/>
            <w:vAlign w:val="bottom"/>
          </w:tcPr>
          <w:p>
            <w:pPr>
              <w:jc w:val="center"/>
              <w:spacing w:after="0"/>
              <w:rPr>
                <w:sz w:val="20"/>
                <w:szCs w:val="20"/>
                <w:color w:val="auto"/>
              </w:rPr>
            </w:pPr>
            <w:r>
              <w:rPr>
                <w:rFonts w:ascii="Arial" w:cs="Arial" w:eastAsia="Arial" w:hAnsi="Arial"/>
                <w:sz w:val="14"/>
                <w:szCs w:val="14"/>
                <w:color w:val="auto"/>
              </w:rPr>
              <w:t>$4.28</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$3.52</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26.6%</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$3.52</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58"/>
        </w:trPr>
        <w:tc>
          <w:tcPr>
            <w:tcW w:w="4400" w:type="dxa"/>
            <w:vAlign w:val="bottom"/>
          </w:tcPr>
          <w:p>
            <w:pPr>
              <w:ind w:left="20"/>
              <w:spacing w:after="0"/>
              <w:rPr>
                <w:sz w:val="20"/>
                <w:szCs w:val="20"/>
                <w:color w:val="auto"/>
              </w:rPr>
            </w:pPr>
            <w:r>
              <w:rPr>
                <w:rFonts w:ascii="Arial" w:cs="Arial" w:eastAsia="Arial" w:hAnsi="Arial"/>
                <w:sz w:val="14"/>
                <w:szCs w:val="14"/>
                <w:color w:val="auto"/>
              </w:rPr>
              <w:t>*Numbers may not add due to rounding</w:t>
            </w:r>
          </w:p>
        </w:tc>
        <w:tc>
          <w:tcPr>
            <w:tcW w:w="13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P88</w:t>
      </w:r>
    </w:p>
    <w:p>
      <w:pPr>
        <w:sectPr>
          <w:pgSz w:w="11900" w:h="16838" w:orient="portrait"/>
          <w:cols w:equalWidth="0" w:num="1">
            <w:col w:w="11420"/>
          </w:cols>
          <w:pgMar w:left="240" w:top="598" w:right="239" w:bottom="1440" w:gutter="0" w:footer="0" w:header="0"/>
        </w:sectPr>
      </w:pPr>
    </w:p>
    <w:bookmarkStart w:id="92" w:name="page93"/>
    <w:bookmarkEnd w:id="92"/>
    <w:p>
      <w:pPr>
        <w:spacing w:after="0"/>
        <w:rPr>
          <w:sz w:val="20"/>
          <w:szCs w:val="20"/>
          <w:color w:val="auto"/>
        </w:rPr>
      </w:pPr>
      <w:r>
        <w:rPr>
          <w:rFonts w:ascii="Arial" w:cs="Arial" w:eastAsia="Arial" w:hAnsi="Arial"/>
          <w:sz w:val="29"/>
          <w:szCs w:val="29"/>
          <w:b w:val="1"/>
          <w:bCs w:val="1"/>
          <w:color w:val="FF0000"/>
        </w:rPr>
        <w:t>Appendix B - Proposed Amendments to the Company's Articles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720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21"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 xml:space="preserve">Proposed changes to the company’s articles of incorporation are shown below related to </w:t>
      </w:r>
      <w:r>
        <w:rPr>
          <w:rFonts w:ascii="Arial" w:cs="Arial" w:eastAsia="Arial" w:hAnsi="Arial"/>
          <w:sz w:val="18"/>
          <w:szCs w:val="18"/>
          <w:u w:val="single" w:color="auto"/>
          <w:color w:val="auto"/>
        </w:rPr>
        <w:t>Items 4 and 5</w:t>
      </w:r>
      <w:r>
        <w:rPr>
          <w:rFonts w:ascii="Arial" w:cs="Arial" w:eastAsia="Arial" w:hAnsi="Arial"/>
          <w:sz w:val="18"/>
          <w:szCs w:val="18"/>
          <w:color w:val="auto"/>
        </w:rPr>
        <w:t xml:space="preserve">, “Items of Business To Be Acted Upon at the Meeting.” The changes shown to Article 9(b) will be effective if </w:t>
      </w:r>
      <w:r>
        <w:rPr>
          <w:rFonts w:ascii="Arial" w:cs="Arial" w:eastAsia="Arial" w:hAnsi="Arial"/>
          <w:sz w:val="18"/>
          <w:szCs w:val="18"/>
          <w:u w:val="single" w:color="auto"/>
          <w:color w:val="auto"/>
        </w:rPr>
        <w:t>Item 4</w:t>
      </w:r>
      <w:r>
        <w:rPr>
          <w:rFonts w:ascii="Arial" w:cs="Arial" w:eastAsia="Arial" w:hAnsi="Arial"/>
          <w:sz w:val="18"/>
          <w:szCs w:val="18"/>
          <w:color w:val="auto"/>
        </w:rPr>
        <w:t xml:space="preserve">, "Proposal to Amend the Company’s Articles of Incorporation to Eliminate the Classified Board Structure,” receives the vote of at least 80 percent of the outstanding shares. The changes to Articles 9(c), 9(d), and 13 will be effective if </w:t>
      </w:r>
      <w:r>
        <w:rPr>
          <w:rFonts w:ascii="Arial" w:cs="Arial" w:eastAsia="Arial" w:hAnsi="Arial"/>
          <w:sz w:val="18"/>
          <w:szCs w:val="18"/>
          <w:u w:val="single" w:color="auto"/>
          <w:color w:val="auto"/>
        </w:rPr>
        <w:t>Item 5</w:t>
      </w:r>
      <w:r>
        <w:rPr>
          <w:rFonts w:ascii="Arial" w:cs="Arial" w:eastAsia="Arial" w:hAnsi="Arial"/>
          <w:sz w:val="18"/>
          <w:szCs w:val="18"/>
          <w:color w:val="auto"/>
        </w:rPr>
        <w:t>, "Proposal to Amend the Company’s Articles of Incorporation to Eliminate Supermajority Voting Provisions,” receives the vote of at least 80 percent of the outstanding shares. Additions are indicated by underlining and deletions are indicated by strike-outs. The full text of the company's Articles of Incorporation can be found on our website at: https://www.lilly.com/who-we-are/governance.</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w:t>
      </w:r>
    </w:p>
    <w:p>
      <w:pPr>
        <w:spacing w:after="0" w:line="225" w:lineRule="exact"/>
        <w:rPr>
          <w:sz w:val="20"/>
          <w:szCs w:val="20"/>
          <w:color w:val="auto"/>
        </w:rPr>
      </w:pPr>
    </w:p>
    <w:p>
      <w:pPr>
        <w:ind w:right="520" w:firstLine="8"/>
        <w:spacing w:after="0" w:line="262" w:lineRule="auto"/>
        <w:tabs>
          <w:tab w:leader="none" w:pos="2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following provisions are inserted for the management of the business and for the conduct of the affairs of the Corporation, and it is expressly provided that the same are intended to be in furtherance and not in limitation or exclusion of the powers conferred by statute:</w:t>
      </w:r>
    </w:p>
    <w:p>
      <w:pPr>
        <w:spacing w:after="0" w:line="196" w:lineRule="exact"/>
        <w:rPr>
          <w:rFonts w:ascii="Arial" w:cs="Arial" w:eastAsia="Arial" w:hAnsi="Arial"/>
          <w:sz w:val="18"/>
          <w:szCs w:val="18"/>
          <w:color w:val="auto"/>
        </w:rPr>
      </w:pPr>
    </w:p>
    <w:p>
      <w:pPr>
        <w:ind w:left="660" w:right="60" w:hanging="4"/>
        <w:spacing w:after="0" w:line="256" w:lineRule="auto"/>
        <w:tabs>
          <w:tab w:leader="none" w:pos="93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The number of directors of the Corporation, exclusive of directors who may be elected by the holders of any one or more series of Preferred Stock pursuant to Article 7(b) (the "Preferred Stock Directors"), shall not be less than nine, the exact number to be fixed from time to time solely by resolution of the Board of Directors, acting by not less than a majority of the directors then in office.</w:t>
      </w:r>
    </w:p>
    <w:p>
      <w:pPr>
        <w:spacing w:after="0" w:line="201" w:lineRule="exact"/>
        <w:rPr>
          <w:rFonts w:ascii="Arial" w:cs="Arial" w:eastAsia="Arial" w:hAnsi="Arial"/>
          <w:sz w:val="18"/>
          <w:szCs w:val="18"/>
          <w:color w:val="auto"/>
        </w:rPr>
      </w:pPr>
    </w:p>
    <w:p>
      <w:pPr>
        <w:ind w:left="660" w:right="160" w:hanging="4"/>
        <w:spacing w:after="0" w:line="251" w:lineRule="auto"/>
        <w:tabs>
          <w:tab w:leader="none" w:pos="930" w:val="left"/>
        </w:tabs>
        <w:numPr>
          <w:ilvl w:val="1"/>
          <w:numId w:val="120"/>
        </w:numPr>
        <w:rPr>
          <w:rFonts w:ascii="Arial" w:cs="Arial" w:eastAsia="Arial" w:hAnsi="Arial"/>
          <w:sz w:val="18"/>
          <w:szCs w:val="18"/>
          <w:color w:val="auto"/>
        </w:rPr>
      </w:pPr>
      <w:r>
        <w:rPr>
          <w:rFonts w:ascii="Arial" w:cs="Arial" w:eastAsia="Arial" w:hAnsi="Arial"/>
          <w:sz w:val="18"/>
          <w:szCs w:val="18"/>
          <w:u w:val="single" w:color="auto"/>
          <w:color w:val="auto"/>
        </w:rPr>
        <w:t>Prior to the 2019 annual meeting of directors,</w:t>
      </w:r>
      <w:r>
        <w:rPr>
          <w:rFonts w:ascii="Arial" w:cs="Arial" w:eastAsia="Arial" w:hAnsi="Arial"/>
          <w:sz w:val="18"/>
          <w:szCs w:val="18"/>
          <w:color w:val="auto"/>
        </w:rPr>
        <w:t xml:space="preserve"> the Board of Directors (exclusive of Preferred Stock Directors) shall be divided into three classes, with the term of office of one class expiring each year. </w:t>
      </w:r>
      <w:r>
        <w:rPr>
          <w:rFonts w:ascii="Arial" w:cs="Arial" w:eastAsia="Arial" w:hAnsi="Arial"/>
          <w:sz w:val="18"/>
          <w:szCs w:val="18"/>
          <w:color w:val="auto"/>
          <w:strike w:val="1"/>
        </w:rPr>
        <w:t>At the annual meeting of shareholders in 1985, five directors of</w:t>
      </w:r>
      <w:r>
        <w:rPr>
          <w:rFonts w:ascii="Arial" w:cs="Arial" w:eastAsia="Arial" w:hAnsi="Arial"/>
          <w:sz w:val="18"/>
          <w:szCs w:val="18"/>
          <w:color w:val="auto"/>
        </w:rPr>
        <w:t xml:space="preserve"> </w:t>
      </w:r>
      <w:r>
        <w:rPr>
          <w:rFonts w:ascii="Arial" w:cs="Arial" w:eastAsia="Arial" w:hAnsi="Arial"/>
          <w:sz w:val="18"/>
          <w:szCs w:val="18"/>
          <w:color w:val="auto"/>
          <w:strike w:val="1"/>
        </w:rPr>
        <w:t xml:space="preserve">the first class shall be elected to hold office for a term expiring at the 1986 annual meeting, five directors of the second class shall be elected to hold office for a term expiring at the 1987 annual meeting, and six directors of the third class shall be elected to hold office for a term expiring at the 1988 annual meeting. Commencing with the annual meeting of shareholders in 1986 </w:t>
      </w:r>
      <w:r>
        <w:rPr>
          <w:rFonts w:ascii="Arial" w:cs="Arial" w:eastAsia="Arial" w:hAnsi="Arial"/>
          <w:sz w:val="18"/>
          <w:szCs w:val="18"/>
          <w:u w:val="single" w:color="auto"/>
          <w:color w:val="auto"/>
          <w:strike w:val="1"/>
        </w:rPr>
        <w:t>2019</w:t>
      </w:r>
      <w:r>
        <w:rPr>
          <w:rFonts w:ascii="Arial" w:cs="Arial" w:eastAsia="Arial" w:hAnsi="Arial"/>
          <w:sz w:val="18"/>
          <w:szCs w:val="18"/>
          <w:color w:val="auto"/>
          <w:strike w:val="1"/>
        </w:rPr>
        <w:t xml:space="preserve">, each class of directors whose term shall then expire shall be elected to hold office for a three </w:t>
      </w:r>
      <w:r>
        <w:rPr>
          <w:rFonts w:ascii="Arial" w:cs="Arial" w:eastAsia="Arial" w:hAnsi="Arial"/>
          <w:sz w:val="18"/>
          <w:szCs w:val="18"/>
          <w:u w:val="single" w:color="auto"/>
          <w:color w:val="auto"/>
          <w:strike w:val="1"/>
        </w:rPr>
        <w:t>one</w:t>
      </w:r>
      <w:r>
        <w:rPr>
          <w:rFonts w:ascii="Arial" w:cs="Arial" w:eastAsia="Arial" w:hAnsi="Arial"/>
          <w:sz w:val="18"/>
          <w:szCs w:val="18"/>
          <w:color w:val="auto"/>
          <w:strike w:val="1"/>
        </w:rPr>
        <w:t xml:space="preserve">-year term. </w:t>
      </w:r>
      <w:r>
        <w:rPr>
          <w:rFonts w:ascii="Arial" w:cs="Arial" w:eastAsia="Arial" w:hAnsi="Arial"/>
          <w:sz w:val="18"/>
          <w:szCs w:val="18"/>
          <w:u w:val="single" w:color="auto"/>
          <w:color w:val="auto"/>
          <w:strike w:val="1"/>
        </w:rPr>
        <w:t>expiring at the next annual meeting of</w:t>
      </w:r>
      <w:r>
        <w:rPr>
          <w:rFonts w:ascii="Arial" w:cs="Arial" w:eastAsia="Arial" w:hAnsi="Arial"/>
          <w:sz w:val="18"/>
          <w:szCs w:val="18"/>
          <w:color w:val="auto"/>
          <w:strike w:val="1"/>
        </w:rPr>
        <w:t xml:space="preserve"> </w:t>
      </w:r>
      <w:r>
        <w:rPr>
          <w:rFonts w:ascii="Arial" w:cs="Arial" w:eastAsia="Arial" w:hAnsi="Arial"/>
          <w:sz w:val="18"/>
          <w:szCs w:val="18"/>
          <w:u w:val="single" w:color="auto"/>
          <w:color w:val="auto"/>
          <w:strike w:val="1"/>
        </w:rPr>
        <w:t>shareholders.</w:t>
      </w:r>
      <w:r>
        <w:rPr>
          <w:rFonts w:ascii="Arial" w:cs="Arial" w:eastAsia="Arial" w:hAnsi="Arial"/>
          <w:sz w:val="18"/>
          <w:szCs w:val="18"/>
          <w:color w:val="auto"/>
          <w:strike w:val="1"/>
        </w:rPr>
        <w:t xml:space="preserve"> In the case of any vacancy on the Board of Directors, including a vacancy created by an increase in the number of Directors, the vacancy shall be filled by election of the Board of Directors with the director so elected to serve for the remainder of the term of the director being replaced or, in the case of an additional director, for the remainder of the term of the class to which the director has been assigned. </w:t>
      </w:r>
      <w:r>
        <w:rPr>
          <w:rFonts w:ascii="Arial" w:cs="Arial" w:eastAsia="Arial" w:hAnsi="Arial"/>
          <w:sz w:val="18"/>
          <w:szCs w:val="18"/>
          <w:u w:val="single" w:color="auto"/>
          <w:color w:val="auto"/>
          <w:strike w:val="1"/>
        </w:rPr>
        <w:t>until the next annual meeting of shareholders</w:t>
      </w:r>
      <w:r>
        <w:rPr>
          <w:rFonts w:ascii="Arial" w:cs="Arial" w:eastAsia="Arial" w:hAnsi="Arial"/>
          <w:sz w:val="18"/>
          <w:szCs w:val="18"/>
          <w:color w:val="auto"/>
          <w:strike w:val="1"/>
        </w:rPr>
        <w:t>. All directors shall continue in office until the election and qualification of their respective successors in office. When the number of directors is changed, any newly created directorships or any decrease in directorships shall be so assigned among the classes by a majority of the directors then in office, though less than a quorum, as to make all classes as nearly equal in number as possible. No decrease in the number of directors shall have the effect of shortening the term of any incumbent director. Election of directors need not be by written ballot unless the By-laws so provide.</w:t>
      </w:r>
    </w:p>
    <w:p>
      <w:pPr>
        <w:spacing w:after="0" w:line="210" w:lineRule="exact"/>
        <w:rPr>
          <w:rFonts w:ascii="Arial" w:cs="Arial" w:eastAsia="Arial" w:hAnsi="Arial"/>
          <w:sz w:val="18"/>
          <w:szCs w:val="18"/>
          <w:color w:val="auto"/>
        </w:rPr>
      </w:pPr>
    </w:p>
    <w:p>
      <w:pPr>
        <w:ind w:left="660" w:right="340" w:hanging="4"/>
        <w:spacing w:after="0" w:line="256" w:lineRule="auto"/>
        <w:tabs>
          <w:tab w:leader="none" w:pos="92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 xml:space="preserve">Any director or directors (exclusive of Preferred Stock Directors) may be removed from office at any time, but only for cause and only by the affirmative vote of </w:t>
      </w:r>
      <w:r>
        <w:rPr>
          <w:rFonts w:ascii="Arial" w:cs="Arial" w:eastAsia="Arial" w:hAnsi="Arial"/>
          <w:sz w:val="18"/>
          <w:szCs w:val="18"/>
          <w:color w:val="auto"/>
          <w:strike w:val="1"/>
        </w:rPr>
        <w:t>at least 80%</w:t>
      </w:r>
      <w:r>
        <w:rPr>
          <w:rFonts w:ascii="Arial" w:cs="Arial" w:eastAsia="Arial" w:hAnsi="Arial"/>
          <w:sz w:val="18"/>
          <w:szCs w:val="18"/>
          <w:u w:val="single" w:color="auto"/>
          <w:color w:val="auto"/>
        </w:rPr>
        <w:t>a majority</w:t>
      </w:r>
      <w:r>
        <w:rPr>
          <w:rFonts w:ascii="Arial" w:cs="Arial" w:eastAsia="Arial" w:hAnsi="Arial"/>
          <w:sz w:val="18"/>
          <w:szCs w:val="18"/>
          <w:color w:val="auto"/>
        </w:rPr>
        <w:t xml:space="preserve"> of </w:t>
      </w:r>
      <w:r>
        <w:rPr>
          <w:rFonts w:ascii="Arial" w:cs="Arial" w:eastAsia="Arial" w:hAnsi="Arial"/>
          <w:sz w:val="18"/>
          <w:szCs w:val="18"/>
          <w:color w:val="auto"/>
          <w:strike w:val="1"/>
        </w:rPr>
        <w:t>the</w:t>
      </w:r>
      <w:r>
        <w:rPr>
          <w:rFonts w:ascii="Arial" w:cs="Arial" w:eastAsia="Arial" w:hAnsi="Arial"/>
          <w:sz w:val="18"/>
          <w:szCs w:val="18"/>
          <w:color w:val="auto"/>
        </w:rPr>
        <w:t xml:space="preserve"> votes </w:t>
      </w:r>
      <w:r>
        <w:rPr>
          <w:rFonts w:ascii="Arial" w:cs="Arial" w:eastAsia="Arial" w:hAnsi="Arial"/>
          <w:sz w:val="18"/>
          <w:szCs w:val="18"/>
          <w:color w:val="auto"/>
          <w:strike w:val="1"/>
        </w:rPr>
        <w:t>entitled to be</w:t>
      </w:r>
      <w:r>
        <w:rPr>
          <w:rFonts w:ascii="Arial" w:cs="Arial" w:eastAsia="Arial" w:hAnsi="Arial"/>
          <w:sz w:val="18"/>
          <w:szCs w:val="18"/>
          <w:color w:val="auto"/>
        </w:rPr>
        <w:t xml:space="preserve"> cast by </w:t>
      </w:r>
      <w:r>
        <w:rPr>
          <w:rFonts w:ascii="Arial" w:cs="Arial" w:eastAsia="Arial" w:hAnsi="Arial"/>
          <w:sz w:val="18"/>
          <w:szCs w:val="18"/>
          <w:u w:val="single" w:color="auto"/>
          <w:color w:val="auto"/>
        </w:rPr>
        <w:t>the</w:t>
      </w:r>
      <w:r>
        <w:rPr>
          <w:rFonts w:ascii="Arial" w:cs="Arial" w:eastAsia="Arial" w:hAnsi="Arial"/>
          <w:sz w:val="18"/>
          <w:szCs w:val="18"/>
          <w:color w:val="auto"/>
        </w:rPr>
        <w:t xml:space="preserve"> holders </w:t>
      </w:r>
      <w:r>
        <w:rPr>
          <w:rFonts w:ascii="Arial" w:cs="Arial" w:eastAsia="Arial" w:hAnsi="Arial"/>
          <w:sz w:val="18"/>
          <w:szCs w:val="18"/>
          <w:color w:val="auto"/>
          <w:strike w:val="1"/>
        </w:rPr>
        <w:t>of all the outstanding shares</w:t>
      </w:r>
      <w:r>
        <w:rPr>
          <w:rFonts w:ascii="Arial" w:cs="Arial" w:eastAsia="Arial" w:hAnsi="Arial"/>
          <w:sz w:val="18"/>
          <w:szCs w:val="18"/>
          <w:color w:val="auto"/>
        </w:rPr>
        <w:t xml:space="preserve"> of Voting Stock (as defined in Article 13 hereof), voting together as a single class.</w:t>
      </w:r>
    </w:p>
    <w:p>
      <w:pPr>
        <w:spacing w:after="0" w:line="201" w:lineRule="exact"/>
        <w:rPr>
          <w:rFonts w:ascii="Arial" w:cs="Arial" w:eastAsia="Arial" w:hAnsi="Arial"/>
          <w:sz w:val="18"/>
          <w:szCs w:val="18"/>
          <w:color w:val="auto"/>
        </w:rPr>
      </w:pPr>
    </w:p>
    <w:p>
      <w:pPr>
        <w:ind w:left="660" w:right="20" w:hanging="4"/>
        <w:spacing w:after="0" w:line="254" w:lineRule="auto"/>
        <w:tabs>
          <w:tab w:leader="none" w:pos="930" w:val="left"/>
        </w:tabs>
        <w:numPr>
          <w:ilvl w:val="1"/>
          <w:numId w:val="120"/>
        </w:numPr>
        <w:rPr>
          <w:rFonts w:ascii="Arial" w:cs="Arial" w:eastAsia="Arial" w:hAnsi="Arial"/>
          <w:sz w:val="18"/>
          <w:szCs w:val="18"/>
          <w:color w:val="auto"/>
          <w:strike w:val="1"/>
        </w:rPr>
      </w:pPr>
      <w:r>
        <w:rPr>
          <w:rFonts w:ascii="Arial" w:cs="Arial" w:eastAsia="Arial" w:hAnsi="Arial"/>
          <w:sz w:val="18"/>
          <w:szCs w:val="18"/>
          <w:color w:val="auto"/>
          <w:strike w:val="1"/>
        </w:rPr>
        <w:t>Notwithstanding any other provision of these Amended Articles of Incorporation or of law which might otherwise permit a lesser vote or no vote, but in addition to any affirmative vote of the holders of any particular class of Voting Stock required by law or these Amended Articles of Incorporation, the affirmative vote of at least 80% of the votes entitled to be cast by holders of all the outstanding shares of Voting Stock, voting together as a single class, shall be required to alter, amend or repeal this Article 9.</w:t>
      </w:r>
    </w:p>
    <w:p>
      <w:pPr>
        <w:spacing w:after="0" w:line="204" w:lineRule="exact"/>
        <w:rPr>
          <w:sz w:val="20"/>
          <w:szCs w:val="20"/>
          <w:color w:val="auto"/>
        </w:rPr>
      </w:pPr>
    </w:p>
    <w:p>
      <w:pPr>
        <w:ind w:left="300" w:hanging="292"/>
        <w:spacing w:after="0"/>
        <w:tabs>
          <w:tab w:leader="none" w:pos="3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 xml:space="preserve">In addition to all other requirements imposed by law and these Amended Articles </w:t>
      </w:r>
      <w:r>
        <w:rPr>
          <w:rFonts w:ascii="Arial" w:cs="Arial" w:eastAsia="Arial" w:hAnsi="Arial"/>
          <w:sz w:val="18"/>
          <w:szCs w:val="18"/>
          <w:color w:val="auto"/>
          <w:strike w:val="1"/>
        </w:rPr>
        <w:t>and except as otherwise expressly provided in paragraph</w:t>
      </w:r>
    </w:p>
    <w:p>
      <w:pPr>
        <w:spacing w:after="0" w:line="9" w:lineRule="exact"/>
        <w:rPr>
          <w:rFonts w:ascii="Arial" w:cs="Arial" w:eastAsia="Arial" w:hAnsi="Arial"/>
          <w:sz w:val="18"/>
          <w:szCs w:val="18"/>
          <w:color w:val="auto"/>
        </w:rPr>
      </w:pPr>
    </w:p>
    <w:p>
      <w:pPr>
        <w:ind w:right="20"/>
        <w:spacing w:after="0" w:line="256" w:lineRule="auto"/>
        <w:rPr>
          <w:rFonts w:ascii="Arial" w:cs="Arial" w:eastAsia="Arial" w:hAnsi="Arial"/>
          <w:sz w:val="18"/>
          <w:szCs w:val="18"/>
          <w:color w:val="auto"/>
        </w:rPr>
      </w:pPr>
      <w:r>
        <w:rPr>
          <w:rFonts w:ascii="Arial" w:cs="Arial" w:eastAsia="Arial" w:hAnsi="Arial"/>
          <w:sz w:val="18"/>
          <w:szCs w:val="18"/>
          <w:color w:val="auto"/>
          <w:strike w:val="1"/>
        </w:rPr>
        <w:t>(c) of this Article 13</w:t>
      </w:r>
      <w:r>
        <w:rPr>
          <w:rFonts w:ascii="Arial" w:cs="Arial" w:eastAsia="Arial" w:hAnsi="Arial"/>
          <w:sz w:val="18"/>
          <w:szCs w:val="18"/>
          <w:color w:val="auto"/>
        </w:rPr>
        <w:t xml:space="preserve">, none of the actions or transactions listed </w:t>
      </w:r>
      <w:r>
        <w:rPr>
          <w:rFonts w:ascii="Arial" w:cs="Arial" w:eastAsia="Arial" w:hAnsi="Arial"/>
          <w:sz w:val="18"/>
          <w:szCs w:val="18"/>
          <w:u w:val="single" w:color="auto"/>
          <w:color w:val="auto"/>
        </w:rPr>
        <w:t>in paragraph (a)</w:t>
      </w:r>
      <w:r>
        <w:rPr>
          <w:rFonts w:ascii="Arial" w:cs="Arial" w:eastAsia="Arial" w:hAnsi="Arial"/>
          <w:sz w:val="18"/>
          <w:szCs w:val="18"/>
          <w:color w:val="auto"/>
        </w:rPr>
        <w:t xml:space="preserve"> below shall be effected by the Corporation, or approved by the Corporation as a shareholder of any majority-owned subsidiary of the Corporation if, as of the record date for the determination of the shareholders entitled to vote thereon, any Related Person (as hereinafter defined) exists, unless the applicable requirements of paragraphs (b),</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P89</w:t>
      </w:r>
    </w:p>
    <w:p>
      <w:pPr>
        <w:sectPr>
          <w:pgSz w:w="11900" w:h="16838" w:orient="portrait"/>
          <w:cols w:equalWidth="0" w:num="1">
            <w:col w:w="11420"/>
          </w:cols>
          <w:pgMar w:left="240" w:top="559" w:right="239" w:bottom="1440" w:gutter="0" w:footer="0" w:header="0"/>
        </w:sectPr>
      </w:pPr>
    </w:p>
    <w:bookmarkStart w:id="93" w:name="page94"/>
    <w:bookmarkEnd w:id="93"/>
    <w:p>
      <w:pPr>
        <w:spacing w:after="0"/>
        <w:rPr>
          <w:sz w:val="20"/>
          <w:szCs w:val="20"/>
          <w:color w:val="auto"/>
        </w:rPr>
      </w:pPr>
      <w:r>
        <w:rPr>
          <w:rFonts w:ascii="Arial" w:cs="Arial" w:eastAsia="Arial" w:hAnsi="Arial"/>
          <w:sz w:val="18"/>
          <w:szCs w:val="18"/>
          <w:color w:val="auto"/>
        </w:rPr>
        <w:t xml:space="preserve">(c), (d), </w:t>
      </w:r>
      <w:r>
        <w:rPr>
          <w:rFonts w:ascii="Arial" w:cs="Arial" w:eastAsia="Arial" w:hAnsi="Arial"/>
          <w:sz w:val="18"/>
          <w:szCs w:val="18"/>
          <w:color w:val="auto"/>
          <w:strike w:val="1"/>
        </w:rPr>
        <w:t>(e),</w:t>
      </w:r>
      <w:r>
        <w:rPr>
          <w:rFonts w:ascii="Arial" w:cs="Arial" w:eastAsia="Arial" w:hAnsi="Arial"/>
          <w:sz w:val="18"/>
          <w:szCs w:val="18"/>
          <w:color w:val="auto"/>
        </w:rPr>
        <w:t xml:space="preserve"> and (</w:t>
      </w:r>
      <w:r>
        <w:rPr>
          <w:rFonts w:ascii="Arial" w:cs="Arial" w:eastAsia="Arial" w:hAnsi="Arial"/>
          <w:sz w:val="18"/>
          <w:szCs w:val="18"/>
          <w:color w:val="auto"/>
          <w:strike w:val="1"/>
        </w:rPr>
        <w:t>f</w:t>
      </w:r>
      <w:r>
        <w:rPr>
          <w:rFonts w:ascii="Arial" w:cs="Arial" w:eastAsia="Arial" w:hAnsi="Arial"/>
          <w:sz w:val="18"/>
          <w:szCs w:val="18"/>
          <w:u w:val="single" w:color="auto"/>
          <w:color w:val="auto"/>
        </w:rPr>
        <w:t>e</w:t>
      </w:r>
      <w:r>
        <w:rPr>
          <w:rFonts w:ascii="Arial" w:cs="Arial" w:eastAsia="Arial" w:hAnsi="Arial"/>
          <w:sz w:val="18"/>
          <w:szCs w:val="18"/>
          <w:color w:val="auto"/>
        </w:rPr>
        <w:t>) of this Article 13 are satisfied.</w:t>
      </w:r>
    </w:p>
    <w:p>
      <w:pPr>
        <w:spacing w:after="0" w:line="225" w:lineRule="exact"/>
        <w:rPr>
          <w:sz w:val="20"/>
          <w:szCs w:val="20"/>
          <w:color w:val="auto"/>
        </w:rPr>
      </w:pPr>
    </w:p>
    <w:p>
      <w:pPr>
        <w:ind w:left="920" w:hanging="264"/>
        <w:spacing w:after="0"/>
        <w:tabs>
          <w:tab w:leader="none" w:pos="9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actions or transactions within the scope of this Article 13 are as follows:</w:t>
      </w:r>
    </w:p>
    <w:p>
      <w:pPr>
        <w:spacing w:after="0" w:line="225" w:lineRule="exact"/>
        <w:rPr>
          <w:rFonts w:ascii="Arial" w:cs="Arial" w:eastAsia="Arial" w:hAnsi="Arial"/>
          <w:sz w:val="18"/>
          <w:szCs w:val="18"/>
          <w:color w:val="auto"/>
        </w:rPr>
      </w:pPr>
    </w:p>
    <w:p>
      <w:pPr>
        <w:ind w:left="1200" w:hanging="220"/>
        <w:spacing w:after="0"/>
        <w:tabs>
          <w:tab w:leader="none" w:pos="120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any merger or consolidation of the Corporation or any of its subsidiaries into or with such Related Person;</w:t>
      </w:r>
    </w:p>
    <w:p>
      <w:pPr>
        <w:spacing w:after="0" w:line="225" w:lineRule="exact"/>
        <w:rPr>
          <w:rFonts w:ascii="Arial" w:cs="Arial" w:eastAsia="Arial" w:hAnsi="Arial"/>
          <w:sz w:val="18"/>
          <w:szCs w:val="18"/>
          <w:color w:val="auto"/>
        </w:rPr>
      </w:pPr>
    </w:p>
    <w:p>
      <w:pPr>
        <w:ind w:left="980" w:right="700"/>
        <w:spacing w:after="0" w:line="262" w:lineRule="auto"/>
        <w:tabs>
          <w:tab w:leader="none" w:pos="123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any sale, lease, exchange, or other disposition of all or any substantial part of the assets of the Corporation or any of its majority-owned subsidiaries to or with such Related Person;</w:t>
      </w:r>
    </w:p>
    <w:p>
      <w:pPr>
        <w:spacing w:after="0" w:line="196" w:lineRule="exact"/>
        <w:rPr>
          <w:rFonts w:ascii="Arial" w:cs="Arial" w:eastAsia="Arial" w:hAnsi="Arial"/>
          <w:sz w:val="18"/>
          <w:szCs w:val="18"/>
          <w:color w:val="auto"/>
        </w:rPr>
      </w:pPr>
    </w:p>
    <w:p>
      <w:pPr>
        <w:ind w:left="980" w:right="120"/>
        <w:spacing w:after="0" w:line="262" w:lineRule="auto"/>
        <w:tabs>
          <w:tab w:leader="none" w:pos="127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the issuance or delivery of any Voting Stock (as hereinafter defined) or of voting securities of any of the Corporation's majority-owned subsidiaries to such Related Person in exchange for cash, other assets or securities, or a combination thereof;</w:t>
      </w:r>
    </w:p>
    <w:p>
      <w:pPr>
        <w:spacing w:after="0" w:line="196" w:lineRule="exact"/>
        <w:rPr>
          <w:rFonts w:ascii="Arial" w:cs="Arial" w:eastAsia="Arial" w:hAnsi="Arial"/>
          <w:sz w:val="18"/>
          <w:szCs w:val="18"/>
          <w:color w:val="auto"/>
        </w:rPr>
      </w:pPr>
    </w:p>
    <w:p>
      <w:pPr>
        <w:ind w:left="1280" w:hanging="300"/>
        <w:spacing w:after="0"/>
        <w:tabs>
          <w:tab w:leader="none" w:pos="128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any voluntary dissolution or liquidation of the Corporation;</w:t>
      </w:r>
    </w:p>
    <w:p>
      <w:pPr>
        <w:spacing w:after="0" w:line="225" w:lineRule="exact"/>
        <w:rPr>
          <w:rFonts w:ascii="Arial" w:cs="Arial" w:eastAsia="Arial" w:hAnsi="Arial"/>
          <w:sz w:val="18"/>
          <w:szCs w:val="18"/>
          <w:color w:val="auto"/>
        </w:rPr>
      </w:pPr>
    </w:p>
    <w:p>
      <w:pPr>
        <w:ind w:left="980" w:right="20"/>
        <w:spacing w:after="0" w:line="253" w:lineRule="auto"/>
        <w:tabs>
          <w:tab w:leader="none" w:pos="124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any reclassification of securities (including any reverse stock split), or recapitalization of the Corporation, or any merger or consolidation of the Corporation with any of its subsidiaries, or any other transaction (whether or not with or otherwise involving a Related Person) that has the effect, directly or indirectly, of increasing the proportionate share of any class or series of capital stock of the Corporation, or any securities convertible into capital stock of the Corporation or into equity securities of any subsidiary, that is beneficially owned by any Related Person; or</w:t>
      </w:r>
    </w:p>
    <w:p>
      <w:pPr>
        <w:spacing w:after="0" w:line="205" w:lineRule="exact"/>
        <w:rPr>
          <w:rFonts w:ascii="Arial" w:cs="Arial" w:eastAsia="Arial" w:hAnsi="Arial"/>
          <w:sz w:val="18"/>
          <w:szCs w:val="18"/>
          <w:color w:val="auto"/>
        </w:rPr>
      </w:pPr>
    </w:p>
    <w:p>
      <w:pPr>
        <w:ind w:left="1280" w:hanging="300"/>
        <w:spacing w:after="0"/>
        <w:tabs>
          <w:tab w:leader="none" w:pos="128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any agreement, contract, or other arrangement providing for any one or more of the actions specified in the foregoing clauses</w:t>
      </w:r>
    </w:p>
    <w:p>
      <w:pPr>
        <w:spacing w:after="0" w:line="9" w:lineRule="exact"/>
        <w:rPr>
          <w:rFonts w:ascii="Arial" w:cs="Arial" w:eastAsia="Arial" w:hAnsi="Arial"/>
          <w:sz w:val="18"/>
          <w:szCs w:val="18"/>
          <w:color w:val="auto"/>
        </w:rPr>
      </w:pPr>
    </w:p>
    <w:p>
      <w:pPr>
        <w:ind w:left="1200" w:hanging="220"/>
        <w:spacing w:after="0"/>
        <w:tabs>
          <w:tab w:leader="none" w:pos="120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through (v).</w:t>
      </w:r>
    </w:p>
    <w:p>
      <w:pPr>
        <w:spacing w:after="0" w:line="225" w:lineRule="exact"/>
        <w:rPr>
          <w:rFonts w:ascii="Arial" w:cs="Arial" w:eastAsia="Arial" w:hAnsi="Arial"/>
          <w:sz w:val="18"/>
          <w:szCs w:val="18"/>
          <w:color w:val="auto"/>
        </w:rPr>
      </w:pPr>
    </w:p>
    <w:p>
      <w:pPr>
        <w:ind w:left="660" w:right="160" w:hanging="4"/>
        <w:spacing w:after="0" w:line="256" w:lineRule="auto"/>
        <w:tabs>
          <w:tab w:leader="none" w:pos="93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 xml:space="preserve">The actions and transactions described in paragraph (a) of this Article 13 shall have been authorized by the affirmative vote of </w:t>
      </w:r>
      <w:r>
        <w:rPr>
          <w:rFonts w:ascii="Arial" w:cs="Arial" w:eastAsia="Arial" w:hAnsi="Arial"/>
          <w:sz w:val="18"/>
          <w:szCs w:val="18"/>
          <w:color w:val="auto"/>
          <w:strike w:val="1"/>
        </w:rPr>
        <w:t>at</w:t>
      </w:r>
      <w:r>
        <w:rPr>
          <w:rFonts w:ascii="Arial" w:cs="Arial" w:eastAsia="Arial" w:hAnsi="Arial"/>
          <w:sz w:val="18"/>
          <w:szCs w:val="18"/>
          <w:color w:val="auto"/>
        </w:rPr>
        <w:t xml:space="preserve"> </w:t>
      </w:r>
      <w:r>
        <w:rPr>
          <w:rFonts w:ascii="Arial" w:cs="Arial" w:eastAsia="Arial" w:hAnsi="Arial"/>
          <w:sz w:val="18"/>
          <w:szCs w:val="18"/>
          <w:color w:val="auto"/>
          <w:strike w:val="1"/>
        </w:rPr>
        <w:t>least 80% of all</w:t>
      </w:r>
      <w:r>
        <w:rPr>
          <w:rFonts w:ascii="Arial" w:cs="Arial" w:eastAsia="Arial" w:hAnsi="Arial"/>
          <w:sz w:val="18"/>
          <w:szCs w:val="18"/>
          <w:color w:val="auto"/>
        </w:rPr>
        <w:t xml:space="preserve"> </w:t>
      </w:r>
      <w:r>
        <w:rPr>
          <w:rFonts w:ascii="Arial" w:cs="Arial" w:eastAsia="Arial" w:hAnsi="Arial"/>
          <w:sz w:val="18"/>
          <w:szCs w:val="18"/>
          <w:u w:val="single" w:color="auto"/>
          <w:color w:val="auto"/>
        </w:rPr>
        <w:t>a majority</w:t>
      </w:r>
      <w:r>
        <w:rPr>
          <w:rFonts w:ascii="Arial" w:cs="Arial" w:eastAsia="Arial" w:hAnsi="Arial"/>
          <w:sz w:val="18"/>
          <w:szCs w:val="18"/>
          <w:color w:val="auto"/>
        </w:rPr>
        <w:t xml:space="preserve"> of the votes entitled to be cast by holders of </w:t>
      </w:r>
      <w:r>
        <w:rPr>
          <w:rFonts w:ascii="Arial" w:cs="Arial" w:eastAsia="Arial" w:hAnsi="Arial"/>
          <w:sz w:val="18"/>
          <w:szCs w:val="18"/>
          <w:u w:val="single" w:color="auto"/>
          <w:color w:val="auto"/>
        </w:rPr>
        <w:t>all</w:t>
      </w:r>
      <w:r>
        <w:rPr>
          <w:rFonts w:ascii="Arial" w:cs="Arial" w:eastAsia="Arial" w:hAnsi="Arial"/>
          <w:sz w:val="18"/>
          <w:szCs w:val="18"/>
          <w:color w:val="auto"/>
        </w:rPr>
        <w:t xml:space="preserve"> the outstanding shares of Voting Stock, voting together as a single class.</w:t>
      </w:r>
    </w:p>
    <w:p>
      <w:pPr>
        <w:spacing w:after="0" w:line="201" w:lineRule="exact"/>
        <w:rPr>
          <w:rFonts w:ascii="Arial" w:cs="Arial" w:eastAsia="Arial" w:hAnsi="Arial"/>
          <w:sz w:val="18"/>
          <w:szCs w:val="18"/>
          <w:color w:val="auto"/>
        </w:rPr>
      </w:pPr>
    </w:p>
    <w:p>
      <w:pPr>
        <w:ind w:left="660" w:right="460" w:hanging="4"/>
        <w:spacing w:after="0" w:line="256" w:lineRule="auto"/>
        <w:tabs>
          <w:tab w:leader="none" w:pos="920" w:val="left"/>
        </w:tabs>
        <w:numPr>
          <w:ilvl w:val="0"/>
          <w:numId w:val="124"/>
        </w:numPr>
        <w:rPr>
          <w:rFonts w:ascii="Arial" w:cs="Arial" w:eastAsia="Arial" w:hAnsi="Arial"/>
          <w:sz w:val="18"/>
          <w:szCs w:val="18"/>
          <w:color w:val="auto"/>
          <w:strike w:val="1"/>
        </w:rPr>
      </w:pPr>
      <w:r>
        <w:rPr>
          <w:rFonts w:ascii="Arial" w:cs="Arial" w:eastAsia="Arial" w:hAnsi="Arial"/>
          <w:sz w:val="18"/>
          <w:szCs w:val="18"/>
          <w:color w:val="auto"/>
          <w:strike w:val="1"/>
        </w:rPr>
        <w:t>Notwithstanding paragraph (b) of this Article 13, the 80% voting requirement shall not be applicable if any action or transaction specified in paragraph (a) is approved by the Corporation's Board of Directors and by a majority of the Continuing Directors (as hereinafter defined).</w:t>
      </w:r>
    </w:p>
    <w:p>
      <w:pPr>
        <w:spacing w:after="0" w:line="202" w:lineRule="exact"/>
        <w:rPr>
          <w:sz w:val="20"/>
          <w:szCs w:val="20"/>
          <w:color w:val="auto"/>
        </w:rPr>
      </w:pPr>
    </w:p>
    <w:p>
      <w:pPr>
        <w:ind w:left="660" w:right="140"/>
        <w:spacing w:after="0" w:line="262" w:lineRule="auto"/>
        <w:rPr>
          <w:sz w:val="20"/>
          <w:szCs w:val="20"/>
          <w:color w:val="auto"/>
        </w:rPr>
      </w:pPr>
      <w:r>
        <w:rPr>
          <w:rFonts w:ascii="Arial" w:cs="Arial" w:eastAsia="Arial" w:hAnsi="Arial"/>
          <w:sz w:val="18"/>
          <w:szCs w:val="18"/>
          <w:color w:val="auto"/>
          <w:strike w:val="1"/>
        </w:rPr>
        <w:t>(d</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8"/>
          <w:szCs w:val="18"/>
          <w:color w:val="auto"/>
        </w:rPr>
        <w:t>) Unless approved by a majority of the Continuing Directors, after becoming a Related Person and prior to consummation of such action or transaction</w:t>
      </w:r>
      <w:r>
        <w:rPr>
          <w:rFonts w:ascii="Arial" w:cs="Arial" w:eastAsia="Arial" w:hAnsi="Arial"/>
          <w:sz w:val="18"/>
          <w:szCs w:val="18"/>
          <w:color w:val="auto"/>
          <w:strike w:val="1"/>
        </w:rPr>
        <w:t>.</w:t>
      </w:r>
      <w:r>
        <w:rPr>
          <w:rFonts w:ascii="Arial" w:cs="Arial" w:eastAsia="Arial" w:hAnsi="Arial"/>
          <w:sz w:val="18"/>
          <w:szCs w:val="18"/>
          <w:u w:val="single" w:color="auto"/>
          <w:color w:val="auto"/>
        </w:rPr>
        <w:t>:</w:t>
      </w:r>
    </w:p>
    <w:p>
      <w:pPr>
        <w:spacing w:after="0" w:line="196" w:lineRule="exact"/>
        <w:rPr>
          <w:sz w:val="20"/>
          <w:szCs w:val="20"/>
          <w:color w:val="auto"/>
        </w:rPr>
      </w:pPr>
    </w:p>
    <w:p>
      <w:pPr>
        <w:ind w:left="980" w:right="180"/>
        <w:spacing w:after="0" w:line="254" w:lineRule="auto"/>
        <w:tabs>
          <w:tab w:leader="none" w:pos="119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Related Person shall not have acquired from the Corporation or any of its subsidiaries any newly issued or treasury shares of capital stock or any newly issued securities convertible into capital stock of the Corporation or any of its majority-owned subsidiaries, directly or indirectly (except upon conversion of convertible securities acquired by it prior to becoming a Related Person or as a result of a pro rata stock dividend or stock split or other distribution of stock to all shareholders pro rata);</w:t>
      </w:r>
    </w:p>
    <w:p>
      <w:pPr>
        <w:spacing w:after="0" w:line="204" w:lineRule="exact"/>
        <w:rPr>
          <w:rFonts w:ascii="Arial" w:cs="Arial" w:eastAsia="Arial" w:hAnsi="Arial"/>
          <w:sz w:val="18"/>
          <w:szCs w:val="18"/>
          <w:color w:val="auto"/>
        </w:rPr>
      </w:pPr>
    </w:p>
    <w:p>
      <w:pPr>
        <w:ind w:left="980"/>
        <w:spacing w:after="0" w:line="253" w:lineRule="auto"/>
        <w:tabs>
          <w:tab w:leader="none" w:pos="123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such Related Person shall not have received the benefit directly or indirectly (except proportionately as a shareholder) of any loans, advances, guarantees, pledges, or other financial assistance or tax credits provided by the Corporation or any of its majority-owned subsidiaries, or made any major changes in the Corporation's or any of its majority-owned subsidiaries' businesses or capital structures or reduced the current rate of dividends payable on the Corporation's capital stock below the rate in effect immediately prior to the time such Related Person became a Related Person; and</w:t>
      </w:r>
    </w:p>
    <w:p>
      <w:pPr>
        <w:spacing w:after="0" w:line="205" w:lineRule="exact"/>
        <w:rPr>
          <w:rFonts w:ascii="Arial" w:cs="Arial" w:eastAsia="Arial" w:hAnsi="Arial"/>
          <w:sz w:val="18"/>
          <w:szCs w:val="18"/>
          <w:color w:val="auto"/>
        </w:rPr>
      </w:pPr>
    </w:p>
    <w:p>
      <w:pPr>
        <w:ind w:left="980"/>
        <w:spacing w:after="0" w:line="253" w:lineRule="auto"/>
        <w:tabs>
          <w:tab w:leader="none" w:pos="127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such Related Person shall have taken all required actions within its power to ensure that the Corporation's Board of Directors included representation by Continuing Directors at least proportionate to the voting power of the shareholdings of Voting Stock of the Corporation's Remaining Public Shareholders (as hereinafter defined), with a Continuing Director to occupy an additional Board position if a fractional right to a director results and, in any event, with at least one Continuing Director to serve on the Board so long as there are any Remaining Public Shareholders.</w:t>
      </w:r>
    </w:p>
    <w:p>
      <w:pPr>
        <w:spacing w:after="0" w:line="206" w:lineRule="exact"/>
        <w:rPr>
          <w:sz w:val="20"/>
          <w:szCs w:val="20"/>
          <w:color w:val="auto"/>
        </w:rPr>
      </w:pPr>
    </w:p>
    <w:p>
      <w:pPr>
        <w:ind w:left="660" w:right="62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color w:val="auto"/>
          <w:strike w:val="1"/>
        </w:rPr>
        <w:t>e</w:t>
      </w:r>
      <w:r>
        <w:rPr>
          <w:rFonts w:ascii="Arial" w:cs="Arial" w:eastAsia="Arial" w:hAnsi="Arial"/>
          <w:sz w:val="18"/>
          <w:szCs w:val="18"/>
          <w:u w:val="single" w:color="auto"/>
          <w:color w:val="auto"/>
        </w:rPr>
        <w:t>d</w:t>
      </w:r>
      <w:r>
        <w:rPr>
          <w:rFonts w:ascii="Arial" w:cs="Arial" w:eastAsia="Arial" w:hAnsi="Arial"/>
          <w:sz w:val="18"/>
          <w:szCs w:val="18"/>
          <w:color w:val="auto"/>
        </w:rPr>
        <w:t>) A proxy statement responsive to the requirements of the Securities Exchange Act of 1934, as amended, whether or not the Corporation is then subject to such requirements, shall be mailed to the</w:t>
      </w:r>
    </w:p>
    <w:p>
      <w:pPr>
        <w:spacing w:after="0" w:line="2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P90</w:t>
      </w:r>
    </w:p>
    <w:p>
      <w:pPr>
        <w:sectPr>
          <w:pgSz w:w="11900" w:h="16838" w:orient="portrait"/>
          <w:cols w:equalWidth="0" w:num="1">
            <w:col w:w="11420"/>
          </w:cols>
          <w:pgMar w:left="240" w:top="598" w:right="239" w:bottom="1440" w:gutter="0" w:footer="0" w:header="0"/>
        </w:sectPr>
      </w:pPr>
    </w:p>
    <w:bookmarkStart w:id="94" w:name="page95"/>
    <w:bookmarkEnd w:id="94"/>
    <w:p>
      <w:pPr>
        <w:ind w:left="4" w:right="80"/>
        <w:spacing w:after="0" w:line="252" w:lineRule="auto"/>
        <w:rPr>
          <w:sz w:val="20"/>
          <w:szCs w:val="20"/>
          <w:color w:val="auto"/>
        </w:rPr>
      </w:pPr>
      <w:r>
        <w:rPr>
          <w:rFonts w:ascii="Arial" w:cs="Arial" w:eastAsia="Arial" w:hAnsi="Arial"/>
          <w:sz w:val="18"/>
          <w:szCs w:val="18"/>
          <w:color w:val="auto"/>
        </w:rPr>
        <w:t>shareholders of the Corporation for the purpose of soliciting shareholder approval of such action or transaction and shall contain at the front thereof, in a prominent place, any recommendations as to the advisability or inadvisability of the action or transaction which the Continuing Directors may choose to state and, if deemed advisable by a majority of the Continuing Directors, the opinion of an investment banking firm selected by a majority of the Continuing Directors as to the fairness (or not) of the terms of the action or transaction from a financial point of view to the Remaining Public Shareholders, such investment banking firm to be paid a reasonable fee for its services by the Corporation. The requirements of this paragraph (</w:t>
      </w:r>
      <w:r>
        <w:rPr>
          <w:rFonts w:ascii="Arial" w:cs="Arial" w:eastAsia="Arial" w:hAnsi="Arial"/>
          <w:sz w:val="18"/>
          <w:szCs w:val="18"/>
          <w:color w:val="auto"/>
          <w:strike w:val="1"/>
        </w:rPr>
        <w:t>e</w:t>
      </w:r>
      <w:r>
        <w:rPr>
          <w:rFonts w:ascii="Arial" w:cs="Arial" w:eastAsia="Arial" w:hAnsi="Arial"/>
          <w:sz w:val="18"/>
          <w:szCs w:val="18"/>
          <w:u w:val="single" w:color="auto"/>
          <w:color w:val="auto"/>
        </w:rPr>
        <w:t>d</w:t>
      </w:r>
      <w:r>
        <w:rPr>
          <w:rFonts w:ascii="Arial" w:cs="Arial" w:eastAsia="Arial" w:hAnsi="Arial"/>
          <w:sz w:val="18"/>
          <w:szCs w:val="18"/>
          <w:color w:val="auto"/>
        </w:rPr>
        <w:t>) shall not apply to any such action or transaction which is approved by a majority of the Continuing Directors.</w:t>
      </w:r>
    </w:p>
    <w:p>
      <w:pPr>
        <w:spacing w:after="0" w:line="207"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auto"/>
          <w:strike w:val="1"/>
        </w:rPr>
        <w:t>f</w:t>
      </w:r>
      <w:r>
        <w:rPr>
          <w:rFonts w:ascii="Arial" w:cs="Arial" w:eastAsia="Arial" w:hAnsi="Arial"/>
          <w:sz w:val="18"/>
          <w:szCs w:val="18"/>
          <w:u w:val="single" w:color="auto"/>
          <w:color w:val="auto"/>
        </w:rPr>
        <w:t>e</w:t>
      </w:r>
      <w:r>
        <w:rPr>
          <w:rFonts w:ascii="Arial" w:cs="Arial" w:eastAsia="Arial" w:hAnsi="Arial"/>
          <w:sz w:val="18"/>
          <w:szCs w:val="18"/>
          <w:color w:val="auto"/>
        </w:rPr>
        <w:t>) For the purpose of this Article 13</w:t>
      </w:r>
    </w:p>
    <w:p>
      <w:pPr>
        <w:spacing w:after="0" w:line="225" w:lineRule="exact"/>
        <w:rPr>
          <w:sz w:val="20"/>
          <w:szCs w:val="20"/>
          <w:color w:val="auto"/>
        </w:rPr>
      </w:pPr>
    </w:p>
    <w:p>
      <w:pPr>
        <w:ind w:left="324" w:right="20"/>
        <w:spacing w:after="0" w:line="252" w:lineRule="auto"/>
        <w:tabs>
          <w:tab w:leader="none" w:pos="534" w:val="left"/>
        </w:tabs>
        <w:numPr>
          <w:ilvl w:val="0"/>
          <w:numId w:val="126"/>
        </w:numPr>
        <w:rPr>
          <w:rFonts w:ascii="Arial" w:cs="Arial" w:eastAsia="Arial" w:hAnsi="Arial"/>
          <w:sz w:val="18"/>
          <w:szCs w:val="18"/>
          <w:color w:val="auto"/>
        </w:rPr>
      </w:pPr>
      <w:r>
        <w:rPr>
          <w:rFonts w:ascii="Arial" w:cs="Arial" w:eastAsia="Arial" w:hAnsi="Arial"/>
          <w:sz w:val="18"/>
          <w:szCs w:val="18"/>
          <w:color w:val="auto"/>
        </w:rPr>
        <w:t xml:space="preserve">the term "Related Person" shall mean any other corporation, person, or entity which beneficially owns or controls, directly or indirectly, 5% or more of the outstanding shares of Voting Stock, and any Affiliate or Associate (as those terms are defined in the General Rules and Regulations under the Securities Exchange Act of 1934) of a Related Person;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term Related Person shall not include (a) the Corporation or any of its subsidiaries, (b) any profit-sharing, employee stock ownership or other employee benefit plan of the Corporation or any subsidiary of the Corporation or any trustee of or fiduciary with respect to any such plan when acting in such capacity, or (c) Lilly Endowment, Inc.; and </w:t>
      </w:r>
      <w:r>
        <w:rPr>
          <w:rFonts w:ascii="Arial" w:cs="Arial" w:eastAsia="Arial" w:hAnsi="Arial"/>
          <w:sz w:val="18"/>
          <w:szCs w:val="18"/>
          <w:i w:val="1"/>
          <w:iCs w:val="1"/>
          <w:color w:val="auto"/>
        </w:rPr>
        <w:t>further provided,</w:t>
      </w:r>
      <w:r>
        <w:rPr>
          <w:rFonts w:ascii="Arial" w:cs="Arial" w:eastAsia="Arial" w:hAnsi="Arial"/>
          <w:sz w:val="18"/>
          <w:szCs w:val="18"/>
          <w:color w:val="auto"/>
        </w:rPr>
        <w:t xml:space="preserve"> that no corporation, person, or entity shall be deemed to be a Related Person solely by reason of being an Affiliate or Associate of Lilly Endowment, Inc.;</w:t>
      </w:r>
    </w:p>
    <w:p>
      <w:pPr>
        <w:spacing w:after="0" w:line="207" w:lineRule="exact"/>
        <w:rPr>
          <w:rFonts w:ascii="Arial" w:cs="Arial" w:eastAsia="Arial" w:hAnsi="Arial"/>
          <w:sz w:val="18"/>
          <w:szCs w:val="18"/>
          <w:color w:val="auto"/>
        </w:rPr>
      </w:pPr>
    </w:p>
    <w:p>
      <w:pPr>
        <w:ind w:left="324" w:right="40"/>
        <w:spacing w:after="0" w:line="262" w:lineRule="auto"/>
        <w:tabs>
          <w:tab w:leader="none" w:pos="574"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 Related Person shall be deemed to own or control, directly or indirectly, any outstanding shares of Voting Stock owned by it or any Affiliate or Associate of record or beneficially, including without limitation shares</w:t>
      </w:r>
    </w:p>
    <w:p>
      <w:pPr>
        <w:spacing w:after="0" w:line="196" w:lineRule="exact"/>
        <w:rPr>
          <w:rFonts w:ascii="Arial" w:cs="Arial" w:eastAsia="Arial" w:hAnsi="Arial"/>
          <w:sz w:val="18"/>
          <w:szCs w:val="18"/>
          <w:color w:val="auto"/>
        </w:rPr>
      </w:pPr>
    </w:p>
    <w:p>
      <w:pPr>
        <w:ind w:left="644" w:right="260" w:firstLine="5"/>
        <w:spacing w:after="0" w:line="262" w:lineRule="auto"/>
        <w:tabs>
          <w:tab w:leader="none" w:pos="844" w:val="left"/>
        </w:tabs>
        <w:numPr>
          <w:ilvl w:val="1"/>
          <w:numId w:val="126"/>
        </w:numPr>
        <w:rPr>
          <w:rFonts w:ascii="Arial" w:cs="Arial" w:eastAsia="Arial" w:hAnsi="Arial"/>
          <w:sz w:val="18"/>
          <w:szCs w:val="18"/>
          <w:color w:val="auto"/>
        </w:rPr>
      </w:pPr>
      <w:r>
        <w:rPr>
          <w:rFonts w:ascii="Arial" w:cs="Arial" w:eastAsia="Arial" w:hAnsi="Arial"/>
          <w:sz w:val="18"/>
          <w:szCs w:val="18"/>
          <w:color w:val="auto"/>
        </w:rPr>
        <w:t>which it has the right to acquire pursuant to any agreement, or upon exercise of conversion rights, warrants, or options, or otherwise or</w:t>
      </w:r>
    </w:p>
    <w:p>
      <w:pPr>
        <w:spacing w:after="0" w:line="196" w:lineRule="exact"/>
        <w:rPr>
          <w:rFonts w:ascii="Arial" w:cs="Arial" w:eastAsia="Arial" w:hAnsi="Arial"/>
          <w:sz w:val="18"/>
          <w:szCs w:val="18"/>
          <w:color w:val="auto"/>
        </w:rPr>
      </w:pPr>
    </w:p>
    <w:p>
      <w:pPr>
        <w:ind w:left="644" w:right="100" w:firstLine="5"/>
        <w:spacing w:after="0" w:line="254" w:lineRule="auto"/>
        <w:tabs>
          <w:tab w:leader="none" w:pos="844" w:val="left"/>
        </w:tabs>
        <w:numPr>
          <w:ilvl w:val="1"/>
          <w:numId w:val="126"/>
        </w:numPr>
        <w:rPr>
          <w:rFonts w:ascii="Arial" w:cs="Arial" w:eastAsia="Arial" w:hAnsi="Arial"/>
          <w:sz w:val="18"/>
          <w:szCs w:val="18"/>
          <w:color w:val="auto"/>
        </w:rPr>
      </w:pPr>
      <w:r>
        <w:rPr>
          <w:rFonts w:ascii="Arial" w:cs="Arial" w:eastAsia="Arial" w:hAnsi="Arial"/>
          <w:sz w:val="18"/>
          <w:szCs w:val="18"/>
          <w:color w:val="auto"/>
        </w:rPr>
        <w:t>which are beneficially owned, directly or indirectly (including shares deemed owned through application of clause a. above), by any other corporation, person, or other entity with which it or its Affiliate or Associate has any agreement, arrangement, or understanding for the purpose of acquiring, holding, voting, or disposing of Voting Stock, or which is its Affiliate (other than the Corporation) or Associate (other than the Corporation);</w:t>
      </w:r>
    </w:p>
    <w:p>
      <w:pPr>
        <w:spacing w:after="0" w:line="204" w:lineRule="exact"/>
        <w:rPr>
          <w:rFonts w:ascii="Arial" w:cs="Arial" w:eastAsia="Arial" w:hAnsi="Arial"/>
          <w:sz w:val="18"/>
          <w:szCs w:val="18"/>
          <w:color w:val="auto"/>
        </w:rPr>
      </w:pPr>
    </w:p>
    <w:p>
      <w:pPr>
        <w:ind w:left="324" w:right="20"/>
        <w:spacing w:after="0" w:line="262" w:lineRule="auto"/>
        <w:tabs>
          <w:tab w:leader="none" w:pos="614"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term "Voting Stock" shall mean all shares of any class of capital stock of the Corporation which are entitled to vote generally in the election of directors;</w:t>
      </w:r>
    </w:p>
    <w:p>
      <w:pPr>
        <w:spacing w:after="0" w:line="196" w:lineRule="exact"/>
        <w:rPr>
          <w:rFonts w:ascii="Arial" w:cs="Arial" w:eastAsia="Arial" w:hAnsi="Arial"/>
          <w:sz w:val="18"/>
          <w:szCs w:val="18"/>
          <w:color w:val="auto"/>
        </w:rPr>
      </w:pPr>
    </w:p>
    <w:p>
      <w:pPr>
        <w:ind w:left="324" w:right="40"/>
        <w:spacing w:after="0" w:line="250" w:lineRule="auto"/>
        <w:tabs>
          <w:tab w:leader="none" w:pos="624"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term "Continuing Director" shall mean a director who is not an Affiliate or Associate or representative of a Related Person and who was a member of the Board of Directors of the Corporation immediately prior to the time that any Related Person involved in the proposed action or transaction became a Related Person or a director who is not an Affiliate or Associate or representative of a Related Person and who was nominated by a majority of the remaining Continuing Directors; and</w:t>
      </w:r>
    </w:p>
    <w:p>
      <w:pPr>
        <w:spacing w:after="0" w:line="1" w:lineRule="exact"/>
        <w:rPr>
          <w:rFonts w:ascii="Arial" w:cs="Arial" w:eastAsia="Arial" w:hAnsi="Arial"/>
          <w:sz w:val="18"/>
          <w:szCs w:val="18"/>
          <w:color w:val="auto"/>
        </w:rPr>
      </w:pPr>
    </w:p>
    <w:p>
      <w:pPr>
        <w:ind w:left="324" w:right="480"/>
        <w:spacing w:after="0" w:line="262" w:lineRule="auto"/>
        <w:tabs>
          <w:tab w:leader="none" w:pos="584"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term "Remaining Public Shareholders" shall mean the holders of the Corporation's capital stock other than the Related Person.</w:t>
      </w:r>
    </w:p>
    <w:p>
      <w:pPr>
        <w:spacing w:after="0" w:line="196" w:lineRule="exact"/>
        <w:rPr>
          <w:sz w:val="20"/>
          <w:szCs w:val="20"/>
          <w:color w:val="auto"/>
        </w:rPr>
      </w:pPr>
    </w:p>
    <w:p>
      <w:pPr>
        <w:ind w:left="4" w:right="40"/>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color w:val="auto"/>
          <w:strike w:val="1"/>
        </w:rPr>
        <w:t>g</w:t>
      </w:r>
      <w:r>
        <w:rPr>
          <w:rFonts w:ascii="Arial" w:cs="Arial" w:eastAsia="Arial" w:hAnsi="Arial"/>
          <w:sz w:val="18"/>
          <w:szCs w:val="18"/>
          <w:u w:val="single" w:color="auto"/>
          <w:color w:val="auto"/>
        </w:rPr>
        <w:t>f</w:t>
      </w:r>
      <w:r>
        <w:rPr>
          <w:rFonts w:ascii="Arial" w:cs="Arial" w:eastAsia="Arial" w:hAnsi="Arial"/>
          <w:sz w:val="18"/>
          <w:szCs w:val="18"/>
          <w:color w:val="auto"/>
        </w:rPr>
        <w:t>) A majority of the Continuing Directors of the Corporation shall have the power and duty to determine for the purposes of this Article 13, on the basis of information then known to the Continuing Directors, whether</w:t>
      </w:r>
    </w:p>
    <w:p>
      <w:pPr>
        <w:spacing w:after="0" w:line="1" w:lineRule="exact"/>
        <w:rPr>
          <w:sz w:val="20"/>
          <w:szCs w:val="20"/>
          <w:color w:val="auto"/>
        </w:rPr>
      </w:pPr>
    </w:p>
    <w:p>
      <w:pPr>
        <w:ind w:left="4" w:right="420" w:hanging="4"/>
        <w:spacing w:after="0" w:line="254" w:lineRule="auto"/>
        <w:tabs>
          <w:tab w:leader="none" w:pos="214"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any Related Person exists or is an Affiliate or an Associate of another and (ii) any proposed sale, lease, exchange, or other disposition of part of the assets of the Corporation or any majority-owned subsidiary involves a substantial part of the assets of the Corporation or any of its subsidiaries. Any such determination by the Continuing Directors shall be conclusive and binding for all purposes.</w:t>
      </w:r>
    </w:p>
    <w:p>
      <w:pPr>
        <w:spacing w:after="0" w:line="204" w:lineRule="exact"/>
        <w:rPr>
          <w:sz w:val="20"/>
          <w:szCs w:val="20"/>
          <w:color w:val="auto"/>
        </w:rPr>
      </w:pPr>
    </w:p>
    <w:p>
      <w:pPr>
        <w:ind w:left="4" w:right="26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color w:val="auto"/>
          <w:strike w:val="1"/>
        </w:rPr>
        <w:t>h</w:t>
      </w:r>
      <w:r>
        <w:rPr>
          <w:rFonts w:ascii="Arial" w:cs="Arial" w:eastAsia="Arial" w:hAnsi="Arial"/>
          <w:sz w:val="18"/>
          <w:szCs w:val="18"/>
          <w:u w:val="single" w:color="auto"/>
          <w:color w:val="auto"/>
        </w:rPr>
        <w:t>g</w:t>
      </w:r>
      <w:r>
        <w:rPr>
          <w:rFonts w:ascii="Arial" w:cs="Arial" w:eastAsia="Arial" w:hAnsi="Arial"/>
          <w:sz w:val="18"/>
          <w:szCs w:val="18"/>
          <w:color w:val="auto"/>
        </w:rPr>
        <w:t>) Nothing contained in this Article 13 shall be construed to relieve any Related Person or any Affiliate or Associate of any Related Person from any fiduciary obligation imposed by law.</w:t>
      </w:r>
    </w:p>
    <w:p>
      <w:pPr>
        <w:spacing w:after="0" w:line="196" w:lineRule="exact"/>
        <w:rPr>
          <w:sz w:val="20"/>
          <w:szCs w:val="20"/>
          <w:color w:val="auto"/>
        </w:rPr>
      </w:pPr>
    </w:p>
    <w:p>
      <w:pPr>
        <w:jc w:val="both"/>
        <w:ind w:left="4" w:right="120"/>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color w:val="auto"/>
          <w:strike w:val="1"/>
        </w:rPr>
        <w:t>i</w:t>
      </w:r>
      <w:r>
        <w:rPr>
          <w:rFonts w:ascii="Arial" w:cs="Arial" w:eastAsia="Arial" w:hAnsi="Arial"/>
          <w:sz w:val="18"/>
          <w:szCs w:val="18"/>
          <w:u w:val="single" w:color="auto"/>
          <w:color w:val="auto"/>
        </w:rPr>
        <w:t>h</w:t>
      </w:r>
      <w:r>
        <w:rPr>
          <w:rFonts w:ascii="Arial" w:cs="Arial" w:eastAsia="Arial" w:hAnsi="Arial"/>
          <w:sz w:val="18"/>
          <w:szCs w:val="18"/>
          <w:color w:val="auto"/>
        </w:rPr>
        <w:t>) The fact that any action or transaction complies with the provisions of this Article 13 shall not be construed to waive or satisfy any other requirement of law or these Amended Articles of Incorporation or to impose any fiduciary duty, obligation, or responsibility on the Board of Directors or any member thereof, to</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P91</w:t>
      </w:r>
    </w:p>
    <w:p>
      <w:pPr>
        <w:sectPr>
          <w:pgSz w:w="11900" w:h="16838" w:orient="portrait"/>
          <w:cols w:equalWidth="0" w:num="1">
            <w:col w:w="10764"/>
          </w:cols>
          <w:pgMar w:left="896" w:top="598" w:right="239" w:bottom="1440" w:gutter="0" w:footer="0" w:header="0"/>
        </w:sectPr>
      </w:pPr>
    </w:p>
    <w:bookmarkStart w:id="95" w:name="page96"/>
    <w:bookmarkEnd w:id="95"/>
    <w:p>
      <w:pPr>
        <w:ind w:left="4" w:right="180"/>
        <w:spacing w:after="0" w:line="252" w:lineRule="auto"/>
        <w:rPr>
          <w:sz w:val="20"/>
          <w:szCs w:val="20"/>
          <w:color w:val="auto"/>
        </w:rPr>
      </w:pPr>
      <w:r>
        <w:rPr>
          <w:rFonts w:ascii="Arial" w:cs="Arial" w:eastAsia="Arial" w:hAnsi="Arial"/>
          <w:sz w:val="18"/>
          <w:szCs w:val="18"/>
          <w:color w:val="auto"/>
        </w:rPr>
        <w:t>approve such action or transaction or recommend its adoption or approval to the shareholders of the Corporation, nor shall such compliance limit, prohibit, or otherwise restrict in any manner the Board of Directors, or any member thereof, with respect to evaluations of or actions and responses taken with respect to such action or transaction. The Board of Directors of the Corporation, when evaluating any actions or transactions described in paragraph (a) of this Article 13, shall, in connection with the exercise of its judgment in determining what is in the best interests of the Corporation and its shareholders, give due consideration to all relevant factors, including without limitation the social and economic effects on the employees, customers, suppliers, and other constituents of the Corporation and its subsidiaries and on the communities in which the Corporation and its subsidiaries operate or are located.</w:t>
      </w:r>
    </w:p>
    <w:p>
      <w:pPr>
        <w:spacing w:after="0" w:line="207" w:lineRule="exact"/>
        <w:rPr>
          <w:sz w:val="20"/>
          <w:szCs w:val="20"/>
          <w:color w:val="auto"/>
        </w:rPr>
      </w:pPr>
    </w:p>
    <w:p>
      <w:pPr>
        <w:ind w:left="4" w:hanging="4"/>
        <w:spacing w:after="0" w:line="254" w:lineRule="auto"/>
        <w:tabs>
          <w:tab w:leader="none" w:pos="214" w:val="left"/>
        </w:tabs>
        <w:numPr>
          <w:ilvl w:val="0"/>
          <w:numId w:val="128"/>
        </w:numPr>
        <w:rPr>
          <w:rFonts w:ascii="Arial" w:cs="Arial" w:eastAsia="Arial" w:hAnsi="Arial"/>
          <w:sz w:val="18"/>
          <w:szCs w:val="18"/>
          <w:color w:val="auto"/>
          <w:strike w:val="1"/>
        </w:rPr>
      </w:pPr>
      <w:r>
        <w:rPr>
          <w:rFonts w:ascii="Arial" w:cs="Arial" w:eastAsia="Arial" w:hAnsi="Arial"/>
          <w:sz w:val="18"/>
          <w:szCs w:val="18"/>
          <w:color w:val="auto"/>
          <w:strike w:val="1"/>
        </w:rPr>
        <w:t>Notwithstanding any other provision of these Amended Articles of Incorporation or of law which might otherwise permit a lesser vote or no vote, but in addition to any affirmative vote of the holders of any particular class of Voting Stock required by law or these Amended Articles of Incorporation, the affirmative vote of the holders of at least 80% of the votes entitled to be cast by holders of all the outstanding shares of Voting Stock, voting together as a single class, shall be required to alter, amend, or repeal this Article 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P92</w:t>
      </w:r>
    </w:p>
    <w:p>
      <w:pPr>
        <w:sectPr>
          <w:pgSz w:w="11900" w:h="16838" w:orient="portrait"/>
          <w:cols w:equalWidth="0" w:num="1">
            <w:col w:w="10764"/>
          </w:cols>
          <w:pgMar w:left="896" w:top="598" w:right="239" w:bottom="1440" w:gutter="0" w:footer="0" w:header="0"/>
        </w:sectPr>
      </w:pPr>
    </w:p>
    <w:bookmarkStart w:id="96" w:name="page97"/>
    <w:bookmarkEnd w:id="96"/>
    <w:p>
      <w:pPr>
        <w:spacing w:after="0"/>
        <w:rPr>
          <w:sz w:val="20"/>
          <w:szCs w:val="20"/>
          <w:color w:val="auto"/>
        </w:rPr>
      </w:pPr>
      <w:r>
        <w:rPr>
          <w:rFonts w:ascii="Arial" w:cs="Arial" w:eastAsia="Arial" w:hAnsi="Arial"/>
          <w:sz w:val="29"/>
          <w:szCs w:val="29"/>
          <w:b w:val="1"/>
          <w:bCs w:val="1"/>
          <w:color w:val="FF0000"/>
        </w:rPr>
        <w:t>Appendix C - Proposed Amended and Restated 2002 Lilly Stock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720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2002 LILLY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(Effective May 07, 2018)</w:t>
      </w:r>
    </w:p>
    <w:p>
      <w:pPr>
        <w:spacing w:after="0" w:line="200" w:lineRule="exact"/>
        <w:rPr>
          <w:sz w:val="20"/>
          <w:szCs w:val="20"/>
          <w:color w:val="auto"/>
        </w:rPr>
      </w:pPr>
    </w:p>
    <w:p>
      <w:pPr>
        <w:spacing w:after="0" w:line="246" w:lineRule="exact"/>
        <w:rPr>
          <w:sz w:val="20"/>
          <w:szCs w:val="20"/>
          <w:color w:val="auto"/>
        </w:rPr>
      </w:pPr>
    </w:p>
    <w:p>
      <w:pPr>
        <w:spacing w:after="0"/>
        <w:tabs>
          <w:tab w:leader="none" w:pos="2460" w:val="left"/>
        </w:tabs>
        <w:rPr>
          <w:sz w:val="20"/>
          <w:szCs w:val="20"/>
          <w:color w:val="auto"/>
        </w:rPr>
      </w:pPr>
      <w:r>
        <w:rPr>
          <w:rFonts w:ascii="Arial" w:cs="Arial" w:eastAsia="Arial" w:hAnsi="Arial"/>
          <w:sz w:val="18"/>
          <w:szCs w:val="18"/>
          <w:b w:val="1"/>
          <w:bCs w:val="1"/>
          <w:color w:val="auto"/>
        </w:rPr>
        <w:t>ARTICLE 1.</w:t>
      </w:r>
      <w:r>
        <w:rPr>
          <w:sz w:val="20"/>
          <w:szCs w:val="20"/>
          <w:color w:val="auto"/>
        </w:rPr>
        <w:tab/>
      </w:r>
      <w:r>
        <w:rPr>
          <w:rFonts w:ascii="Arial" w:cs="Arial" w:eastAsia="Arial" w:hAnsi="Arial"/>
          <w:sz w:val="18"/>
          <w:szCs w:val="18"/>
          <w:b w:val="1"/>
          <w:bCs w:val="1"/>
          <w:color w:val="auto"/>
        </w:rPr>
        <w:t>PURPOSES OF THE PLAN</w:t>
      </w:r>
    </w:p>
    <w:p>
      <w:pPr>
        <w:spacing w:after="0" w:line="26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believes that this Amended and Restated 2002 Lilly Stock Plan, as amended from time to time (the “</w:t>
      </w:r>
      <w:r>
        <w:rPr>
          <w:rFonts w:ascii="Arial" w:cs="Arial" w:eastAsia="Arial" w:hAnsi="Arial"/>
          <w:sz w:val="18"/>
          <w:szCs w:val="18"/>
          <w:u w:val="single" w:color="auto"/>
          <w:color w:val="auto"/>
        </w:rPr>
        <w:t>Plan</w:t>
      </w:r>
      <w:r>
        <w:rPr>
          <w:rFonts w:ascii="Arial" w:cs="Arial" w:eastAsia="Arial" w:hAnsi="Arial"/>
          <w:sz w:val="18"/>
          <w:szCs w:val="18"/>
          <w:color w:val="auto"/>
        </w:rPr>
        <w:t>”), will benefit the Company’s shareholders by allowing the Company to attract, motivate and retain the best available Employees and Directors and by providing those Employees and Directors stock-based incentives to strengthen the alignment of interests between those persons and the Company’s shareholders.</w:t>
      </w:r>
    </w:p>
    <w:p>
      <w:pPr>
        <w:spacing w:after="0" w:line="209" w:lineRule="exact"/>
        <w:rPr>
          <w:sz w:val="20"/>
          <w:szCs w:val="20"/>
          <w:color w:val="auto"/>
        </w:rPr>
      </w:pPr>
    </w:p>
    <w:p>
      <w:pPr>
        <w:spacing w:after="0"/>
        <w:tabs>
          <w:tab w:leader="none" w:pos="2460" w:val="left"/>
        </w:tabs>
        <w:rPr>
          <w:sz w:val="20"/>
          <w:szCs w:val="20"/>
          <w:color w:val="auto"/>
        </w:rPr>
      </w:pPr>
      <w:r>
        <w:rPr>
          <w:rFonts w:ascii="Arial" w:cs="Arial" w:eastAsia="Arial" w:hAnsi="Arial"/>
          <w:sz w:val="18"/>
          <w:szCs w:val="18"/>
          <w:b w:val="1"/>
          <w:bCs w:val="1"/>
          <w:color w:val="auto"/>
        </w:rPr>
        <w:t>ARTICLE 2.</w:t>
      </w:r>
      <w:r>
        <w:rPr>
          <w:sz w:val="20"/>
          <w:szCs w:val="20"/>
          <w:color w:val="auto"/>
        </w:rPr>
        <w:tab/>
      </w:r>
      <w:r>
        <w:rPr>
          <w:rFonts w:ascii="Arial" w:cs="Arial" w:eastAsia="Arial" w:hAnsi="Arial"/>
          <w:sz w:val="17"/>
          <w:szCs w:val="17"/>
          <w:b w:val="1"/>
          <w:bCs w:val="1"/>
          <w:color w:val="auto"/>
        </w:rPr>
        <w:t>DEFINITIONS</w:t>
      </w:r>
    </w:p>
    <w:p>
      <w:pPr>
        <w:spacing w:after="0" w:line="26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Wherever the following terms are used in the Plan, they shall have the meanings specified below, unless the context clearly indicates otherwise. The singular pronoun shall include the plural where the context so indicates.</w:t>
      </w:r>
    </w:p>
    <w:p>
      <w:pPr>
        <w:spacing w:after="0" w:line="196"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2.1 “</w:t>
      </w:r>
      <w:r>
        <w:rPr>
          <w:rFonts w:ascii="Arial" w:cs="Arial" w:eastAsia="Arial" w:hAnsi="Arial"/>
          <w:sz w:val="18"/>
          <w:szCs w:val="18"/>
          <w:u w:val="single" w:color="auto"/>
          <w:color w:val="auto"/>
        </w:rPr>
        <w:t>Affiliate</w:t>
      </w:r>
      <w:r>
        <w:rPr>
          <w:rFonts w:ascii="Arial" w:cs="Arial" w:eastAsia="Arial" w:hAnsi="Arial"/>
          <w:sz w:val="18"/>
          <w:szCs w:val="18"/>
          <w:color w:val="auto"/>
        </w:rPr>
        <w:t>” shall have the meaning given to such term in Rule 12b-2 promulgated under the Exchange Act. The Board shall have the authority to determine the time or times at which “Affiliate” status is determined within the foregoing definition.</w:t>
      </w:r>
    </w:p>
    <w:p>
      <w:pPr>
        <w:spacing w:after="0" w:line="19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2.2 “</w:t>
      </w:r>
      <w:r>
        <w:rPr>
          <w:rFonts w:ascii="Arial" w:cs="Arial" w:eastAsia="Arial" w:hAnsi="Arial"/>
          <w:sz w:val="18"/>
          <w:szCs w:val="18"/>
          <w:u w:val="single" w:color="auto"/>
          <w:color w:val="auto"/>
        </w:rPr>
        <w:t>Applicable Laws</w:t>
      </w:r>
      <w:r>
        <w:rPr>
          <w:rFonts w:ascii="Arial" w:cs="Arial" w:eastAsia="Arial" w:hAnsi="Arial"/>
          <w:sz w:val="18"/>
          <w:szCs w:val="18"/>
          <w:color w:val="auto"/>
        </w:rPr>
        <w:t>” means the requirements relating to the administration of equity-based and cash-based awards, as applicable, and the related issuance of Shares under U.S. state corporate laws, U.S. federal and state and non-U.S. securities laws, the Code, any stock exchange or quotation system on which the Common Stock is listed or quoted and the applicable laws of any non-U.S. country or jurisdiction where Awards are, or will be, granted under the Plan.</w:t>
      </w:r>
    </w:p>
    <w:p>
      <w:pPr>
        <w:spacing w:after="0" w:line="204"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2.3 “</w:t>
      </w:r>
      <w:r>
        <w:rPr>
          <w:rFonts w:ascii="Arial" w:cs="Arial" w:eastAsia="Arial" w:hAnsi="Arial"/>
          <w:sz w:val="18"/>
          <w:szCs w:val="18"/>
          <w:u w:val="single" w:color="auto"/>
          <w:color w:val="auto"/>
        </w:rPr>
        <w:t>Award</w:t>
      </w:r>
      <w:r>
        <w:rPr>
          <w:rFonts w:ascii="Arial" w:cs="Arial" w:eastAsia="Arial" w:hAnsi="Arial"/>
          <w:sz w:val="18"/>
          <w:szCs w:val="18"/>
          <w:color w:val="auto"/>
        </w:rPr>
        <w:t>” means an Option, Restricted Stock Units, Restricted Stock, a Stock Appreciation Right, Dividend Equivalent Rights, an Other Share-Based Award or a Performance-Based Award granted to a Participant pursuant to the Plan.</w:t>
      </w:r>
    </w:p>
    <w:p>
      <w:pPr>
        <w:spacing w:after="0" w:line="196"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2.4 “</w:t>
      </w:r>
      <w:r>
        <w:rPr>
          <w:rFonts w:ascii="Arial" w:cs="Arial" w:eastAsia="Arial" w:hAnsi="Arial"/>
          <w:sz w:val="18"/>
          <w:szCs w:val="18"/>
          <w:u w:val="single" w:color="auto"/>
          <w:color w:val="auto"/>
        </w:rPr>
        <w:t>Award Agreement</w:t>
      </w:r>
      <w:r>
        <w:rPr>
          <w:rFonts w:ascii="Arial" w:cs="Arial" w:eastAsia="Arial" w:hAnsi="Arial"/>
          <w:sz w:val="18"/>
          <w:szCs w:val="18"/>
          <w:color w:val="auto"/>
        </w:rPr>
        <w:t>” means any written agreement, contract, or other instrument or document evidencing the terms and conditions of an Award, including through electronic medium.</w:t>
      </w:r>
    </w:p>
    <w:p>
      <w:pPr>
        <w:spacing w:after="0" w:line="196"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Board</w:t>
      </w:r>
      <w:r>
        <w:rPr>
          <w:rFonts w:ascii="Arial" w:cs="Arial" w:eastAsia="Arial" w:hAnsi="Arial"/>
          <w:sz w:val="17"/>
          <w:szCs w:val="17"/>
          <w:color w:val="auto"/>
        </w:rPr>
        <w:t>” means the board of directors of the Company.</w:t>
      </w:r>
    </w:p>
    <w:p>
      <w:pPr>
        <w:spacing w:after="0" w:line="22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Change in Control</w:t>
      </w:r>
      <w:r>
        <w:rPr>
          <w:rFonts w:ascii="Arial" w:cs="Arial" w:eastAsia="Arial" w:hAnsi="Arial"/>
          <w:sz w:val="17"/>
          <w:szCs w:val="17"/>
          <w:color w:val="auto"/>
        </w:rPr>
        <w:t>” means and includes each of the following:</w:t>
      </w:r>
    </w:p>
    <w:p>
      <w:pPr>
        <w:spacing w:after="0" w:line="225" w:lineRule="exact"/>
        <w:rPr>
          <w:sz w:val="20"/>
          <w:szCs w:val="20"/>
          <w:color w:val="auto"/>
        </w:rPr>
      </w:pPr>
    </w:p>
    <w:p>
      <w:pPr>
        <w:jc w:val="both"/>
        <w:ind w:left="180" w:firstLine="1125"/>
        <w:spacing w:after="0" w:line="252" w:lineRule="auto"/>
        <w:tabs>
          <w:tab w:leader="none" w:pos="1774"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acquisition by any “person,” as that term is used in Sections 13(d) and 14(d) of the Exchange Act (other than (i) the Company, (ii) any subsidiary of the Company, (iii) any employee benefit plan or employee stock plan of the Company or a subsidiary of the Company or any trustee or fiduciary with respect to any such plan when acting in that capacity, or (iv) Lilly Endowment, Inc.) of “beneficial ownership,” as defined in Rule 13d-3 under the Exchange Act, directly or indirectly, of twenty percent (20%) or more of the shares of the Company’s capital stock the holders of which have general voting power under ordinary circumstances to elect at least a majority of the Board (or which would have such voting power but for the application of the Indiana Control Shares Statute) (“Voting Stock”); provided, however, that an acquisition of Voting Stock directly from the Company shall not constitute a Change in Control under this Section 2.6(a);</w:t>
      </w:r>
    </w:p>
    <w:p>
      <w:pPr>
        <w:spacing w:after="0" w:line="207" w:lineRule="exact"/>
        <w:rPr>
          <w:rFonts w:ascii="Arial" w:cs="Arial" w:eastAsia="Arial" w:hAnsi="Arial"/>
          <w:sz w:val="18"/>
          <w:szCs w:val="18"/>
          <w:color w:val="auto"/>
        </w:rPr>
      </w:pPr>
    </w:p>
    <w:p>
      <w:pPr>
        <w:ind w:left="180" w:right="20" w:firstLine="1125"/>
        <w:spacing w:after="0" w:line="262" w:lineRule="auto"/>
        <w:tabs>
          <w:tab w:leader="none" w:pos="1758"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first day on which less than one-half of the total membership of the Board shall be Continuing Directors (as that term is defined in Section 13(f) of the Company's Articles of Incorporation);</w:t>
      </w:r>
    </w:p>
    <w:p>
      <w:pPr>
        <w:spacing w:after="0" w:line="196" w:lineRule="exact"/>
        <w:rPr>
          <w:rFonts w:ascii="Arial" w:cs="Arial" w:eastAsia="Arial" w:hAnsi="Arial"/>
          <w:sz w:val="18"/>
          <w:szCs w:val="18"/>
          <w:color w:val="auto"/>
        </w:rPr>
      </w:pPr>
    </w:p>
    <w:p>
      <w:pPr>
        <w:jc w:val="both"/>
        <w:ind w:left="180" w:firstLine="1125"/>
        <w:spacing w:after="0" w:line="256" w:lineRule="auto"/>
        <w:tabs>
          <w:tab w:leader="none" w:pos="174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consummation of a merger, share exchange, or consolidation of the Company (a “Transaction”), other than a Transaction which would result in the Voting Stock of the Company outstanding immediately prior thereto continuing to represent (either by remaining outstanding or by being converted into voting</w:t>
      </w: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P93</w:t>
      </w:r>
    </w:p>
    <w:p>
      <w:pPr>
        <w:sectPr>
          <w:pgSz w:w="11900" w:h="16838" w:orient="portrait"/>
          <w:cols w:equalWidth="0" w:num="1">
            <w:col w:w="11420"/>
          </w:cols>
          <w:pgMar w:left="240" w:top="559" w:right="239" w:bottom="1440" w:gutter="0" w:footer="0" w:header="0"/>
        </w:sectPr>
      </w:pPr>
    </w:p>
    <w:bookmarkStart w:id="97" w:name="page98"/>
    <w:bookmarkEnd w:id="97"/>
    <w:p>
      <w:pPr>
        <w:ind w:left="180" w:right="20"/>
        <w:spacing w:after="0" w:line="262" w:lineRule="auto"/>
        <w:rPr>
          <w:sz w:val="20"/>
          <w:szCs w:val="20"/>
          <w:color w:val="auto"/>
        </w:rPr>
      </w:pPr>
      <w:r>
        <w:rPr>
          <w:rFonts w:ascii="Arial" w:cs="Arial" w:eastAsia="Arial" w:hAnsi="Arial"/>
          <w:sz w:val="18"/>
          <w:szCs w:val="18"/>
          <w:color w:val="auto"/>
        </w:rPr>
        <w:t>securities of the surviving entity) more than sixty percent (60%) of the Voting Stock of the Company or such surviving entity immediately after such Transaction;</w:t>
      </w:r>
    </w:p>
    <w:p>
      <w:pPr>
        <w:spacing w:after="0" w:line="196" w:lineRule="exact"/>
        <w:rPr>
          <w:sz w:val="20"/>
          <w:szCs w:val="20"/>
          <w:color w:val="auto"/>
        </w:rPr>
      </w:pPr>
    </w:p>
    <w:p>
      <w:pPr>
        <w:ind w:left="180" w:firstLine="1125"/>
        <w:spacing w:after="0" w:line="262" w:lineRule="auto"/>
        <w:tabs>
          <w:tab w:leader="none" w:pos="1762"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 complete liquidation of the Company or a sale or disposition of all or substantially all the assets of the Company, other than a sale or disposition of assets to any subsidiary of the Company.</w:t>
      </w:r>
    </w:p>
    <w:p>
      <w:pPr>
        <w:spacing w:after="0" w:line="19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For purposes of this Section 2.6(a) only, the term “subsidiary” means a corporation or limited liability company of which the Company owns directly or indirectly fifty percent (50%) or more of the voting power.</w:t>
      </w:r>
    </w:p>
    <w:p>
      <w:pPr>
        <w:spacing w:after="0" w:line="19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2.7 “</w:t>
      </w:r>
      <w:r>
        <w:rPr>
          <w:rFonts w:ascii="Arial" w:cs="Arial" w:eastAsia="Arial" w:hAnsi="Arial"/>
          <w:sz w:val="18"/>
          <w:szCs w:val="18"/>
          <w:u w:val="single" w:color="auto"/>
          <w:color w:val="auto"/>
        </w:rPr>
        <w:t>Code</w:t>
      </w:r>
      <w:r>
        <w:rPr>
          <w:rFonts w:ascii="Arial" w:cs="Arial" w:eastAsia="Arial" w:hAnsi="Arial"/>
          <w:sz w:val="18"/>
          <w:szCs w:val="18"/>
          <w:color w:val="auto"/>
        </w:rPr>
        <w:t>” means the U.S. Internal Revenue Code of 1986, as amended. All references herein to specific sections of the Code shall include any successor provisions of the Code or corresponding sections of any future U.S. federal tax code.</w:t>
      </w:r>
    </w:p>
    <w:p>
      <w:pPr>
        <w:spacing w:after="0" w:line="196"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2.8</w:t>
        <w:tab/>
        <w:t>“</w:t>
      </w:r>
      <w:r>
        <w:rPr>
          <w:rFonts w:ascii="Arial" w:cs="Arial" w:eastAsia="Arial" w:hAnsi="Arial"/>
          <w:sz w:val="18"/>
          <w:szCs w:val="18"/>
          <w:u w:val="single" w:color="auto"/>
          <w:color w:val="auto"/>
        </w:rPr>
        <w:t>Committee</w:t>
      </w:r>
      <w:r>
        <w:rPr>
          <w:rFonts w:ascii="Arial" w:cs="Arial" w:eastAsia="Arial" w:hAnsi="Arial"/>
          <w:sz w:val="18"/>
          <w:szCs w:val="18"/>
          <w:color w:val="auto"/>
        </w:rPr>
        <w:t>” means the committee of the Board appointed or described in Article 3 to administer the Plan.</w:t>
      </w:r>
    </w:p>
    <w:p>
      <w:pPr>
        <w:spacing w:after="0" w:line="225"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2.9 “</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of the Company, no par value, and such other securities of the Company that may be substituted for the Common Stock pursuant to Article 13.</w:t>
      </w:r>
    </w:p>
    <w:p>
      <w:pPr>
        <w:spacing w:after="0" w:line="196"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2.10</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Company</w:t>
      </w:r>
      <w:r>
        <w:rPr>
          <w:rFonts w:ascii="Arial" w:cs="Arial" w:eastAsia="Arial" w:hAnsi="Arial"/>
          <w:sz w:val="17"/>
          <w:szCs w:val="17"/>
          <w:color w:val="auto"/>
        </w:rPr>
        <w:t>” means Eli Lilly and Company, an Indiana corporation, and any successor corporation thereto.</w:t>
      </w:r>
    </w:p>
    <w:p>
      <w:pPr>
        <w:spacing w:after="0" w:line="225"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Director</w:t>
      </w:r>
      <w:r>
        <w:rPr>
          <w:rFonts w:ascii="Arial" w:cs="Arial" w:eastAsia="Arial" w:hAnsi="Arial"/>
          <w:sz w:val="17"/>
          <w:szCs w:val="17"/>
          <w:color w:val="auto"/>
        </w:rPr>
        <w:t>” means a member of the Board.</w:t>
      </w:r>
    </w:p>
    <w:p>
      <w:pPr>
        <w:spacing w:after="0" w:line="22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2.12 “</w:t>
      </w:r>
      <w:r>
        <w:rPr>
          <w:rFonts w:ascii="Arial" w:cs="Arial" w:eastAsia="Arial" w:hAnsi="Arial"/>
          <w:sz w:val="18"/>
          <w:szCs w:val="18"/>
          <w:u w:val="single" w:color="auto"/>
          <w:color w:val="auto"/>
        </w:rPr>
        <w:t>Disability</w:t>
      </w:r>
      <w:r>
        <w:rPr>
          <w:rFonts w:ascii="Arial" w:cs="Arial" w:eastAsia="Arial" w:hAnsi="Arial"/>
          <w:sz w:val="18"/>
          <w:szCs w:val="18"/>
          <w:color w:val="auto"/>
        </w:rPr>
        <w:t>” means, unless otherwise provided in an Award Agreement, that the Participant would qualify to receive benefit payments under the long-term disability plan or policy, as it may be amended from time to time, of the Company or the Affiliate to which the Participant provides Service regardless of whether the Participant is covered by such policy. If the Company or the Affiliate to which the Participant provides Service does not have a long-term disability policy, “Disability” means that a Participant is unable to carry out the responsibilities and functions of the position held by the Participant by reason of any medically determined physical or mental impairment for a period of not less than ninety (90) consecutive days. A Participant shall not be considered to have incurred a Disability unless he or she furnishes proof of such impairment sufficient to satisfy the Committee in its discretion. Notwithstanding the foregoing, (a) for purposes of Incentive Stock Options granted under the Plan, “Disability” means that the Participant is disabled within the meaning of Section 22(e)(3) of the Code, and (b) with respect to an Award that is subject to Section 409A of the Code where the payment or settlement of the Award will accelerate as a result of the Participant’s Disability, solely for purposes of determining the timing of payment, no such event will constitute a Disability for purposes of the Plan or any Award Agreement unless such event also constitutes a “disability” as defined under Section 409A of the Code.</w:t>
      </w:r>
    </w:p>
    <w:p>
      <w:pPr>
        <w:spacing w:after="0" w:line="21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2.13 “</w:t>
      </w:r>
      <w:r>
        <w:rPr>
          <w:rFonts w:ascii="Arial" w:cs="Arial" w:eastAsia="Arial" w:hAnsi="Arial"/>
          <w:sz w:val="18"/>
          <w:szCs w:val="18"/>
          <w:u w:val="single" w:color="auto"/>
          <w:color w:val="auto"/>
        </w:rPr>
        <w:t>Dividend Equivalent Right</w:t>
      </w:r>
      <w:r>
        <w:rPr>
          <w:rFonts w:ascii="Arial" w:cs="Arial" w:eastAsia="Arial" w:hAnsi="Arial"/>
          <w:sz w:val="18"/>
          <w:szCs w:val="18"/>
          <w:color w:val="auto"/>
        </w:rPr>
        <w:t>” means a right to receive the equivalent value of dividends paid on the Shares with respect to Shares underlying Restricted Stock Units or an Other Share-Based Award that is a Full Value Award prior to vesting of the Award in accordance with the provision of Section 12.4.</w:t>
      </w:r>
    </w:p>
    <w:p>
      <w:pPr>
        <w:spacing w:after="0" w:line="202"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2.14</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Effective Date</w:t>
      </w:r>
      <w:r>
        <w:rPr>
          <w:rFonts w:ascii="Arial" w:cs="Arial" w:eastAsia="Arial" w:hAnsi="Arial"/>
          <w:sz w:val="17"/>
          <w:szCs w:val="17"/>
          <w:color w:val="auto"/>
        </w:rPr>
        <w:t>” means the date that the shareholders approved the amendment and restatement of the Plan.</w:t>
      </w:r>
    </w:p>
    <w:p>
      <w:pPr>
        <w:spacing w:after="0" w:line="22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2.15 “</w:t>
      </w:r>
      <w:r>
        <w:rPr>
          <w:rFonts w:ascii="Arial" w:cs="Arial" w:eastAsia="Arial" w:hAnsi="Arial"/>
          <w:sz w:val="18"/>
          <w:szCs w:val="18"/>
          <w:u w:val="single" w:color="auto"/>
          <w:color w:val="auto"/>
        </w:rPr>
        <w:t>Eligible Individual</w:t>
      </w:r>
      <w:r>
        <w:rPr>
          <w:rFonts w:ascii="Arial" w:cs="Arial" w:eastAsia="Arial" w:hAnsi="Arial"/>
          <w:sz w:val="18"/>
          <w:szCs w:val="18"/>
          <w:color w:val="auto"/>
        </w:rPr>
        <w:t>” means any natural person who is an Employee or a Director determined by the Committee as eligible to participate in the Plan.</w:t>
      </w:r>
    </w:p>
    <w:p>
      <w:pPr>
        <w:spacing w:after="0" w:line="19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2.16 “</w:t>
      </w:r>
      <w:r>
        <w:rPr>
          <w:rFonts w:ascii="Arial" w:cs="Arial" w:eastAsia="Arial" w:hAnsi="Arial"/>
          <w:sz w:val="18"/>
          <w:szCs w:val="18"/>
          <w:u w:val="single" w:color="auto"/>
          <w:color w:val="auto"/>
        </w:rPr>
        <w:t>Employee</w:t>
      </w:r>
      <w:r>
        <w:rPr>
          <w:rFonts w:ascii="Arial" w:cs="Arial" w:eastAsia="Arial" w:hAnsi="Arial"/>
          <w:sz w:val="18"/>
          <w:szCs w:val="18"/>
          <w:color w:val="auto"/>
        </w:rPr>
        <w:t>” means an individual, including an officer or Director, who is treated as an employee in the personnel records of the Company or an Affiliate and providing Service to the Company or the Affiliate. Neither services as a Director nor payment of a director’s fee by the Company or an Affiliate shall be sufficient to constitute “employment” by the Company or an Affiliate.</w:t>
      </w:r>
    </w:p>
    <w:p>
      <w:pPr>
        <w:spacing w:after="0" w:line="20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2.17 “</w:t>
      </w:r>
      <w:r>
        <w:rPr>
          <w:rFonts w:ascii="Arial" w:cs="Arial" w:eastAsia="Arial" w:hAnsi="Arial"/>
          <w:sz w:val="18"/>
          <w:szCs w:val="18"/>
          <w:u w:val="single" w:color="auto"/>
          <w:color w:val="auto"/>
        </w:rPr>
        <w:t>Equity Restructuring</w:t>
      </w:r>
      <w:r>
        <w:rPr>
          <w:rFonts w:ascii="Arial" w:cs="Arial" w:eastAsia="Arial" w:hAnsi="Arial"/>
          <w:sz w:val="18"/>
          <w:szCs w:val="18"/>
          <w:color w:val="auto"/>
        </w:rPr>
        <w:t>” shall mean a nonreciprocal transaction between the Company and its shareholders, such as a stock dividend, stock split, spin-off, rights offering or recapitalization through a large, nonrecurring cash dividend, that affects the Shares (or other securities of the Company) or the price of Shares (or other securities) and causes a change in the per-share value of the Shares underlying outstanding Awards.</w:t>
      </w:r>
    </w:p>
    <w:p>
      <w:pPr>
        <w:spacing w:after="0" w:line="200" w:lineRule="exact"/>
        <w:rPr>
          <w:sz w:val="20"/>
          <w:szCs w:val="20"/>
          <w:color w:val="auto"/>
        </w:rPr>
      </w:pPr>
    </w:p>
    <w:p>
      <w:pPr>
        <w:spacing w:after="0" w:line="2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P94</w:t>
      </w:r>
    </w:p>
    <w:p>
      <w:pPr>
        <w:sectPr>
          <w:pgSz w:w="11900" w:h="16838" w:orient="portrait"/>
          <w:cols w:equalWidth="0" w:num="1">
            <w:col w:w="11420"/>
          </w:cols>
          <w:pgMar w:left="240" w:top="598" w:right="239" w:bottom="1440" w:gutter="0" w:footer="0" w:header="0"/>
        </w:sectPr>
      </w:pPr>
    </w:p>
    <w:bookmarkStart w:id="98" w:name="page99"/>
    <w:bookmarkEnd w:id="98"/>
    <w:p>
      <w:pPr>
        <w:ind w:left="660"/>
        <w:spacing w:after="0"/>
        <w:tabs>
          <w:tab w:leader="none" w:pos="1180" w:val="left"/>
        </w:tabs>
        <w:rPr>
          <w:sz w:val="20"/>
          <w:szCs w:val="20"/>
          <w:color w:val="auto"/>
        </w:rPr>
      </w:pPr>
      <w:r>
        <w:rPr>
          <w:rFonts w:ascii="Arial" w:cs="Arial" w:eastAsia="Arial" w:hAnsi="Arial"/>
          <w:sz w:val="18"/>
          <w:szCs w:val="18"/>
          <w:color w:val="auto"/>
        </w:rPr>
        <w:t>2.18</w:t>
        <w:tab/>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U.S. Securities Exchange Act of 1934, as amended.</w:t>
      </w:r>
    </w:p>
    <w:p>
      <w:pPr>
        <w:spacing w:after="0" w:line="22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2.19 “</w:t>
      </w:r>
      <w:r>
        <w:rPr>
          <w:rFonts w:ascii="Arial" w:cs="Arial" w:eastAsia="Arial" w:hAnsi="Arial"/>
          <w:sz w:val="18"/>
          <w:szCs w:val="18"/>
          <w:u w:val="single" w:color="auto"/>
          <w:color w:val="auto"/>
        </w:rPr>
        <w:t>Fair Market Value</w:t>
      </w:r>
      <w:r>
        <w:rPr>
          <w:rFonts w:ascii="Arial" w:cs="Arial" w:eastAsia="Arial" w:hAnsi="Arial"/>
          <w:sz w:val="18"/>
          <w:szCs w:val="18"/>
          <w:color w:val="auto"/>
        </w:rPr>
        <w:t xml:space="preserve">” means, as of any given date, (a) if Shares are traded on any established stock exchange, the closing price of a Share as quoted on the principal exchange on which the Shares are listed, as reported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(or such other source as the Company may deem reliable for such purposes) for such date, or if no sale occurred on such date, the first trading date immediately prior to such date during which a sale occurred; or (b) if Shares are not traded on an exchange but are regularly quoted on a national market or other quotation system, the closing sales price on such date as quoted on such market or system, or if no sales occurred on such date, then on the date immediately prior to such date on which sales prices are reported; or (c) in the absence of an established market for the Shares of the type described in (a) or (b) of this Section 2.19, the fair market value established by the Committee acting in good faith, under a reasonable methodology and reasonable application in compliance with Section 409A of the Code to the extent such determination is necessary for Awards under the Plan to comply with, or be exempt from, Section 409A of the Code.</w:t>
      </w:r>
    </w:p>
    <w:p>
      <w:pPr>
        <w:spacing w:after="0" w:line="21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Notwithstanding the foregoing, for income tax reporting purposes under U.S. federal, state, local or non-US law and for such other purposes as the Committee deems appropriate, including, without limitation, where Fair Market Value is used in reference to exercise, vesting, settlement or payout of an Award, the Fair Market Value shall be determined by the Company in accordance with uniform and nondiscriminatory standards adopted by it from time to time.</w:t>
      </w:r>
    </w:p>
    <w:p>
      <w:pPr>
        <w:spacing w:after="0" w:line="20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2.20 “</w:t>
      </w:r>
      <w:r>
        <w:rPr>
          <w:rFonts w:ascii="Arial" w:cs="Arial" w:eastAsia="Arial" w:hAnsi="Arial"/>
          <w:sz w:val="18"/>
          <w:szCs w:val="18"/>
          <w:u w:val="single" w:color="auto"/>
          <w:color w:val="auto"/>
        </w:rPr>
        <w:t>Full Value Award</w:t>
      </w:r>
      <w:r>
        <w:rPr>
          <w:rFonts w:ascii="Arial" w:cs="Arial" w:eastAsia="Arial" w:hAnsi="Arial"/>
          <w:sz w:val="18"/>
          <w:szCs w:val="18"/>
          <w:color w:val="auto"/>
        </w:rPr>
        <w:t>” means any Award other than an (i) Option, (ii) Stock Appreciation Right or (iii) other Award for which the Participant pays (or the value or amount payable under the Award is reduced by) an amount equal to or exceeding the Fair Market Value of the Shares, determined as of the date of grant.</w:t>
      </w:r>
    </w:p>
    <w:p>
      <w:pPr>
        <w:spacing w:after="0" w:line="202"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2.21</w:t>
        <w:tab/>
        <w:t>“</w:t>
      </w:r>
      <w:r>
        <w:rPr>
          <w:rFonts w:ascii="Arial" w:cs="Arial" w:eastAsia="Arial" w:hAnsi="Arial"/>
          <w:sz w:val="18"/>
          <w:szCs w:val="18"/>
          <w:u w:val="single" w:color="auto"/>
          <w:color w:val="auto"/>
        </w:rPr>
        <w:t>Incentive Stock Option</w:t>
      </w:r>
      <w:r>
        <w:rPr>
          <w:rFonts w:ascii="Arial" w:cs="Arial" w:eastAsia="Arial" w:hAnsi="Arial"/>
          <w:sz w:val="18"/>
          <w:szCs w:val="18"/>
          <w:color w:val="auto"/>
        </w:rPr>
        <w:t>” means an Option that is intended to meet the requirements of Section 422 of the Code.</w:t>
      </w:r>
    </w:p>
    <w:p>
      <w:pPr>
        <w:spacing w:after="0" w:line="225"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2.22</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Non-Employee Director</w:t>
      </w:r>
      <w:r>
        <w:rPr>
          <w:rFonts w:ascii="Arial" w:cs="Arial" w:eastAsia="Arial" w:hAnsi="Arial"/>
          <w:sz w:val="17"/>
          <w:szCs w:val="17"/>
          <w:color w:val="auto"/>
        </w:rPr>
        <w:t>” means a Director of the Company who is not an Employee.</w:t>
      </w:r>
    </w:p>
    <w:p>
      <w:pPr>
        <w:spacing w:after="0" w:line="225"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2.23</w:t>
        <w:tab/>
        <w:t>“</w:t>
      </w:r>
      <w:r>
        <w:rPr>
          <w:rFonts w:ascii="Arial" w:cs="Arial" w:eastAsia="Arial" w:hAnsi="Arial"/>
          <w:sz w:val="18"/>
          <w:szCs w:val="18"/>
          <w:u w:val="single" w:color="auto"/>
          <w:color w:val="auto"/>
        </w:rPr>
        <w:t>Non-Qualified Stock Option</w:t>
      </w:r>
      <w:r>
        <w:rPr>
          <w:rFonts w:ascii="Arial" w:cs="Arial" w:eastAsia="Arial" w:hAnsi="Arial"/>
          <w:sz w:val="18"/>
          <w:szCs w:val="18"/>
          <w:color w:val="auto"/>
        </w:rPr>
        <w:t>” means an Option that is not intended to be an Incentive Stock Option.</w:t>
      </w:r>
    </w:p>
    <w:p>
      <w:pPr>
        <w:spacing w:after="0" w:line="22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2.24 “</w:t>
      </w:r>
      <w:r>
        <w:rPr>
          <w:rFonts w:ascii="Arial" w:cs="Arial" w:eastAsia="Arial" w:hAnsi="Arial"/>
          <w:sz w:val="18"/>
          <w:szCs w:val="18"/>
          <w:u w:val="single" w:color="auto"/>
          <w:color w:val="auto"/>
        </w:rPr>
        <w:t>Option</w:t>
      </w:r>
      <w:r>
        <w:rPr>
          <w:rFonts w:ascii="Arial" w:cs="Arial" w:eastAsia="Arial" w:hAnsi="Arial"/>
          <w:sz w:val="18"/>
          <w:szCs w:val="18"/>
          <w:color w:val="auto"/>
        </w:rPr>
        <w:t>” means a right granted to a Participant pursuant to Article 6 to purchase a specified number of Shares at a specified price during specified time periods. An Option may be either an Incentive Stock Option or a Non-Qualified Stock Option.</w:t>
      </w:r>
    </w:p>
    <w:p>
      <w:pPr>
        <w:spacing w:after="0" w:line="196"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2.25</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Other Share-Based Award</w:t>
      </w:r>
      <w:r>
        <w:rPr>
          <w:rFonts w:ascii="Arial" w:cs="Arial" w:eastAsia="Arial" w:hAnsi="Arial"/>
          <w:sz w:val="17"/>
          <w:szCs w:val="17"/>
          <w:color w:val="auto"/>
        </w:rPr>
        <w:t>” shall mean an Award granted pursuant to Article 10.</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2.26 “</w:t>
      </w:r>
      <w:r>
        <w:rPr>
          <w:rFonts w:ascii="Arial" w:cs="Arial" w:eastAsia="Arial" w:hAnsi="Arial"/>
          <w:sz w:val="18"/>
          <w:szCs w:val="18"/>
          <w:u w:val="single" w:color="auto"/>
          <w:color w:val="auto"/>
        </w:rPr>
        <w:t>Outstanding Qualified Performance-Based Awards</w:t>
      </w:r>
      <w:r>
        <w:rPr>
          <w:rFonts w:ascii="Arial" w:cs="Arial" w:eastAsia="Arial" w:hAnsi="Arial"/>
          <w:sz w:val="18"/>
          <w:szCs w:val="18"/>
          <w:color w:val="auto"/>
        </w:rPr>
        <w:t>” shall mean any Awards granted prior to November 3, 2017 and that are outstanding as of the Effective Date and that are intended to constitute “qualified performance-based compensation” as described in Section 162(m)(4)(C) of the Code. For the avoidance of any doubt, all provisions of the Plan governing Outstanding Qualified Performance Awards that were in effect prior to the Effective Date shall continue in effect with respect to Outstanding Qualified Performance-Based Awards, notwithstanding the elimination of such provisions from the Plan as of the Effective Date.</w:t>
      </w:r>
    </w:p>
    <w:p>
      <w:pPr>
        <w:spacing w:after="0" w:line="206"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2.27</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Participant</w:t>
      </w:r>
      <w:r>
        <w:rPr>
          <w:rFonts w:ascii="Arial" w:cs="Arial" w:eastAsia="Arial" w:hAnsi="Arial"/>
          <w:sz w:val="17"/>
          <w:szCs w:val="17"/>
          <w:color w:val="auto"/>
        </w:rPr>
        <w:t>” means any Eligible Individual who, as an Employee or Director, has been granted an Award pursuant to the Plan.</w:t>
      </w:r>
    </w:p>
    <w:p>
      <w:pPr>
        <w:spacing w:after="0" w:line="225"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2.28 “</w:t>
      </w:r>
      <w:r>
        <w:rPr>
          <w:rFonts w:ascii="Arial" w:cs="Arial" w:eastAsia="Arial" w:hAnsi="Arial"/>
          <w:sz w:val="18"/>
          <w:szCs w:val="18"/>
          <w:u w:val="single" w:color="auto"/>
          <w:color w:val="auto"/>
        </w:rPr>
        <w:t>Performance-Based Award</w:t>
      </w:r>
      <w:r>
        <w:rPr>
          <w:rFonts w:ascii="Arial" w:cs="Arial" w:eastAsia="Arial" w:hAnsi="Arial"/>
          <w:sz w:val="18"/>
          <w:szCs w:val="18"/>
          <w:color w:val="auto"/>
        </w:rPr>
        <w:t>” means an Award that are subject, in whole or in part, to Performance Goals and are granted pursuant to Article 10.</w:t>
      </w:r>
    </w:p>
    <w:p>
      <w:pPr>
        <w:spacing w:after="0" w:line="19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2.29 “</w:t>
      </w:r>
      <w:r>
        <w:rPr>
          <w:rFonts w:ascii="Arial" w:cs="Arial" w:eastAsia="Arial" w:hAnsi="Arial"/>
          <w:sz w:val="18"/>
          <w:szCs w:val="18"/>
          <w:u w:val="single" w:color="auto"/>
          <w:color w:val="auto"/>
        </w:rPr>
        <w:t>Performance Criteria</w:t>
      </w:r>
      <w:r>
        <w:rPr>
          <w:rFonts w:ascii="Arial" w:cs="Arial" w:eastAsia="Arial" w:hAnsi="Arial"/>
          <w:sz w:val="18"/>
          <w:szCs w:val="18"/>
          <w:color w:val="auto"/>
        </w:rPr>
        <w:t>” means the criteria that the Committee selects for purposes of establishing the Performance Goal or Performance Goals for a Participant for a Performance Period. The Performance Criteria that will be used to establish Performance Goals include, but are not limited to, the following: cash flow (including, without limitation, operating cash flow and free cash flow), earnings per share, gross or net profit margin, net income (either before or after interest, taxes, amortization, and/or depreciation), operating income (either before or after restructuring and amortization charges), return on capital or return on invested capital, return on equity, return on operating assets or net assets, return on sales, sales or revenue, stock price goals, total shareholder return. The Committee shall define objectively the manner of calculating the Performance Criteria it selects to use for such Performance Period for such Participant.</w:t>
      </w: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P95</w:t>
      </w:r>
    </w:p>
    <w:p>
      <w:pPr>
        <w:sectPr>
          <w:pgSz w:w="11900" w:h="16838" w:orient="portrait"/>
          <w:cols w:equalWidth="0" w:num="1">
            <w:col w:w="11420"/>
          </w:cols>
          <w:pgMar w:left="240" w:top="598" w:right="239" w:bottom="1440" w:gutter="0" w:footer="0" w:header="0"/>
        </w:sectPr>
      </w:pPr>
    </w:p>
    <w:bookmarkStart w:id="99" w:name="page100"/>
    <w:bookmarkEnd w:id="99"/>
    <w:p>
      <w:pPr>
        <w:jc w:val="both"/>
        <w:ind w:firstLine="648"/>
        <w:spacing w:after="0" w:line="256" w:lineRule="auto"/>
        <w:rPr>
          <w:sz w:val="20"/>
          <w:szCs w:val="20"/>
          <w:color w:val="auto"/>
        </w:rPr>
      </w:pPr>
      <w:r>
        <w:rPr>
          <w:rFonts w:ascii="Arial" w:cs="Arial" w:eastAsia="Arial" w:hAnsi="Arial"/>
          <w:sz w:val="18"/>
          <w:szCs w:val="18"/>
          <w:color w:val="auto"/>
        </w:rPr>
        <w:t>2.30 “</w:t>
      </w:r>
      <w:r>
        <w:rPr>
          <w:rFonts w:ascii="Arial" w:cs="Arial" w:eastAsia="Arial" w:hAnsi="Arial"/>
          <w:sz w:val="18"/>
          <w:szCs w:val="18"/>
          <w:u w:val="single" w:color="auto"/>
          <w:color w:val="auto"/>
        </w:rPr>
        <w:t>Performance Goals</w:t>
      </w:r>
      <w:r>
        <w:rPr>
          <w:rFonts w:ascii="Arial" w:cs="Arial" w:eastAsia="Arial" w:hAnsi="Arial"/>
          <w:sz w:val="18"/>
          <w:szCs w:val="18"/>
          <w:color w:val="auto"/>
        </w:rPr>
        <w:t>” means, for a Performance Period, the goals established in writing by the Committee for the Performance Period based upon the Performance Criteria that the Committee, in its sole discretion, selects. The Committee, in its sole discretion, may provide that one or more objectively determinable adjustments shall be made to one or more of the Performance Goals.</w:t>
      </w:r>
    </w:p>
    <w:p>
      <w:pPr>
        <w:spacing w:after="0" w:line="20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2.31 “</w:t>
      </w:r>
      <w:r>
        <w:rPr>
          <w:rFonts w:ascii="Arial" w:cs="Arial" w:eastAsia="Arial" w:hAnsi="Arial"/>
          <w:sz w:val="18"/>
          <w:szCs w:val="18"/>
          <w:u w:val="single" w:color="auto"/>
          <w:color w:val="auto"/>
        </w:rPr>
        <w:t>Performance Period</w:t>
      </w:r>
      <w:r>
        <w:rPr>
          <w:rFonts w:ascii="Arial" w:cs="Arial" w:eastAsia="Arial" w:hAnsi="Arial"/>
          <w:sz w:val="18"/>
          <w:szCs w:val="18"/>
          <w:color w:val="auto"/>
        </w:rPr>
        <w:t>” means the one or more periods of time, which may be of varying and overlapping durations, as the Committee may select, over which the attainment of one or more Performance Goals will be measured for the purpose of determining a Participant’s right to, and the payment of, a Performance-Based Award, provided that the duration of any Performance Period shall not be less than twelve (12) months.</w:t>
      </w:r>
    </w:p>
    <w:p>
      <w:pPr>
        <w:spacing w:after="0" w:line="204"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2.32</w:t>
        <w:tab/>
        <w:t>“</w:t>
      </w:r>
      <w:r>
        <w:rPr>
          <w:rFonts w:ascii="Arial" w:cs="Arial" w:eastAsia="Arial" w:hAnsi="Arial"/>
          <w:sz w:val="18"/>
          <w:szCs w:val="18"/>
          <w:u w:val="single" w:color="auto"/>
          <w:color w:val="auto"/>
        </w:rPr>
        <w:t>Plan</w:t>
      </w:r>
      <w:r>
        <w:rPr>
          <w:rFonts w:ascii="Arial" w:cs="Arial" w:eastAsia="Arial" w:hAnsi="Arial"/>
          <w:sz w:val="18"/>
          <w:szCs w:val="18"/>
          <w:color w:val="auto"/>
        </w:rPr>
        <w:t>” means this Amended and Restated 2002 Lilly Stock Plan, as it may be amended from time to time.</w:t>
      </w:r>
    </w:p>
    <w:p>
      <w:pPr>
        <w:spacing w:after="0" w:line="225"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2.33</w:t>
        <w:tab/>
        <w:t>“</w:t>
      </w:r>
      <w:r>
        <w:rPr>
          <w:rFonts w:ascii="Arial" w:cs="Arial" w:eastAsia="Arial" w:hAnsi="Arial"/>
          <w:sz w:val="18"/>
          <w:szCs w:val="18"/>
          <w:u w:val="single" w:color="auto"/>
          <w:color w:val="auto"/>
        </w:rPr>
        <w:t>Prior Plans</w:t>
      </w:r>
      <w:r>
        <w:rPr>
          <w:rFonts w:ascii="Arial" w:cs="Arial" w:eastAsia="Arial" w:hAnsi="Arial"/>
          <w:sz w:val="18"/>
          <w:szCs w:val="18"/>
          <w:color w:val="auto"/>
        </w:rPr>
        <w:t>” means the 1989, 1994 and 1998 Lilly Stock Plans, as amended from time to time.</w:t>
      </w:r>
    </w:p>
    <w:p>
      <w:pPr>
        <w:spacing w:after="0" w:line="22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2.34 “</w:t>
      </w:r>
      <w:r>
        <w:rPr>
          <w:rFonts w:ascii="Arial" w:cs="Arial" w:eastAsia="Arial" w:hAnsi="Arial"/>
          <w:sz w:val="18"/>
          <w:szCs w:val="18"/>
          <w:u w:val="single" w:color="auto"/>
          <w:color w:val="auto"/>
        </w:rPr>
        <w:t>Restricted Stock</w:t>
      </w:r>
      <w:r>
        <w:rPr>
          <w:rFonts w:ascii="Arial" w:cs="Arial" w:eastAsia="Arial" w:hAnsi="Arial"/>
          <w:sz w:val="18"/>
          <w:szCs w:val="18"/>
          <w:color w:val="auto"/>
        </w:rPr>
        <w:t>” means Shares awarded to a Participant pursuant to Article 8 that are subject to certain restrictions and may be subject to risk of forfeiture.</w:t>
      </w:r>
    </w:p>
    <w:p>
      <w:pPr>
        <w:spacing w:after="0" w:line="196"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2.35 “</w:t>
      </w:r>
      <w:r>
        <w:rPr>
          <w:rFonts w:ascii="Arial" w:cs="Arial" w:eastAsia="Arial" w:hAnsi="Arial"/>
          <w:sz w:val="18"/>
          <w:szCs w:val="18"/>
          <w:u w:val="single" w:color="auto"/>
          <w:color w:val="auto"/>
        </w:rPr>
        <w:t>Restricted Stock Unit</w:t>
      </w:r>
      <w:r>
        <w:rPr>
          <w:rFonts w:ascii="Arial" w:cs="Arial" w:eastAsia="Arial" w:hAnsi="Arial"/>
          <w:sz w:val="18"/>
          <w:szCs w:val="18"/>
          <w:color w:val="auto"/>
        </w:rPr>
        <w:t>” means an Award granted pursuant to Article 7 that shall be evidenced by a bookkeeping entry representing the equivalent of one Share.</w:t>
      </w:r>
    </w:p>
    <w:p>
      <w:pPr>
        <w:spacing w:after="0" w:line="196"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2.36</w:t>
        <w:tab/>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U.S. Securities Act of 1933, as amended.</w:t>
      </w:r>
    </w:p>
    <w:p>
      <w:pPr>
        <w:spacing w:after="0" w:line="22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2.37 “</w:t>
      </w:r>
      <w:r>
        <w:rPr>
          <w:rFonts w:ascii="Arial" w:cs="Arial" w:eastAsia="Arial" w:hAnsi="Arial"/>
          <w:sz w:val="18"/>
          <w:szCs w:val="18"/>
          <w:u w:val="single" w:color="auto"/>
          <w:color w:val="auto"/>
        </w:rPr>
        <w:t>Service</w:t>
      </w:r>
      <w:r>
        <w:rPr>
          <w:rFonts w:ascii="Arial" w:cs="Arial" w:eastAsia="Arial" w:hAnsi="Arial"/>
          <w:sz w:val="18"/>
          <w:szCs w:val="18"/>
          <w:color w:val="auto"/>
        </w:rPr>
        <w:t>” means service as an Employee or Non-Employee Director. Except as otherwise determined by the Committee in its sole discretion, a Participant’s Service terminates when the Participant ceases to actively provide services to the Company or an Affiliate and shall not be extended by any notice period mandated under applicable employment laws or the terms of the Participant’s employment or service contract, if any. The Committee shall determine which leaves shall count toward Service and when Service terminates for all purposes under the Plan. Further, unless otherwise determined by the Committee, a Participant’s Service shall not be deemed to have terminated merely because of a change in the capacity in which the Participant provides Service to the Company or an Affiliate, or a transfer between entities (</w:t>
      </w:r>
      <w:r>
        <w:rPr>
          <w:rFonts w:ascii="Arial" w:cs="Arial" w:eastAsia="Arial" w:hAnsi="Arial"/>
          <w:sz w:val="18"/>
          <w:szCs w:val="18"/>
          <w:i w:val="1"/>
          <w:iCs w:val="1"/>
          <w:color w:val="auto"/>
        </w:rPr>
        <w:t>i.e.</w:t>
      </w:r>
      <w:r>
        <w:rPr>
          <w:rFonts w:ascii="Arial" w:cs="Arial" w:eastAsia="Arial" w:hAnsi="Arial"/>
          <w:sz w:val="18"/>
          <w:szCs w:val="18"/>
          <w:color w:val="auto"/>
        </w:rPr>
        <w:t xml:space="preserve">, the Company or any Affiliates),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there is no interruption or other termination of Service in connection with the Participant’s change in capacity or transfer between entities (except as may be required to effect the change in capacity or transfer between entities). For purposes of determining whether an Option is entitled to Incentive Stock Option status, an Employee’s Service shall be treated as terminated ninety (90) days after such Employee goes on leave, unless such Employee’s right to return to active work is guaranteed by law or by a contract.</w:t>
      </w:r>
    </w:p>
    <w:p>
      <w:pPr>
        <w:spacing w:after="0" w:line="212"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2.38</w:t>
        <w:tab/>
        <w:t>“</w:t>
      </w:r>
      <w:r>
        <w:rPr>
          <w:rFonts w:ascii="Arial" w:cs="Arial" w:eastAsia="Arial" w:hAnsi="Arial"/>
          <w:sz w:val="18"/>
          <w:szCs w:val="18"/>
          <w:u w:val="single" w:color="auto"/>
          <w:color w:val="auto"/>
        </w:rPr>
        <w:t>Share</w:t>
      </w:r>
      <w:r>
        <w:rPr>
          <w:rFonts w:ascii="Arial" w:cs="Arial" w:eastAsia="Arial" w:hAnsi="Arial"/>
          <w:sz w:val="18"/>
          <w:szCs w:val="18"/>
          <w:color w:val="auto"/>
        </w:rPr>
        <w:t>” means a share of Common Stock.</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2.39 “</w:t>
      </w:r>
      <w:r>
        <w:rPr>
          <w:rFonts w:ascii="Arial" w:cs="Arial" w:eastAsia="Arial" w:hAnsi="Arial"/>
          <w:sz w:val="18"/>
          <w:szCs w:val="18"/>
          <w:u w:val="single" w:color="auto"/>
          <w:color w:val="auto"/>
        </w:rPr>
        <w:t>Stock Appreciation Right</w:t>
      </w:r>
      <w:r>
        <w:rPr>
          <w:rFonts w:ascii="Arial" w:cs="Arial" w:eastAsia="Arial" w:hAnsi="Arial"/>
          <w:sz w:val="18"/>
          <w:szCs w:val="18"/>
          <w:color w:val="auto"/>
        </w:rPr>
        <w:t>” or “</w:t>
      </w:r>
      <w:r>
        <w:rPr>
          <w:rFonts w:ascii="Arial" w:cs="Arial" w:eastAsia="Arial" w:hAnsi="Arial"/>
          <w:sz w:val="18"/>
          <w:szCs w:val="18"/>
          <w:u w:val="single" w:color="auto"/>
          <w:color w:val="auto"/>
        </w:rPr>
        <w:t>SAR</w:t>
      </w:r>
      <w:r>
        <w:rPr>
          <w:rFonts w:ascii="Arial" w:cs="Arial" w:eastAsia="Arial" w:hAnsi="Arial"/>
          <w:sz w:val="18"/>
          <w:szCs w:val="18"/>
          <w:color w:val="auto"/>
        </w:rPr>
        <w:t>” means a right granted pursuant to Article 9 to receive a payment equal to the excess of the Fair Market Value of a specified number of Shares on the date the SAR is exercised over the exercise price of the SAR, as set forth in the applicable Award Agreement.</w:t>
      </w:r>
    </w:p>
    <w:p>
      <w:pPr>
        <w:spacing w:after="0" w:line="20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2.40 “</w:t>
      </w:r>
      <w:r>
        <w:rPr>
          <w:rFonts w:ascii="Arial" w:cs="Arial" w:eastAsia="Arial" w:hAnsi="Arial"/>
          <w:sz w:val="18"/>
          <w:szCs w:val="18"/>
          <w:u w:val="single" w:color="auto"/>
          <w:color w:val="auto"/>
        </w:rPr>
        <w:t>Tax-Related Items</w:t>
      </w:r>
      <w:r>
        <w:rPr>
          <w:rFonts w:ascii="Arial" w:cs="Arial" w:eastAsia="Arial" w:hAnsi="Arial"/>
          <w:sz w:val="18"/>
          <w:szCs w:val="18"/>
          <w:color w:val="auto"/>
        </w:rPr>
        <w:t>” means any U.S. federal, state, and/or local taxes and any taxes imposed by a jurisdiction outside of the U.S. (including, without limitation, income tax, social insurance and similar contributions, payroll tax, fringe benefits tax, payment on account, employment tax, stamp tax and any other taxes related to participation in the Plan and legally applicable to a Participant, including any employer liability for which the Participant is liable pursuant to Applicable Laws or the applicable Award Agreement).</w:t>
      </w:r>
    </w:p>
    <w:p>
      <w:pPr>
        <w:spacing w:after="0" w:line="182"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ARTICLE 3.</w:t>
      </w:r>
      <w:r>
        <w:rPr>
          <w:sz w:val="20"/>
          <w:szCs w:val="20"/>
          <w:color w:val="auto"/>
        </w:rPr>
        <w:tab/>
      </w:r>
      <w:r>
        <w:rPr>
          <w:rFonts w:ascii="Arial" w:cs="Arial" w:eastAsia="Arial" w:hAnsi="Arial"/>
          <w:sz w:val="17"/>
          <w:szCs w:val="17"/>
          <w:b w:val="1"/>
          <w:bCs w:val="1"/>
          <w:color w:val="auto"/>
        </w:rPr>
        <w:t>ADMINISTRATION</w:t>
      </w:r>
    </w:p>
    <w:p>
      <w:pPr>
        <w:spacing w:after="0" w:line="24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Committee</w:t>
      </w:r>
      <w:r>
        <w:rPr>
          <w:rFonts w:ascii="Arial" w:cs="Arial" w:eastAsia="Arial" w:hAnsi="Arial"/>
          <w:sz w:val="18"/>
          <w:szCs w:val="18"/>
          <w:color w:val="auto"/>
        </w:rPr>
        <w:t>. The Board, at its discretion or as otherwise necessary to comply with the requirements of Section 162(m) of the Code (with respect to Outstanding Qualified Performance-Based Awards), Rule 16b-3 promulgated under the Exchange Act or to the extent required by any other Applicable Law or regulation, may delegate administration of the Plan to a Committee consisting of two or more members of the Board. Unless otherwise determined by the Board, the Committee shall consist solely of two or more Non-Employee Directors, each of whom is an “outside director,” within the meaning of Section 162(m) of the Code (with respect to Outstanding Qualified Performance-Based Awards), a “non-employee director” within the meaning of Rule 16b-3(b)(3) under the Exchange Act, or any successor rule, and an “independent director” under the applicable New York Stock Exchange rules (or other principal securities</w:t>
      </w: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P96</w:t>
      </w:r>
    </w:p>
    <w:p>
      <w:pPr>
        <w:sectPr>
          <w:pgSz w:w="11900" w:h="16838" w:orient="portrait"/>
          <w:cols w:equalWidth="0" w:num="1">
            <w:col w:w="11420"/>
          </w:cols>
          <w:pgMar w:left="240" w:top="598" w:right="239" w:bottom="1440" w:gutter="0" w:footer="0" w:header="0"/>
        </w:sectPr>
      </w:pPr>
    </w:p>
    <w:bookmarkStart w:id="100" w:name="page101"/>
    <w:bookmarkEnd w:id="100"/>
    <w:p>
      <w:pPr>
        <w:jc w:val="both"/>
        <w:spacing w:after="0" w:line="251" w:lineRule="auto"/>
        <w:rPr>
          <w:sz w:val="20"/>
          <w:szCs w:val="20"/>
          <w:color w:val="auto"/>
        </w:rPr>
      </w:pPr>
      <w:r>
        <w:rPr>
          <w:rFonts w:ascii="Arial" w:cs="Arial" w:eastAsia="Arial" w:hAnsi="Arial"/>
          <w:sz w:val="18"/>
          <w:szCs w:val="18"/>
          <w:color w:val="auto"/>
        </w:rPr>
        <w:t>market on which Shares are traded). Notwithstanding the foregoing: (a) the full Board, acting by a majority of its members in office, shall conduct the general administration of the Plan with respect to all Awards granted to Non-Employee Directors and for purposes of such Awards the term “Committee” as used in this Plan shall be deemed to refer to the Board and (b) the Committee may delegate its authority hereunder to the extent permitted by Section 3.5 hereof. Unless and until the Board delegates administration of the Plan to a Committee as set forth below, the Plan shall be administered by the full Board, and for such purposes the term “Committee” as used in this Plan shall be deemed to refer to the Board. In its sole discretion, the Board may at any time and from time to time exercise any and all rights and duties of the Committee under the Plan, except with respect to matters which under Rule 16b-3 under the Exchange Act or Section 162(m) of the Code (with respect to Outstanding Qualified Performance-Based Awards), or any regulations or rules issued thereunder, are required to be determined in the sole discretion of the Committee.</w:t>
      </w:r>
    </w:p>
    <w:p>
      <w:pPr>
        <w:spacing w:after="0" w:line="21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Action by the Committee</w:t>
      </w:r>
      <w:r>
        <w:rPr>
          <w:rFonts w:ascii="Arial" w:cs="Arial" w:eastAsia="Arial" w:hAnsi="Arial"/>
          <w:sz w:val="18"/>
          <w:szCs w:val="18"/>
          <w:color w:val="auto"/>
        </w:rPr>
        <w:t>. Unless otherwise established by the Board or in any charter of the Committee, a majority of the Committee shall constitute a quorum and the acts of a majority of the members present at any meeting at which a quorum is present, and acts approved in writing by a majority of the Committee in lieu of a meeting, shall be deemed the acts of the Committee. Each member of the Committee is entitled to, in good faith, rely or act upon any report or other information furnished to that member by any officer or other employee of the Company or any Affiliate, the Company’s independent certified public accountants, or any executive compensation consultant or other professional retained by the Company to assist in the administration of the Plan.</w:t>
      </w:r>
    </w:p>
    <w:p>
      <w:pPr>
        <w:spacing w:after="0" w:line="209"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Authority of Committee</w:t>
      </w:r>
      <w:r>
        <w:rPr>
          <w:rFonts w:ascii="Arial" w:cs="Arial" w:eastAsia="Arial" w:hAnsi="Arial"/>
          <w:sz w:val="18"/>
          <w:szCs w:val="18"/>
          <w:color w:val="auto"/>
        </w:rPr>
        <w:t>. Subject to any specific designation in the Plan, the Committee has the exclusive power, authority and discretion to:</w:t>
      </w:r>
    </w:p>
    <w:p>
      <w:pPr>
        <w:spacing w:after="0" w:line="196" w:lineRule="exact"/>
        <w:rPr>
          <w:sz w:val="20"/>
          <w:szCs w:val="20"/>
          <w:color w:val="auto"/>
        </w:rPr>
      </w:pPr>
    </w:p>
    <w:p>
      <w:pPr>
        <w:ind w:left="1720" w:hanging="415"/>
        <w:spacing w:after="0"/>
        <w:tabs>
          <w:tab w:leader="none" w:pos="172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designate Participants to receive Awards;</w:t>
      </w:r>
    </w:p>
    <w:p>
      <w:pPr>
        <w:spacing w:after="0" w:line="225" w:lineRule="exact"/>
        <w:rPr>
          <w:rFonts w:ascii="Arial" w:cs="Arial" w:eastAsia="Arial" w:hAnsi="Arial"/>
          <w:sz w:val="18"/>
          <w:szCs w:val="18"/>
          <w:color w:val="auto"/>
        </w:rPr>
      </w:pPr>
    </w:p>
    <w:p>
      <w:pPr>
        <w:ind w:left="1720" w:hanging="415"/>
        <w:spacing w:after="0"/>
        <w:tabs>
          <w:tab w:leader="none" w:pos="172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determine the type or types of Awards to be granted to each Participant;</w:t>
      </w:r>
    </w:p>
    <w:p>
      <w:pPr>
        <w:spacing w:after="0" w:line="225" w:lineRule="exact"/>
        <w:rPr>
          <w:rFonts w:ascii="Arial" w:cs="Arial" w:eastAsia="Arial" w:hAnsi="Arial"/>
          <w:sz w:val="18"/>
          <w:szCs w:val="18"/>
          <w:color w:val="auto"/>
        </w:rPr>
      </w:pPr>
    </w:p>
    <w:p>
      <w:pPr>
        <w:ind w:left="1720" w:hanging="415"/>
        <w:spacing w:after="0"/>
        <w:tabs>
          <w:tab w:leader="none" w:pos="172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determine the number of Awards to be granted and the number of Shares to which an Award will relate;</w:t>
      </w:r>
    </w:p>
    <w:p>
      <w:pPr>
        <w:spacing w:after="0" w:line="225" w:lineRule="exact"/>
        <w:rPr>
          <w:rFonts w:ascii="Arial" w:cs="Arial" w:eastAsia="Arial" w:hAnsi="Arial"/>
          <w:sz w:val="18"/>
          <w:szCs w:val="18"/>
          <w:color w:val="auto"/>
        </w:rPr>
      </w:pPr>
    </w:p>
    <w:p>
      <w:pPr>
        <w:jc w:val="both"/>
        <w:ind w:left="180" w:firstLine="1125"/>
        <w:spacing w:after="0" w:line="254" w:lineRule="auto"/>
        <w:tabs>
          <w:tab w:leader="none" w:pos="1763" w:val="left"/>
        </w:tabs>
        <w:numPr>
          <w:ilvl w:val="0"/>
          <w:numId w:val="131"/>
        </w:numPr>
        <w:rPr>
          <w:rFonts w:ascii="Arial" w:cs="Arial" w:eastAsia="Arial" w:hAnsi="Arial"/>
          <w:sz w:val="18"/>
          <w:szCs w:val="18"/>
          <w:color w:val="auto"/>
        </w:rPr>
      </w:pPr>
      <w:r>
        <w:rPr>
          <w:rFonts w:ascii="Arial" w:cs="Arial" w:eastAsia="Arial" w:hAnsi="Arial"/>
          <w:sz w:val="18"/>
          <w:szCs w:val="18"/>
          <w:color w:val="auto"/>
        </w:rPr>
        <w:t>determine the terms and conditions of any Award granted pursuant to the Plan, including, without limitation, the exercise price, grant price, or purchase price, any restrictions or limitations on the Award, any schedule for lapse of forfeiture restrictions or restrictions on the exercisability of an Award, and accelerations or waivers thereof, any provisions related to recoupment of gain on an Award, based in each case on such considerations as the Committee in its sole discretion determines;</w:t>
      </w:r>
    </w:p>
    <w:p>
      <w:pPr>
        <w:spacing w:after="0" w:line="204" w:lineRule="exact"/>
        <w:rPr>
          <w:rFonts w:ascii="Arial" w:cs="Arial" w:eastAsia="Arial" w:hAnsi="Arial"/>
          <w:sz w:val="18"/>
          <w:szCs w:val="18"/>
          <w:color w:val="auto"/>
        </w:rPr>
      </w:pPr>
    </w:p>
    <w:p>
      <w:pPr>
        <w:ind w:left="180" w:firstLine="1125"/>
        <w:spacing w:after="0" w:line="262" w:lineRule="auto"/>
        <w:tabs>
          <w:tab w:leader="none" w:pos="1746" w:val="left"/>
        </w:tabs>
        <w:numPr>
          <w:ilvl w:val="0"/>
          <w:numId w:val="131"/>
        </w:numPr>
        <w:rPr>
          <w:rFonts w:ascii="Arial" w:cs="Arial" w:eastAsia="Arial" w:hAnsi="Arial"/>
          <w:sz w:val="18"/>
          <w:szCs w:val="18"/>
          <w:color w:val="auto"/>
        </w:rPr>
      </w:pPr>
      <w:r>
        <w:rPr>
          <w:rFonts w:ascii="Arial" w:cs="Arial" w:eastAsia="Arial" w:hAnsi="Arial"/>
          <w:sz w:val="18"/>
          <w:szCs w:val="18"/>
          <w:color w:val="auto"/>
        </w:rPr>
        <w:t>determine whether, to what extent, and pursuant to what circumstances an Award may be settled in, or the exercise price of an Award may be paid in, cash, Shares, other Awards, or other property, or an Award may be cancelled, forfeited, or surrendered;</w:t>
      </w:r>
    </w:p>
    <w:p>
      <w:pPr>
        <w:spacing w:after="0" w:line="196" w:lineRule="exact"/>
        <w:rPr>
          <w:rFonts w:ascii="Arial" w:cs="Arial" w:eastAsia="Arial" w:hAnsi="Arial"/>
          <w:sz w:val="18"/>
          <w:szCs w:val="18"/>
          <w:color w:val="auto"/>
        </w:rPr>
      </w:pPr>
    </w:p>
    <w:p>
      <w:pPr>
        <w:ind w:left="180" w:right="20" w:firstLine="1125"/>
        <w:spacing w:after="0" w:line="262" w:lineRule="auto"/>
        <w:tabs>
          <w:tab w:leader="none" w:pos="1846" w:val="left"/>
        </w:tabs>
        <w:numPr>
          <w:ilvl w:val="0"/>
          <w:numId w:val="131"/>
        </w:numPr>
        <w:rPr>
          <w:rFonts w:ascii="Arial" w:cs="Arial" w:eastAsia="Arial" w:hAnsi="Arial"/>
          <w:sz w:val="18"/>
          <w:szCs w:val="18"/>
          <w:color w:val="auto"/>
        </w:rPr>
      </w:pPr>
      <w:r>
        <w:rPr>
          <w:rFonts w:ascii="Arial" w:cs="Arial" w:eastAsia="Arial" w:hAnsi="Arial"/>
          <w:sz w:val="18"/>
          <w:szCs w:val="18"/>
          <w:color w:val="auto"/>
        </w:rPr>
        <w:t>prescribe the form of each Award Agreement, which need not be identical for each Participant and may vary for Participants within and outside of the U.S.;</w:t>
      </w:r>
    </w:p>
    <w:p>
      <w:pPr>
        <w:spacing w:after="0" w:line="196" w:lineRule="exact"/>
        <w:rPr>
          <w:rFonts w:ascii="Arial" w:cs="Arial" w:eastAsia="Arial" w:hAnsi="Arial"/>
          <w:sz w:val="18"/>
          <w:szCs w:val="18"/>
          <w:color w:val="auto"/>
        </w:rPr>
      </w:pPr>
    </w:p>
    <w:p>
      <w:pPr>
        <w:ind w:left="1720" w:hanging="415"/>
        <w:spacing w:after="0"/>
        <w:tabs>
          <w:tab w:leader="none" w:pos="172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decide all other matters that must be determined in connection with an Award;</w:t>
      </w:r>
    </w:p>
    <w:p>
      <w:pPr>
        <w:spacing w:after="0" w:line="225" w:lineRule="exact"/>
        <w:rPr>
          <w:rFonts w:ascii="Arial" w:cs="Arial" w:eastAsia="Arial" w:hAnsi="Arial"/>
          <w:sz w:val="18"/>
          <w:szCs w:val="18"/>
          <w:color w:val="auto"/>
        </w:rPr>
      </w:pPr>
    </w:p>
    <w:p>
      <w:pPr>
        <w:jc w:val="both"/>
        <w:ind w:left="180" w:right="20" w:firstLine="1125"/>
        <w:spacing w:after="0" w:line="256" w:lineRule="auto"/>
        <w:tabs>
          <w:tab w:leader="none" w:pos="1873" w:val="left"/>
        </w:tabs>
        <w:numPr>
          <w:ilvl w:val="0"/>
          <w:numId w:val="131"/>
        </w:numPr>
        <w:rPr>
          <w:rFonts w:ascii="Arial" w:cs="Arial" w:eastAsia="Arial" w:hAnsi="Arial"/>
          <w:sz w:val="18"/>
          <w:szCs w:val="18"/>
          <w:color w:val="auto"/>
        </w:rPr>
      </w:pPr>
      <w:r>
        <w:rPr>
          <w:rFonts w:ascii="Arial" w:cs="Arial" w:eastAsia="Arial" w:hAnsi="Arial"/>
          <w:sz w:val="18"/>
          <w:szCs w:val="18"/>
          <w:color w:val="auto"/>
        </w:rPr>
        <w:t>establish, adopt or revise any rules and regulations, including adopting sub-plans to the Plan, for the purposes of facilitating compliance with foreign laws, easing the administration of the Plan and/or taking advantage of tax-favorable treatment for Awards granted to Participants outside the U.S., in each case as it may deem necessary or advisable;</w:t>
      </w:r>
    </w:p>
    <w:p>
      <w:pPr>
        <w:spacing w:after="0" w:line="201" w:lineRule="exact"/>
        <w:rPr>
          <w:rFonts w:ascii="Arial" w:cs="Arial" w:eastAsia="Arial" w:hAnsi="Arial"/>
          <w:sz w:val="18"/>
          <w:szCs w:val="18"/>
          <w:color w:val="auto"/>
        </w:rPr>
      </w:pPr>
    </w:p>
    <w:p>
      <w:pPr>
        <w:ind w:left="1660" w:hanging="355"/>
        <w:spacing w:after="0"/>
        <w:tabs>
          <w:tab w:leader="none" w:pos="1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suspend or terminate the Plan at any time, subject to Article 15;</w:t>
      </w:r>
    </w:p>
    <w:p>
      <w:pPr>
        <w:spacing w:after="0" w:line="225" w:lineRule="exact"/>
        <w:rPr>
          <w:rFonts w:ascii="Arial" w:cs="Arial" w:eastAsia="Arial" w:hAnsi="Arial"/>
          <w:sz w:val="18"/>
          <w:szCs w:val="18"/>
          <w:color w:val="auto"/>
        </w:rPr>
      </w:pPr>
    </w:p>
    <w:p>
      <w:pPr>
        <w:jc w:val="both"/>
        <w:ind w:left="180" w:firstLine="1125"/>
        <w:spacing w:after="0" w:line="252" w:lineRule="auto"/>
        <w:tabs>
          <w:tab w:leader="none" w:pos="1736" w:val="left"/>
        </w:tabs>
        <w:numPr>
          <w:ilvl w:val="0"/>
          <w:numId w:val="131"/>
        </w:numPr>
        <w:rPr>
          <w:rFonts w:ascii="Arial" w:cs="Arial" w:eastAsia="Arial" w:hAnsi="Arial"/>
          <w:sz w:val="18"/>
          <w:szCs w:val="18"/>
          <w:color w:val="auto"/>
        </w:rPr>
      </w:pPr>
      <w:r>
        <w:rPr>
          <w:rFonts w:ascii="Arial" w:cs="Arial" w:eastAsia="Arial" w:hAnsi="Arial"/>
          <w:sz w:val="18"/>
          <w:szCs w:val="18"/>
          <w:color w:val="auto"/>
        </w:rPr>
        <w:t xml:space="preserve">amend or modify the terms of an Award, including, without limitation, accelerate the vesting and/or exercisability of any Award for any reason, including, without limitation, the Participant's retirement or other termination;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 amendment or modification of an outstanding Award other than the following types of amendments or modifications shall affect adversely, in any material way, any Award previously granted pursuant to the Plan without the prior written consent of the Participant: (i) an amendment or modification that may cause an Incentive Stock Option to become a Non-Qualified Stock Option; (ii) an amendment made or other action taken pursuant to Section 16.14 of the Plan; (iii) any amendment or other action that may be required or desirable to facilitate compliance with Applicable Laws, as determined in the sole discretion of the Committee .</w:t>
      </w: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P97</w:t>
      </w:r>
    </w:p>
    <w:p>
      <w:pPr>
        <w:sectPr>
          <w:pgSz w:w="11900" w:h="16838" w:orient="portrait"/>
          <w:cols w:equalWidth="0" w:num="1">
            <w:col w:w="11420"/>
          </w:cols>
          <w:pgMar w:left="240" w:top="598" w:right="239" w:bottom="1440" w:gutter="0" w:footer="0" w:header="0"/>
        </w:sectPr>
      </w:pPr>
    </w:p>
    <w:bookmarkStart w:id="101" w:name="page102"/>
    <w:bookmarkEnd w:id="101"/>
    <w:p>
      <w:pPr>
        <w:ind w:left="1720" w:hanging="415"/>
        <w:spacing w:after="0"/>
        <w:tabs>
          <w:tab w:leader="none" w:pos="172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interpret the terms of, and any matter arising pursuant to, the Plan or any Award Agreement; and</w:t>
      </w:r>
    </w:p>
    <w:p>
      <w:pPr>
        <w:spacing w:after="0" w:line="225" w:lineRule="exact"/>
        <w:rPr>
          <w:rFonts w:ascii="Arial" w:cs="Arial" w:eastAsia="Arial" w:hAnsi="Arial"/>
          <w:sz w:val="18"/>
          <w:szCs w:val="18"/>
          <w:color w:val="auto"/>
        </w:rPr>
      </w:pPr>
    </w:p>
    <w:p>
      <w:pPr>
        <w:ind w:left="180" w:right="20" w:firstLine="1125"/>
        <w:spacing w:after="0" w:line="262" w:lineRule="auto"/>
        <w:tabs>
          <w:tab w:leader="none" w:pos="1765" w:val="left"/>
        </w:tabs>
        <w:numPr>
          <w:ilvl w:val="0"/>
          <w:numId w:val="132"/>
        </w:numPr>
        <w:rPr>
          <w:rFonts w:ascii="Arial" w:cs="Arial" w:eastAsia="Arial" w:hAnsi="Arial"/>
          <w:sz w:val="18"/>
          <w:szCs w:val="18"/>
          <w:color w:val="auto"/>
        </w:rPr>
      </w:pPr>
      <w:r>
        <w:rPr>
          <w:rFonts w:ascii="Arial" w:cs="Arial" w:eastAsia="Arial" w:hAnsi="Arial"/>
          <w:sz w:val="18"/>
          <w:szCs w:val="18"/>
          <w:color w:val="auto"/>
        </w:rPr>
        <w:t>make all other decisions and determinations that may be required pursuant to the Plan or that the Committee deems necessary or advisable to administer the Plan.</w:t>
      </w:r>
    </w:p>
    <w:p>
      <w:pPr>
        <w:spacing w:after="0" w:line="19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Decisions Binding</w:t>
      </w:r>
      <w:r>
        <w:rPr>
          <w:rFonts w:ascii="Arial" w:cs="Arial" w:eastAsia="Arial" w:hAnsi="Arial"/>
          <w:sz w:val="18"/>
          <w:szCs w:val="18"/>
          <w:color w:val="auto"/>
        </w:rPr>
        <w:t>. The Committee’s interpretation of the Plan, any Awards granted pursuant to the Plan, and any Award Agreement and all decisions and determinations by the Committee with respect to the Plan are final, binding, and conclusive on all parties.</w:t>
      </w:r>
    </w:p>
    <w:p>
      <w:pPr>
        <w:spacing w:after="0" w:line="19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Delegation of Authority</w:t>
      </w:r>
      <w:r>
        <w:rPr>
          <w:rFonts w:ascii="Arial" w:cs="Arial" w:eastAsia="Arial" w:hAnsi="Arial"/>
          <w:sz w:val="18"/>
          <w:szCs w:val="18"/>
          <w:color w:val="auto"/>
        </w:rPr>
        <w:t>. To the extent permitted by Applicable Laws, the Board, from time to time, may delegate to a Committee of one or more members of the Board (pursuant to delegation that does not meet the requirement of Section 3.1 hereof) or to one or more officers of the Company the authority to grant Awards to Participants other than (a) Employees who are subject to Section 16 of the Exchange Act, or (b) officers of the Company (or Directors) to whom authority to grant or amend Awards has been delegated hereunder. Furthermore, if the authority to grant or amend Awards has been delegated to the Committee pursuant and subject to the preceding sentence, such authority may be further delegated by the Committee to one or more officers of the Company. For the avoidance of doubt, provided it meets the limitations of this Section 3.5, any delegation hereunder shall include the right to modify Awards as necessary to accommodate changes in Applicable Laws or regulations, including in jurisdictions outside the U.S. Furthermore, any delegation hereunder shall be subject to the restrictions and limitations that the Board (or, as applicable, the Committee) specifies at the time of such delegation, and the Board (or, as applicable, the Committee) may rescind at any time the authority so delegated and/or appoint a new delegatee. At all times, the delegatee appointed under this Section 3.5 shall serve in such capacity at the pleasure of the Board (or, as applicable, the Committee).</w:t>
      </w:r>
    </w:p>
    <w:p>
      <w:pPr>
        <w:spacing w:after="0" w:line="190"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ARTICLE 4.</w:t>
      </w:r>
      <w:r>
        <w:rPr>
          <w:sz w:val="20"/>
          <w:szCs w:val="20"/>
          <w:color w:val="auto"/>
        </w:rPr>
        <w:tab/>
      </w:r>
      <w:r>
        <w:rPr>
          <w:rFonts w:ascii="Arial" w:cs="Arial" w:eastAsia="Arial" w:hAnsi="Arial"/>
          <w:sz w:val="18"/>
          <w:szCs w:val="18"/>
          <w:b w:val="1"/>
          <w:bCs w:val="1"/>
          <w:color w:val="auto"/>
        </w:rPr>
        <w:t>SHARES SUBJECT TO THE PLAN</w:t>
      </w:r>
    </w:p>
    <w:p>
      <w:pPr>
        <w:spacing w:after="0" w:line="24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Number of Shares</w:t>
      </w:r>
      <w:r>
        <w:rPr>
          <w:rFonts w:ascii="Arial" w:cs="Arial" w:eastAsia="Arial" w:hAnsi="Arial"/>
          <w:sz w:val="18"/>
          <w:szCs w:val="18"/>
          <w:color w:val="auto"/>
        </w:rPr>
        <w:t>. Subject to Article 13 hereof, the aggregate number of Shares that may be issued or transferred pursuant to Awards under the Plan shall be the sum of (i) 75,657,296 Shares, plus (ii) the number of Shares available for issuance under the Prior Plans (including Shares subject to awards granted under the Prior Plans that otherwise subsequently became available for issuance under the Prior Plans upon forfeiture, cancellation, or termination of the awards or any other reason under the terms of the Prior Plans); provided, however, that only 53,000,000 Shares may be issued or transferred pursuant to new Awards granted on or following the Effective Date. Subject to Article 13, the aggregate number of Shares that may be issued or transferred pursuant to the exercise of Incentive Stock Options shall be 30,000,000.</w:t>
      </w:r>
    </w:p>
    <w:p>
      <w:pPr>
        <w:spacing w:after="0" w:line="209" w:lineRule="exact"/>
        <w:rPr>
          <w:sz w:val="20"/>
          <w:szCs w:val="20"/>
          <w:color w:val="auto"/>
        </w:rPr>
      </w:pPr>
    </w:p>
    <w:p>
      <w:pPr>
        <w:ind w:left="1760" w:hanging="455"/>
        <w:spacing w:after="0"/>
        <w:tabs>
          <w:tab w:leader="none" w:pos="1760" w:val="left"/>
        </w:tabs>
        <w:numPr>
          <w:ilvl w:val="1"/>
          <w:numId w:val="133"/>
        </w:numPr>
        <w:rPr>
          <w:rFonts w:ascii="Arial" w:cs="Arial" w:eastAsia="Arial" w:hAnsi="Arial"/>
          <w:sz w:val="18"/>
          <w:szCs w:val="18"/>
          <w:color w:val="auto"/>
        </w:rPr>
      </w:pPr>
      <w:r>
        <w:rPr>
          <w:rFonts w:ascii="Arial" w:cs="Arial" w:eastAsia="Arial" w:hAnsi="Arial"/>
          <w:sz w:val="18"/>
          <w:szCs w:val="18"/>
          <w:u w:val="single" w:color="auto"/>
          <w:color w:val="auto"/>
        </w:rPr>
        <w:t>Shares Reissuable under Plan</w:t>
      </w:r>
      <w:r>
        <w:rPr>
          <w:rFonts w:ascii="Arial" w:cs="Arial" w:eastAsia="Arial" w:hAnsi="Arial"/>
          <w:sz w:val="18"/>
          <w:szCs w:val="18"/>
          <w:color w:val="auto"/>
        </w:rPr>
        <w:t>. The following Shares shall again be available for the grant of an Award pursuant to the</w:t>
      </w:r>
    </w:p>
    <w:p>
      <w:pPr>
        <w:spacing w:after="0" w:line="9" w:lineRule="exact"/>
        <w:rPr>
          <w:rFonts w:ascii="Arial" w:cs="Arial" w:eastAsia="Arial" w:hAnsi="Arial"/>
          <w:sz w:val="18"/>
          <w:szCs w:val="18"/>
          <w:color w:val="auto"/>
        </w:rPr>
      </w:pPr>
    </w:p>
    <w:p>
      <w:pPr>
        <w:jc w:val="both"/>
        <w:ind w:left="180"/>
        <w:spacing w:after="0" w:line="250" w:lineRule="auto"/>
        <w:rPr>
          <w:rFonts w:ascii="Arial" w:cs="Arial" w:eastAsia="Arial" w:hAnsi="Arial"/>
          <w:sz w:val="18"/>
          <w:szCs w:val="18"/>
          <w:color w:val="auto"/>
        </w:rPr>
      </w:pPr>
      <w:r>
        <w:rPr>
          <w:rFonts w:ascii="Arial" w:cs="Arial" w:eastAsia="Arial" w:hAnsi="Arial"/>
          <w:sz w:val="18"/>
          <w:szCs w:val="18"/>
          <w:color w:val="auto"/>
        </w:rPr>
        <w:t>Plan: (i) Shares that are not issued as a result of the termination, expiration or lapsing of any Award for any reason; (ii) Shares subject to a Full Value Award that are not issued because the Award is settled in cash; (iii) Shares covered by an Option which are surrendered in payment of the Option exercise or purchase price or in satisfaction of obligations for Tax-Related Items incident to the exercise of an Option;</w:t>
      </w:r>
    </w:p>
    <w:p>
      <w:pPr>
        <w:spacing w:after="0" w:line="1" w:lineRule="exact"/>
        <w:rPr>
          <w:rFonts w:ascii="Arial" w:cs="Arial" w:eastAsia="Arial" w:hAnsi="Arial"/>
          <w:sz w:val="18"/>
          <w:szCs w:val="18"/>
          <w:color w:val="auto"/>
        </w:rPr>
      </w:pPr>
    </w:p>
    <w:p>
      <w:pPr>
        <w:jc w:val="both"/>
        <w:ind w:left="180" w:hanging="10"/>
        <w:spacing w:after="0" w:line="256" w:lineRule="auto"/>
        <w:tabs>
          <w:tab w:leader="none" w:pos="519" w:val="left"/>
        </w:tabs>
        <w:numPr>
          <w:ilvl w:val="0"/>
          <w:numId w:val="134"/>
        </w:numPr>
        <w:rPr>
          <w:rFonts w:ascii="Arial" w:cs="Arial" w:eastAsia="Arial" w:hAnsi="Arial"/>
          <w:sz w:val="18"/>
          <w:szCs w:val="18"/>
          <w:color w:val="auto"/>
        </w:rPr>
      </w:pPr>
      <w:r>
        <w:rPr>
          <w:rFonts w:ascii="Arial" w:cs="Arial" w:eastAsia="Arial" w:hAnsi="Arial"/>
          <w:sz w:val="18"/>
          <w:szCs w:val="18"/>
          <w:color w:val="auto"/>
        </w:rPr>
        <w:t>Shares covered by an Award which are surrendered in satisfaction of obligations for Tax-Related Items incident to the vesting or settlement of a Full Value Award. Notwithstanding the provisions of this Section 4.1, no Shares may again be optioned, granted or awarded if such action would cause an Incentive Stock Option to fail to qualify as an Incentive Stock Option.</w:t>
      </w:r>
    </w:p>
    <w:p>
      <w:pPr>
        <w:spacing w:after="0" w:line="201" w:lineRule="exact"/>
        <w:rPr>
          <w:rFonts w:ascii="Arial" w:cs="Arial" w:eastAsia="Arial" w:hAnsi="Arial"/>
          <w:sz w:val="18"/>
          <w:szCs w:val="18"/>
          <w:color w:val="auto"/>
        </w:rPr>
      </w:pPr>
    </w:p>
    <w:p>
      <w:pPr>
        <w:jc w:val="both"/>
        <w:ind w:left="180" w:firstLine="1125"/>
        <w:spacing w:after="0" w:line="256" w:lineRule="auto"/>
        <w:tabs>
          <w:tab w:leader="none" w:pos="1748" w:val="left"/>
        </w:tabs>
        <w:numPr>
          <w:ilvl w:val="1"/>
          <w:numId w:val="134"/>
        </w:numPr>
        <w:rPr>
          <w:rFonts w:ascii="Arial" w:cs="Arial" w:eastAsia="Arial" w:hAnsi="Arial"/>
          <w:sz w:val="18"/>
          <w:szCs w:val="18"/>
          <w:color w:val="auto"/>
        </w:rPr>
      </w:pPr>
      <w:r>
        <w:rPr>
          <w:rFonts w:ascii="Arial" w:cs="Arial" w:eastAsia="Arial" w:hAnsi="Arial"/>
          <w:sz w:val="18"/>
          <w:szCs w:val="18"/>
          <w:u w:val="single" w:color="auto"/>
          <w:color w:val="auto"/>
        </w:rPr>
        <w:t>Shares Not Reissuable under Plan</w:t>
      </w:r>
      <w:r>
        <w:rPr>
          <w:rFonts w:ascii="Arial" w:cs="Arial" w:eastAsia="Arial" w:hAnsi="Arial"/>
          <w:sz w:val="18"/>
          <w:szCs w:val="18"/>
          <w:color w:val="auto"/>
        </w:rPr>
        <w:t>. Notwithstanding the foregoing, Shares that are repurchased on the open market with the proceeds of the exercise of an Option shall be counted against the maximum number of Shares available for issuance pursuant to Section 4.1 hereof and shall not be returned to the Plan.</w:t>
      </w:r>
    </w:p>
    <w:p>
      <w:pPr>
        <w:spacing w:after="0" w:line="201" w:lineRule="exact"/>
        <w:rPr>
          <w:rFonts w:ascii="Arial" w:cs="Arial" w:eastAsia="Arial" w:hAnsi="Arial"/>
          <w:sz w:val="18"/>
          <w:szCs w:val="18"/>
          <w:color w:val="auto"/>
        </w:rPr>
      </w:pPr>
    </w:p>
    <w:p>
      <w:pPr>
        <w:jc w:val="both"/>
        <w:ind w:left="180" w:firstLine="1125"/>
        <w:spacing w:after="0" w:line="251" w:lineRule="auto"/>
        <w:tabs>
          <w:tab w:leader="none" w:pos="1886" w:val="left"/>
        </w:tabs>
        <w:numPr>
          <w:ilvl w:val="1"/>
          <w:numId w:val="134"/>
        </w:numPr>
        <w:rPr>
          <w:rFonts w:ascii="Arial" w:cs="Arial" w:eastAsia="Arial" w:hAnsi="Arial"/>
          <w:sz w:val="18"/>
          <w:szCs w:val="18"/>
          <w:color w:val="auto"/>
        </w:rPr>
      </w:pPr>
      <w:r>
        <w:rPr>
          <w:rFonts w:ascii="Arial" w:cs="Arial" w:eastAsia="Arial" w:hAnsi="Arial"/>
          <w:sz w:val="18"/>
          <w:szCs w:val="18"/>
          <w:u w:val="single" w:color="auto"/>
          <w:color w:val="auto"/>
        </w:rPr>
        <w:t>Shares Not Counted Against Share Pool Reserve</w:t>
      </w:r>
      <w:r>
        <w:rPr>
          <w:rFonts w:ascii="Arial" w:cs="Arial" w:eastAsia="Arial" w:hAnsi="Arial"/>
          <w:sz w:val="18"/>
          <w:szCs w:val="18"/>
          <w:color w:val="auto"/>
        </w:rPr>
        <w:t>. To the extent permitted by Applicable Laws, Shares issued in assumption of, or in substitution for, any outstanding awards of any entity acquired in any form of combination by the Company or an Affiliate shall not be counted against Shares available for grant pursuant to this Plan. Additionally, to the extent permitted by Applicable Laws, in the event that a company acquired by (or combined with) the Company or an Affiliate has shares available under a pre-existing plan approved by its shareholders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shareholders of the entities party to such acquisition or combination) may, at the discretion of the Committee, be used for Awards under the Plan in lieu of awards under the applicable pre-existing plan of the other company and</w:t>
      </w:r>
    </w:p>
    <w:p>
      <w:pPr>
        <w:spacing w:after="0" w:line="200" w:lineRule="exact"/>
        <w:rPr>
          <w:sz w:val="20"/>
          <w:szCs w:val="20"/>
          <w:color w:val="auto"/>
        </w:rPr>
      </w:pPr>
    </w:p>
    <w:p>
      <w:pPr>
        <w:spacing w:after="0" w:line="2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P98</w:t>
      </w:r>
    </w:p>
    <w:p>
      <w:pPr>
        <w:sectPr>
          <w:pgSz w:w="11900" w:h="16838" w:orient="portrait"/>
          <w:cols w:equalWidth="0" w:num="1">
            <w:col w:w="11420"/>
          </w:cols>
          <w:pgMar w:left="240" w:top="598" w:right="239" w:bottom="1440" w:gutter="0" w:footer="0" w:header="0"/>
        </w:sectPr>
      </w:pPr>
    </w:p>
    <w:bookmarkStart w:id="102" w:name="page103"/>
    <w:bookmarkEnd w:id="102"/>
    <w:p>
      <w:pPr>
        <w:jc w:val="both"/>
        <w:ind w:left="180"/>
        <w:spacing w:after="0" w:line="258" w:lineRule="auto"/>
        <w:rPr>
          <w:sz w:val="20"/>
          <w:szCs w:val="20"/>
          <w:color w:val="auto"/>
        </w:rPr>
      </w:pPr>
      <w:r>
        <w:rPr>
          <w:rFonts w:ascii="Arial" w:cs="Arial" w:eastAsia="Arial" w:hAnsi="Arial"/>
          <w:sz w:val="18"/>
          <w:szCs w:val="18"/>
          <w:color w:val="auto"/>
        </w:rPr>
        <w:t xml:space="preserve">shall not reduce the Shares authorized for grant under the Plan;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Awards using such available shares shall not be made after the date awards or grants could have been made under the terms of the pre-existing plan absent the acquisition or combination, and shall only be made to individuals who were not employees or directors of the Company or any Affiliate in existence prior to such acquisition or combination by the Company or an Affiliate. The payment of Dividend Equivalent Rights in cash in conjunction with any outstanding Awards shall not be counted against the Shares available for issuance under the Plan.</w:t>
      </w:r>
    </w:p>
    <w:p>
      <w:pPr>
        <w:spacing w:after="0" w:line="20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Shares Distributed</w:t>
      </w:r>
      <w:r>
        <w:rPr>
          <w:rFonts w:ascii="Arial" w:cs="Arial" w:eastAsia="Arial" w:hAnsi="Arial"/>
          <w:sz w:val="18"/>
          <w:szCs w:val="18"/>
          <w:color w:val="auto"/>
        </w:rPr>
        <w:t>. Any Shares distributed pursuant to an Award may consist, in whole or in part, of authorized and unissued Shares, treasury Shares or Shares purchased on the open market, subject to Section 4.1(b)(ii) hereof.</w:t>
      </w:r>
    </w:p>
    <w:p>
      <w:pPr>
        <w:spacing w:after="0" w:line="196"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Limitation on Number of Shares Subject to Awards</w:t>
      </w:r>
      <w:r>
        <w:rPr>
          <w:rFonts w:ascii="Arial" w:cs="Arial" w:eastAsia="Arial" w:hAnsi="Arial"/>
          <w:sz w:val="18"/>
          <w:szCs w:val="18"/>
          <w:color w:val="auto"/>
        </w:rPr>
        <w:t>. Notwithstanding any provision in the Plan to the contrary, and subject to Article 13, the maximum number of Shares subject to all Awards that may be granted to any one Participant during any calendar year shall be 1,500,000 Shares.</w:t>
      </w:r>
    </w:p>
    <w:p>
      <w:pPr>
        <w:spacing w:after="0" w:line="20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Non-Employee Director Award Limit</w:t>
      </w:r>
      <w:r>
        <w:rPr>
          <w:rFonts w:ascii="Arial" w:cs="Arial" w:eastAsia="Arial" w:hAnsi="Arial"/>
          <w:sz w:val="18"/>
          <w:szCs w:val="18"/>
          <w:color w:val="auto"/>
        </w:rPr>
        <w:t>. Notwithstanding any provision to the contrary in the Plan or in any policy of the Company regarding compensation payable to a Non-Employee Director, the sum of the grant date fair value (determined as of the grant date in accordance with Financial Accounting Standards Board Accounting Standards Codification Topic 718, or any successor thereto) of all Awards payable in Common Stock to an individual as compensation for services as a Non-Employee Director, together with cash compensation earned by the Non-Employee Director during any calendar year, shall not exceed $800,000 in any calendar year.</w:t>
      </w:r>
    </w:p>
    <w:p>
      <w:pPr>
        <w:spacing w:after="0" w:line="184"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ARTICLE 5.</w:t>
      </w:r>
      <w:r>
        <w:rPr>
          <w:sz w:val="20"/>
          <w:szCs w:val="20"/>
          <w:color w:val="auto"/>
        </w:rPr>
        <w:tab/>
      </w:r>
      <w:r>
        <w:rPr>
          <w:rFonts w:ascii="Arial" w:cs="Arial" w:eastAsia="Arial" w:hAnsi="Arial"/>
          <w:sz w:val="17"/>
          <w:szCs w:val="17"/>
          <w:b w:val="1"/>
          <w:bCs w:val="1"/>
          <w:color w:val="auto"/>
        </w:rPr>
        <w:t>ELIGIBILITY AND PARTICIPATION</w:t>
      </w:r>
    </w:p>
    <w:p>
      <w:pPr>
        <w:spacing w:after="0" w:line="24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Eligibility</w:t>
      </w:r>
      <w:r>
        <w:rPr>
          <w:rFonts w:ascii="Arial" w:cs="Arial" w:eastAsia="Arial" w:hAnsi="Arial"/>
          <w:sz w:val="18"/>
          <w:szCs w:val="18"/>
          <w:color w:val="auto"/>
        </w:rPr>
        <w:t>. Each Eligible Individual shall be eligible to be granted one or more Awards pursuant to the Plan. An Eligible Individual who is subject to taxation in the U.S. and who is providing Services to an Affiliate may be granted Options or SARs under this Plan only if the Affiliate qualifies as an “eligible issuer of service recipient stock” within the meaning of the U.S. Department of Treasury regulations promulgated under Section 409A of the Code.</w:t>
      </w:r>
    </w:p>
    <w:p>
      <w:pPr>
        <w:spacing w:after="0" w:line="20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Participation</w:t>
      </w:r>
      <w:r>
        <w:rPr>
          <w:rFonts w:ascii="Arial" w:cs="Arial" w:eastAsia="Arial" w:hAnsi="Arial"/>
          <w:sz w:val="18"/>
          <w:szCs w:val="18"/>
          <w:color w:val="auto"/>
        </w:rPr>
        <w:t>. Subject to the provisions of the Plan, the Committee, from time to time, may select from among all Eligible Individuals those to whom Awards shall be granted, and shall determine the nature and amount of each Award. No Eligible Individual shall have any right to be granted an Award pursuant to this Plan and the grant of an Award to an Eligible Individual shall not imply any entitlement to receive future Awards.</w:t>
      </w:r>
    </w:p>
    <w:p>
      <w:pPr>
        <w:spacing w:after="0" w:line="182"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ARTICLE 6.</w:t>
      </w:r>
      <w:r>
        <w:rPr>
          <w:sz w:val="20"/>
          <w:szCs w:val="20"/>
          <w:color w:val="auto"/>
        </w:rPr>
        <w:tab/>
      </w:r>
      <w:r>
        <w:rPr>
          <w:rFonts w:ascii="Arial" w:cs="Arial" w:eastAsia="Arial" w:hAnsi="Arial"/>
          <w:sz w:val="18"/>
          <w:szCs w:val="18"/>
          <w:b w:val="1"/>
          <w:bCs w:val="1"/>
          <w:color w:val="auto"/>
        </w:rPr>
        <w:t>STOCK OPTIONS</w:t>
      </w:r>
    </w:p>
    <w:p>
      <w:pPr>
        <w:spacing w:after="0" w:line="247"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8"/>
          <w:szCs w:val="18"/>
          <w:u w:val="single" w:color="auto"/>
          <w:color w:val="auto"/>
        </w:rPr>
        <w:t>General</w:t>
      </w:r>
      <w:r>
        <w:rPr>
          <w:rFonts w:ascii="Arial" w:cs="Arial" w:eastAsia="Arial" w:hAnsi="Arial"/>
          <w:sz w:val="18"/>
          <w:szCs w:val="18"/>
          <w:color w:val="auto"/>
        </w:rPr>
        <w:t>. The Committee is authorized to grant Options to Eligible Individuals on the following terms and conditions, and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Committee may specify such additional terms and conditions as:</w:t>
      </w:r>
    </w:p>
    <w:p>
      <w:pPr>
        <w:spacing w:after="0" w:line="225" w:lineRule="exact"/>
        <w:rPr>
          <w:sz w:val="20"/>
          <w:szCs w:val="20"/>
          <w:color w:val="auto"/>
        </w:rPr>
      </w:pPr>
    </w:p>
    <w:p>
      <w:pPr>
        <w:jc w:val="both"/>
        <w:ind w:left="180" w:right="20" w:firstLine="1125"/>
        <w:spacing w:after="0" w:line="256" w:lineRule="auto"/>
        <w:tabs>
          <w:tab w:leader="none" w:pos="1748" w:val="left"/>
        </w:tabs>
        <w:numPr>
          <w:ilvl w:val="1"/>
          <w:numId w:val="135"/>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xml:space="preserve">. The exercise price per Share subject to an Option shall be determined by the Committee and set forth in the Award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subject to Section 6.2(c) hereof, the per-Share exercise price for any Option shall not be less than 100% of the Fair Market Value of a Share on the date of grant.</w:t>
      </w:r>
    </w:p>
    <w:p>
      <w:pPr>
        <w:spacing w:after="0" w:line="201" w:lineRule="exact"/>
        <w:rPr>
          <w:rFonts w:ascii="Arial" w:cs="Arial" w:eastAsia="Arial" w:hAnsi="Arial"/>
          <w:sz w:val="18"/>
          <w:szCs w:val="18"/>
          <w:color w:val="auto"/>
        </w:rPr>
      </w:pPr>
    </w:p>
    <w:p>
      <w:pPr>
        <w:jc w:val="both"/>
        <w:ind w:left="180" w:firstLine="1125"/>
        <w:spacing w:after="0" w:line="253" w:lineRule="auto"/>
        <w:tabs>
          <w:tab w:leader="none" w:pos="1748" w:val="left"/>
        </w:tabs>
        <w:numPr>
          <w:ilvl w:val="1"/>
          <w:numId w:val="135"/>
        </w:numPr>
        <w:rPr>
          <w:rFonts w:ascii="Arial" w:cs="Arial" w:eastAsia="Arial" w:hAnsi="Arial"/>
          <w:sz w:val="18"/>
          <w:szCs w:val="18"/>
          <w:color w:val="auto"/>
        </w:rPr>
      </w:pPr>
      <w:r>
        <w:rPr>
          <w:rFonts w:ascii="Arial" w:cs="Arial" w:eastAsia="Arial" w:hAnsi="Arial"/>
          <w:sz w:val="18"/>
          <w:szCs w:val="18"/>
          <w:u w:val="single" w:color="auto"/>
          <w:color w:val="auto"/>
        </w:rPr>
        <w:t>Time and Conditions of Exercise</w:t>
      </w:r>
      <w:r>
        <w:rPr>
          <w:rFonts w:ascii="Arial" w:cs="Arial" w:eastAsia="Arial" w:hAnsi="Arial"/>
          <w:sz w:val="18"/>
          <w:szCs w:val="18"/>
          <w:color w:val="auto"/>
        </w:rPr>
        <w:t xml:space="preserve">. The Committee shall determine the time or times at which an Option may be exercised in whole or in part;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term of any Option granted under the Plan shall not exceed ten (10) years. Subject to Section 12.3, the Committee also shall specify the vesting conditions, if any, as it deems appropriate that must be satisfied before all or part of an Option may be exercised. The vesting conditions, if any, may be based on, among other conditions, a Participant’s continued Service, the attainment of performance conditions, or a combination of both.</w:t>
      </w:r>
    </w:p>
    <w:p>
      <w:pPr>
        <w:spacing w:after="0" w:line="205" w:lineRule="exact"/>
        <w:rPr>
          <w:rFonts w:ascii="Arial" w:cs="Arial" w:eastAsia="Arial" w:hAnsi="Arial"/>
          <w:sz w:val="18"/>
          <w:szCs w:val="18"/>
          <w:color w:val="auto"/>
        </w:rPr>
      </w:pPr>
    </w:p>
    <w:p>
      <w:pPr>
        <w:jc w:val="both"/>
        <w:ind w:left="180" w:firstLine="1125"/>
        <w:spacing w:after="0" w:line="250" w:lineRule="auto"/>
        <w:tabs>
          <w:tab w:leader="none" w:pos="1765" w:val="left"/>
        </w:tabs>
        <w:numPr>
          <w:ilvl w:val="1"/>
          <w:numId w:val="135"/>
        </w:numPr>
        <w:rPr>
          <w:rFonts w:ascii="Arial" w:cs="Arial" w:eastAsia="Arial" w:hAnsi="Arial"/>
          <w:sz w:val="18"/>
          <w:szCs w:val="18"/>
          <w:color w:val="auto"/>
        </w:rPr>
      </w:pPr>
      <w:r>
        <w:rPr>
          <w:rFonts w:ascii="Arial" w:cs="Arial" w:eastAsia="Arial" w:hAnsi="Arial"/>
          <w:sz w:val="18"/>
          <w:szCs w:val="18"/>
          <w:u w:val="single" w:color="auto"/>
          <w:color w:val="auto"/>
        </w:rPr>
        <w:t>Payment</w:t>
      </w:r>
      <w:r>
        <w:rPr>
          <w:rFonts w:ascii="Arial" w:cs="Arial" w:eastAsia="Arial" w:hAnsi="Arial"/>
          <w:sz w:val="18"/>
          <w:szCs w:val="18"/>
          <w:color w:val="auto"/>
        </w:rPr>
        <w:t>. The Committee shall determine the methods by which the exercise price of an Option may be paid, including the following methods: (i) cash or check; (ii) surrender of Shares or delivery of a properly executed form of attestation of ownership of Shares as the Committee may require (including withholding of Shares otherwise deliverable upon exercise of the Option) which have a Fair Market Value on the date or surrender of attestation equal to the aggregate exercise price of the Shares as to which the Option is to be exercised;</w:t>
      </w:r>
    </w:p>
    <w:p>
      <w:pPr>
        <w:spacing w:after="0" w:line="1" w:lineRule="exact"/>
        <w:rPr>
          <w:rFonts w:ascii="Arial" w:cs="Arial" w:eastAsia="Arial" w:hAnsi="Arial"/>
          <w:sz w:val="18"/>
          <w:szCs w:val="18"/>
          <w:color w:val="auto"/>
        </w:rPr>
      </w:pPr>
    </w:p>
    <w:p>
      <w:pPr>
        <w:jc w:val="both"/>
        <w:ind w:left="180" w:hanging="10"/>
        <w:spacing w:after="0" w:line="254" w:lineRule="auto"/>
        <w:tabs>
          <w:tab w:leader="none" w:pos="494" w:val="left"/>
        </w:tabs>
        <w:numPr>
          <w:ilvl w:val="0"/>
          <w:numId w:val="136"/>
        </w:numPr>
        <w:rPr>
          <w:rFonts w:ascii="Arial" w:cs="Arial" w:eastAsia="Arial" w:hAnsi="Arial"/>
          <w:sz w:val="18"/>
          <w:szCs w:val="18"/>
          <w:color w:val="auto"/>
        </w:rPr>
      </w:pPr>
      <w:r>
        <w:rPr>
          <w:rFonts w:ascii="Arial" w:cs="Arial" w:eastAsia="Arial" w:hAnsi="Arial"/>
          <w:sz w:val="18"/>
          <w:szCs w:val="18"/>
          <w:color w:val="auto"/>
        </w:rPr>
        <w:t>promissory note from a Participant to the Company or a third-party loan guaranteed by the Company (in either case, with such loan bearing interest at no less than such rate as shall then preclude the imputation of interest under the Code); (iv) through the delivery of a notice that the Participant has placed a market sell order with a broker with respect to Shares then issuable upon exercise of the Option, and that the broker has been directed to pay a sufficient</w:t>
      </w:r>
    </w:p>
    <w:p>
      <w:pPr>
        <w:spacing w:after="0" w:line="200" w:lineRule="exact"/>
        <w:rPr>
          <w:sz w:val="20"/>
          <w:szCs w:val="20"/>
          <w:color w:val="auto"/>
        </w:rPr>
      </w:pPr>
    </w:p>
    <w:p>
      <w:pPr>
        <w:spacing w:after="0" w:line="2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P99</w:t>
      </w:r>
    </w:p>
    <w:p>
      <w:pPr>
        <w:sectPr>
          <w:pgSz w:w="11900" w:h="16838" w:orient="portrait"/>
          <w:cols w:equalWidth="0" w:num="1">
            <w:col w:w="11420"/>
          </w:cols>
          <w:pgMar w:left="240" w:top="580" w:right="239" w:bottom="1440" w:gutter="0" w:footer="0" w:header="0"/>
        </w:sectPr>
      </w:pPr>
    </w:p>
    <w:bookmarkStart w:id="103" w:name="page104"/>
    <w:bookmarkEnd w:id="103"/>
    <w:p>
      <w:pPr>
        <w:jc w:val="both"/>
        <w:ind w:left="180"/>
        <w:spacing w:after="0" w:line="253" w:lineRule="auto"/>
        <w:rPr>
          <w:sz w:val="20"/>
          <w:szCs w:val="20"/>
          <w:color w:val="auto"/>
        </w:rPr>
      </w:pPr>
      <w:r>
        <w:rPr>
          <w:rFonts w:ascii="Arial" w:cs="Arial" w:eastAsia="Arial" w:hAnsi="Arial"/>
          <w:sz w:val="18"/>
          <w:szCs w:val="18"/>
          <w:color w:val="auto"/>
        </w:rPr>
        <w:t xml:space="preserve">portion of the net proceeds of the sale to the Company in satisfaction of the Option exercise price,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payment of such proceeds is then made to the Company upon settlement of such sale; (v) by a “net exercise” arrangement pursuant to which the number of Shares issuable upon exercise of the Option shall be reduced by the largest whole number of Shares having an aggregate fair market value that does not exceed the aggregate exercise price (plus withholding taxes, if applicable) and any remaining balance of the aggregate exercise price (and/or applicable withholding taxes) not satisfied by such reduction in the number of whole Shares to be issued shall be paid by Participant in cash or other form of payment approved by the Committee; (vi) other property acceptable to the Committee; or (vii) any combination of the foregoing methods of payment. The Award Agreement will specify the methods of paying the exercise price available to each Participant. The Committee also shall determine the methods by which Shares shall be delivered or deemed to be delivered to Participants. Notwithstanding any other provision of the Plan to the contrary, no Participant who is a Director or an “executive officer” of the Company within the meaning of Section 13(k) of the Exchange Act shall be permitted to pay the exercise price of an Option, or continue any extension of credit with respect to the exercise price of an Option, with a loan from the Company or a loan arranged by the Company in violation of Section 13(k) of the Exchange Act.</w:t>
      </w:r>
    </w:p>
    <w:p>
      <w:pPr>
        <w:spacing w:after="0" w:line="209" w:lineRule="exact"/>
        <w:rPr>
          <w:sz w:val="20"/>
          <w:szCs w:val="20"/>
          <w:color w:val="auto"/>
        </w:rPr>
      </w:pPr>
    </w:p>
    <w:p>
      <w:pPr>
        <w:ind w:left="1720" w:hanging="415"/>
        <w:spacing w:after="0"/>
        <w:tabs>
          <w:tab w:leader="none" w:pos="1720"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Exercise of Option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60" w:firstLine="1293"/>
        <w:spacing w:after="0" w:line="251" w:lineRule="auto"/>
        <w:tabs>
          <w:tab w:leader="none" w:pos="2370" w:val="left"/>
        </w:tabs>
        <w:numPr>
          <w:ilvl w:val="1"/>
          <w:numId w:val="137"/>
        </w:numPr>
        <w:rPr>
          <w:rFonts w:ascii="Arial" w:cs="Arial" w:eastAsia="Arial" w:hAnsi="Arial"/>
          <w:sz w:val="18"/>
          <w:szCs w:val="18"/>
          <w:color w:val="auto"/>
        </w:rPr>
      </w:pPr>
      <w:r>
        <w:rPr>
          <w:rFonts w:ascii="Arial" w:cs="Arial" w:eastAsia="Arial" w:hAnsi="Arial"/>
          <w:sz w:val="18"/>
          <w:szCs w:val="18"/>
          <w:u w:val="single" w:color="auto"/>
          <w:color w:val="auto"/>
        </w:rPr>
        <w:t>Procedure for Exercise; Rights as a Shareholder</w:t>
      </w:r>
      <w:r>
        <w:rPr>
          <w:rFonts w:ascii="Arial" w:cs="Arial" w:eastAsia="Arial" w:hAnsi="Arial"/>
          <w:sz w:val="18"/>
          <w:szCs w:val="18"/>
          <w:color w:val="auto"/>
        </w:rPr>
        <w:t>. An Option may not be exercised for a fraction of a Share. An Option shall be deemed exercised when the Company receives: (A) a notice of exercise (in such form as the Committee may specify from time to time) from the person entitled to exercise the Option, and (B) full payment for the Shares with respect to which the Option is exercised (together with applicable withholding taxes). Full payment may consist of any consideration and method of payment authorized by the Committee and permitted by the Award Agreement and the Plan. Shares issued upon exercise of an Option shall be issued in the name of the Participant. Until the Shares are issued (as evidenced by the appropriate entry on the books of the Company or of a duly authorized transfer agent of the Company), no dividends or Dividend Equivalent Right shall be paid, and no right to vote or receive dividends or Dividend Equivalent Rights or any other rights as a shareholder shall exist with respect to the Shares subject to an Option, notwithstanding the exercise of the Option. The Company shall issue (or cause to be issued) such Shares promptly after the Option is exercised. No adjustment shall be made for a dividend or other right for which the record date is prior to the date the Shares are issued, except as provided in Section 13.1 of the Plan.</w:t>
      </w:r>
    </w:p>
    <w:p>
      <w:pPr>
        <w:spacing w:after="0" w:line="211" w:lineRule="exact"/>
        <w:rPr>
          <w:rFonts w:ascii="Arial" w:cs="Arial" w:eastAsia="Arial" w:hAnsi="Arial"/>
          <w:sz w:val="18"/>
          <w:szCs w:val="18"/>
          <w:color w:val="auto"/>
        </w:rPr>
      </w:pPr>
    </w:p>
    <w:p>
      <w:pPr>
        <w:jc w:val="both"/>
        <w:ind w:left="660" w:firstLine="1293"/>
        <w:spacing w:after="0" w:line="251" w:lineRule="auto"/>
        <w:tabs>
          <w:tab w:leader="none" w:pos="2492" w:val="left"/>
        </w:tabs>
        <w:numPr>
          <w:ilvl w:val="1"/>
          <w:numId w:val="137"/>
        </w:numPr>
        <w:rPr>
          <w:rFonts w:ascii="Arial" w:cs="Arial" w:eastAsia="Arial" w:hAnsi="Arial"/>
          <w:sz w:val="18"/>
          <w:szCs w:val="18"/>
          <w:color w:val="auto"/>
        </w:rPr>
      </w:pPr>
      <w:r>
        <w:rPr>
          <w:rFonts w:ascii="Arial" w:cs="Arial" w:eastAsia="Arial" w:hAnsi="Arial"/>
          <w:sz w:val="18"/>
          <w:szCs w:val="18"/>
          <w:u w:val="single" w:color="auto"/>
          <w:color w:val="auto"/>
        </w:rPr>
        <w:t>Termination of Participant’s Service</w:t>
      </w:r>
      <w:r>
        <w:rPr>
          <w:rFonts w:ascii="Arial" w:cs="Arial" w:eastAsia="Arial" w:hAnsi="Arial"/>
          <w:sz w:val="18"/>
          <w:szCs w:val="18"/>
          <w:color w:val="auto"/>
        </w:rPr>
        <w:t xml:space="preserve">. If a Participant ceases to provide Service, including as a result of the Participant’s death or Disability, the Participant may exercise his or her Option within such period of time as is specified in the Award Agreement to the extent that the Option is vested on the date of termination (but in no event later than the expiration of the term of such Option as set forth in the Award Agreement). Unless otherwise provided by the Committee, if on the date of termination of Service the Participant is not vested as to his or her entire Option, the unvested portion of the Option shall be forfeited and the Shares covered by the unvested portion of the Option shall revert to the Plan. If, after termination of Service, the Participant does not exercise his or her Option within the time specified by the Committee, the Option shall terminate, and the Shares covered by such Option shall revert to the Plan. To the extent the Option is exercisable following a Participant’s death, the Option may be exercised by such persons as may be specified in the Award Agreement, which may include any of the following: (i) the Participant’s designated beneficiary,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designation is permitted under Applicable Laws and that such beneficiary has been designated before the Participant’s death in a form acceptable to the Company; (ii) the Participant’s legal representative or representatives; (iii) the person or persons entitled to do so pursuant to the Participant’s last will and testament; or (iv) if the Participant fails to make testamentary disposition of the Option or dies intestate, by the person or persons entitled to receive the Option pursuant to the applicable laws of descent and distribution.</w:t>
      </w:r>
    </w:p>
    <w:p>
      <w:pPr>
        <w:spacing w:after="0" w:line="21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Incentive Stock Options</w:t>
      </w:r>
      <w:r>
        <w:rPr>
          <w:rFonts w:ascii="Arial" w:cs="Arial" w:eastAsia="Arial" w:hAnsi="Arial"/>
          <w:sz w:val="18"/>
          <w:szCs w:val="18"/>
          <w:color w:val="auto"/>
        </w:rPr>
        <w:t>. Incentive Stock Options shall be granted only to Employees of the Company or any “subsidiary corporation,” as defined in Section 424(f) of the Code and any applicable U.S. Department of Treasury regulations promulgated thereunder, of the Company, and the terms of any Incentive Stock Options granted pursuant to the Plan, in addition to the requirements of Section 6.1 hereof, must comply with the provisions of this Section 6.2.</w:t>
      </w:r>
    </w:p>
    <w:p>
      <w:pPr>
        <w:spacing w:after="0" w:line="204" w:lineRule="exact"/>
        <w:rPr>
          <w:sz w:val="20"/>
          <w:szCs w:val="20"/>
          <w:color w:val="auto"/>
        </w:rPr>
      </w:pPr>
    </w:p>
    <w:p>
      <w:pPr>
        <w:ind w:left="180" w:right="20" w:firstLine="1125"/>
        <w:spacing w:after="0" w:line="262" w:lineRule="auto"/>
        <w:tabs>
          <w:tab w:leader="none" w:pos="1815"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Expiration</w:t>
      </w:r>
      <w:r>
        <w:rPr>
          <w:rFonts w:ascii="Arial" w:cs="Arial" w:eastAsia="Arial" w:hAnsi="Arial"/>
          <w:sz w:val="18"/>
          <w:szCs w:val="18"/>
          <w:color w:val="auto"/>
        </w:rPr>
        <w:t>. Subject to Section 6.2(c) hereof, an Incentive Stock Option shall expire and may not be exercised to any extent by anyone after the first to occur of the following events:</w:t>
      </w: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P100</w:t>
      </w:r>
    </w:p>
    <w:p>
      <w:pPr>
        <w:sectPr>
          <w:pgSz w:w="11900" w:h="16838" w:orient="portrait"/>
          <w:cols w:equalWidth="0" w:num="1">
            <w:col w:w="11420"/>
          </w:cols>
          <w:pgMar w:left="240" w:top="580" w:right="239" w:bottom="1440" w:gutter="0" w:footer="0" w:header="0"/>
        </w:sectPr>
      </w:pPr>
    </w:p>
    <w:bookmarkStart w:id="104" w:name="page105"/>
    <w:bookmarkEnd w:id="104"/>
    <w:p>
      <w:pPr>
        <w:ind w:left="2300" w:hanging="347"/>
        <w:spacing w:after="0"/>
        <w:tabs>
          <w:tab w:leader="none" w:pos="230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Ten (10) years from the date of grant, unless an earlier time is set in the Award Agreement;</w:t>
      </w:r>
    </w:p>
    <w:p>
      <w:pPr>
        <w:spacing w:after="0" w:line="225" w:lineRule="exact"/>
        <w:rPr>
          <w:rFonts w:ascii="Arial" w:cs="Arial" w:eastAsia="Arial" w:hAnsi="Arial"/>
          <w:sz w:val="18"/>
          <w:szCs w:val="18"/>
          <w:color w:val="auto"/>
        </w:rPr>
      </w:pPr>
    </w:p>
    <w:p>
      <w:pPr>
        <w:ind w:left="660" w:firstLine="1293"/>
        <w:spacing w:after="0" w:line="262" w:lineRule="auto"/>
        <w:tabs>
          <w:tab w:leader="none" w:pos="2412" w:val="left"/>
        </w:tabs>
        <w:numPr>
          <w:ilvl w:val="1"/>
          <w:numId w:val="139"/>
        </w:numPr>
        <w:rPr>
          <w:rFonts w:ascii="Arial" w:cs="Arial" w:eastAsia="Arial" w:hAnsi="Arial"/>
          <w:sz w:val="18"/>
          <w:szCs w:val="18"/>
          <w:color w:val="auto"/>
        </w:rPr>
      </w:pPr>
      <w:r>
        <w:rPr>
          <w:rFonts w:ascii="Arial" w:cs="Arial" w:eastAsia="Arial" w:hAnsi="Arial"/>
          <w:sz w:val="18"/>
          <w:szCs w:val="18"/>
          <w:color w:val="auto"/>
        </w:rPr>
        <w:t>Three (3) months after the date of the Participant’s termination of Service on account of any reason other than death or Disability (within the meaning of Section 22(e)(3) of the Code); and</w:t>
      </w:r>
    </w:p>
    <w:p>
      <w:pPr>
        <w:spacing w:after="0" w:line="196" w:lineRule="exact"/>
        <w:rPr>
          <w:rFonts w:ascii="Arial" w:cs="Arial" w:eastAsia="Arial" w:hAnsi="Arial"/>
          <w:sz w:val="18"/>
          <w:szCs w:val="18"/>
          <w:color w:val="auto"/>
        </w:rPr>
      </w:pPr>
    </w:p>
    <w:p>
      <w:pPr>
        <w:ind w:left="660" w:right="20" w:firstLine="1293"/>
        <w:spacing w:after="0" w:line="262" w:lineRule="auto"/>
        <w:tabs>
          <w:tab w:leader="none" w:pos="2413" w:val="left"/>
        </w:tabs>
        <w:numPr>
          <w:ilvl w:val="1"/>
          <w:numId w:val="139"/>
        </w:numPr>
        <w:rPr>
          <w:rFonts w:ascii="Arial" w:cs="Arial" w:eastAsia="Arial" w:hAnsi="Arial"/>
          <w:sz w:val="18"/>
          <w:szCs w:val="18"/>
          <w:color w:val="auto"/>
        </w:rPr>
      </w:pPr>
      <w:r>
        <w:rPr>
          <w:rFonts w:ascii="Arial" w:cs="Arial" w:eastAsia="Arial" w:hAnsi="Arial"/>
          <w:sz w:val="18"/>
          <w:szCs w:val="18"/>
          <w:color w:val="auto"/>
        </w:rPr>
        <w:t>One (1) year after the date of the Participant’s termination of Service on account of death or Disability (within the meaning of Section 22(e)(3) of the Code).</w:t>
      </w:r>
    </w:p>
    <w:p>
      <w:pPr>
        <w:spacing w:after="0" w:line="196" w:lineRule="exact"/>
        <w:rPr>
          <w:rFonts w:ascii="Arial" w:cs="Arial" w:eastAsia="Arial" w:hAnsi="Arial"/>
          <w:sz w:val="18"/>
          <w:szCs w:val="18"/>
          <w:color w:val="auto"/>
        </w:rPr>
      </w:pPr>
    </w:p>
    <w:p>
      <w:pPr>
        <w:jc w:val="both"/>
        <w:ind w:left="180" w:firstLine="1125"/>
        <w:spacing w:after="0" w:line="254" w:lineRule="auto"/>
        <w:tabs>
          <w:tab w:leader="none" w:pos="1788" w:val="left"/>
        </w:tabs>
        <w:numPr>
          <w:ilvl w:val="0"/>
          <w:numId w:val="140"/>
        </w:numPr>
        <w:rPr>
          <w:rFonts w:ascii="Arial" w:cs="Arial" w:eastAsia="Arial" w:hAnsi="Arial"/>
          <w:sz w:val="18"/>
          <w:szCs w:val="18"/>
          <w:color w:val="auto"/>
        </w:rPr>
      </w:pPr>
      <w:r>
        <w:rPr>
          <w:rFonts w:ascii="Arial" w:cs="Arial" w:eastAsia="Arial" w:hAnsi="Arial"/>
          <w:sz w:val="18"/>
          <w:szCs w:val="18"/>
          <w:u w:val="single" w:color="auto"/>
          <w:color w:val="auto"/>
        </w:rPr>
        <w:t>Dollar Limitation</w:t>
      </w:r>
      <w:r>
        <w:rPr>
          <w:rFonts w:ascii="Arial" w:cs="Arial" w:eastAsia="Arial" w:hAnsi="Arial"/>
          <w:sz w:val="18"/>
          <w:szCs w:val="18"/>
          <w:color w:val="auto"/>
        </w:rPr>
        <w:t>. The aggregate Fair Market Value (determined as of the time the Option is granted) of all Shares with respect to which Incentive Stock Options are first exercisable by a Participant in any calendar year may not exceed US$100,000 or such other limitation as imposed by Section 422(d) of the Code, or any successor provision. To the extent that Incentive Stock Options are first exercisable by a Participant in excess of such limitation, the excess shall be considered Non-Qualified Stock Options.</w:t>
      </w:r>
    </w:p>
    <w:p>
      <w:pPr>
        <w:spacing w:after="0" w:line="204" w:lineRule="exact"/>
        <w:rPr>
          <w:rFonts w:ascii="Arial" w:cs="Arial" w:eastAsia="Arial" w:hAnsi="Arial"/>
          <w:sz w:val="18"/>
          <w:szCs w:val="18"/>
          <w:color w:val="auto"/>
        </w:rPr>
      </w:pPr>
    </w:p>
    <w:p>
      <w:pPr>
        <w:jc w:val="both"/>
        <w:ind w:left="180" w:firstLine="1125"/>
        <w:spacing w:after="0" w:line="254" w:lineRule="auto"/>
        <w:tabs>
          <w:tab w:leader="none" w:pos="1765" w:val="left"/>
        </w:tabs>
        <w:numPr>
          <w:ilvl w:val="0"/>
          <w:numId w:val="140"/>
        </w:numPr>
        <w:rPr>
          <w:rFonts w:ascii="Arial" w:cs="Arial" w:eastAsia="Arial" w:hAnsi="Arial"/>
          <w:sz w:val="18"/>
          <w:szCs w:val="18"/>
          <w:color w:val="auto"/>
        </w:rPr>
      </w:pPr>
      <w:r>
        <w:rPr>
          <w:rFonts w:ascii="Arial" w:cs="Arial" w:eastAsia="Arial" w:hAnsi="Arial"/>
          <w:sz w:val="18"/>
          <w:szCs w:val="18"/>
          <w:u w:val="single" w:color="auto"/>
          <w:color w:val="auto"/>
        </w:rPr>
        <w:t>Ten Percent Owners</w:t>
      </w:r>
      <w:r>
        <w:rPr>
          <w:rFonts w:ascii="Arial" w:cs="Arial" w:eastAsia="Arial" w:hAnsi="Arial"/>
          <w:sz w:val="18"/>
          <w:szCs w:val="18"/>
          <w:color w:val="auto"/>
        </w:rPr>
        <w:t>. An Incentive Stock Option shall be granted to any individual who, at the date of grant, owns stock possessing more than ten percent (10%) of the total combined voting power of all classes of Shares of the Company only if such Option is granted at a price that is not less than 110% of Fair Market Value on the date of grant and the Option is exercisable for no more than five (5) years from the date of grant.</w:t>
      </w:r>
    </w:p>
    <w:p>
      <w:pPr>
        <w:spacing w:after="0" w:line="204" w:lineRule="exact"/>
        <w:rPr>
          <w:rFonts w:ascii="Arial" w:cs="Arial" w:eastAsia="Arial" w:hAnsi="Arial"/>
          <w:sz w:val="18"/>
          <w:szCs w:val="18"/>
          <w:color w:val="auto"/>
        </w:rPr>
      </w:pPr>
    </w:p>
    <w:p>
      <w:pPr>
        <w:jc w:val="both"/>
        <w:ind w:left="180" w:firstLine="1125"/>
        <w:spacing w:after="0" w:line="256" w:lineRule="auto"/>
        <w:tabs>
          <w:tab w:leader="none" w:pos="1815" w:val="left"/>
        </w:tabs>
        <w:numPr>
          <w:ilvl w:val="0"/>
          <w:numId w:val="140"/>
        </w:numPr>
        <w:rPr>
          <w:rFonts w:ascii="Arial" w:cs="Arial" w:eastAsia="Arial" w:hAnsi="Arial"/>
          <w:sz w:val="18"/>
          <w:szCs w:val="18"/>
          <w:color w:val="auto"/>
        </w:rPr>
      </w:pPr>
      <w:r>
        <w:rPr>
          <w:rFonts w:ascii="Arial" w:cs="Arial" w:eastAsia="Arial" w:hAnsi="Arial"/>
          <w:sz w:val="18"/>
          <w:szCs w:val="18"/>
          <w:u w:val="single" w:color="auto"/>
          <w:color w:val="auto"/>
        </w:rPr>
        <w:t>Notice of Disposition</w:t>
      </w:r>
      <w:r>
        <w:rPr>
          <w:rFonts w:ascii="Arial" w:cs="Arial" w:eastAsia="Arial" w:hAnsi="Arial"/>
          <w:sz w:val="18"/>
          <w:szCs w:val="18"/>
          <w:color w:val="auto"/>
        </w:rPr>
        <w:t>. The Participant shall give the Company prompt notice of any disposition of Shares acquired by exercise of an Incentive Stock Option within (i) two (2) years from the date of grant of such Incentive Stock Option or (ii) one (1) year after the transfer of such Shares to the Participant.</w:t>
      </w:r>
    </w:p>
    <w:p>
      <w:pPr>
        <w:spacing w:after="0" w:line="201" w:lineRule="exact"/>
        <w:rPr>
          <w:rFonts w:ascii="Arial" w:cs="Arial" w:eastAsia="Arial" w:hAnsi="Arial"/>
          <w:sz w:val="18"/>
          <w:szCs w:val="18"/>
          <w:color w:val="auto"/>
        </w:rPr>
      </w:pPr>
    </w:p>
    <w:p>
      <w:pPr>
        <w:ind w:left="1720" w:hanging="415"/>
        <w:spacing w:after="0"/>
        <w:tabs>
          <w:tab w:leader="none" w:pos="1720" w:val="left"/>
        </w:tabs>
        <w:numPr>
          <w:ilvl w:val="0"/>
          <w:numId w:val="140"/>
        </w:numPr>
        <w:rPr>
          <w:rFonts w:ascii="Arial" w:cs="Arial" w:eastAsia="Arial" w:hAnsi="Arial"/>
          <w:sz w:val="18"/>
          <w:szCs w:val="18"/>
          <w:color w:val="auto"/>
        </w:rPr>
      </w:pPr>
      <w:r>
        <w:rPr>
          <w:rFonts w:ascii="Arial" w:cs="Arial" w:eastAsia="Arial" w:hAnsi="Arial"/>
          <w:sz w:val="18"/>
          <w:szCs w:val="18"/>
          <w:u w:val="single" w:color="auto"/>
          <w:color w:val="auto"/>
        </w:rPr>
        <w:t>Right to Exercise</w:t>
      </w:r>
      <w:r>
        <w:rPr>
          <w:rFonts w:ascii="Arial" w:cs="Arial" w:eastAsia="Arial" w:hAnsi="Arial"/>
          <w:sz w:val="18"/>
          <w:szCs w:val="18"/>
          <w:color w:val="auto"/>
        </w:rPr>
        <w:t>. During a Participant’s lifetime, only the Participant may exercise an Incentive Stock Option.</w:t>
      </w:r>
    </w:p>
    <w:p>
      <w:pPr>
        <w:spacing w:after="0" w:line="225" w:lineRule="exact"/>
        <w:rPr>
          <w:rFonts w:ascii="Arial" w:cs="Arial" w:eastAsia="Arial" w:hAnsi="Arial"/>
          <w:sz w:val="18"/>
          <w:szCs w:val="18"/>
          <w:color w:val="auto"/>
        </w:rPr>
      </w:pPr>
    </w:p>
    <w:p>
      <w:pPr>
        <w:ind w:left="180" w:firstLine="1125"/>
        <w:spacing w:after="0" w:line="262" w:lineRule="auto"/>
        <w:tabs>
          <w:tab w:leader="none" w:pos="1725" w:val="left"/>
        </w:tabs>
        <w:numPr>
          <w:ilvl w:val="0"/>
          <w:numId w:val="140"/>
        </w:numPr>
        <w:rPr>
          <w:rFonts w:ascii="Arial" w:cs="Arial" w:eastAsia="Arial" w:hAnsi="Arial"/>
          <w:sz w:val="18"/>
          <w:szCs w:val="18"/>
          <w:color w:val="auto"/>
        </w:rPr>
      </w:pPr>
      <w:r>
        <w:rPr>
          <w:rFonts w:ascii="Arial" w:cs="Arial" w:eastAsia="Arial" w:hAnsi="Arial"/>
          <w:sz w:val="18"/>
          <w:szCs w:val="18"/>
          <w:u w:val="single" w:color="auto"/>
          <w:color w:val="auto"/>
        </w:rPr>
        <w:t>Failure to Meet Requirements</w:t>
      </w:r>
      <w:r>
        <w:rPr>
          <w:rFonts w:ascii="Arial" w:cs="Arial" w:eastAsia="Arial" w:hAnsi="Arial"/>
          <w:sz w:val="18"/>
          <w:szCs w:val="18"/>
          <w:color w:val="auto"/>
        </w:rPr>
        <w:t>. Any Option (or portion thereof) purported to be an Incentive Stock Option, which, for any reason, fails to meet the requirements of Section 422 of the Code shall be considered a Non-Qualified Stock Option.</w:t>
      </w:r>
    </w:p>
    <w:p>
      <w:pPr>
        <w:spacing w:after="0" w:line="174"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b w:val="1"/>
          <w:bCs w:val="1"/>
          <w:color w:val="auto"/>
        </w:rPr>
        <w:t>ARTICLE 7.</w:t>
      </w:r>
      <w:r>
        <w:rPr>
          <w:sz w:val="20"/>
          <w:szCs w:val="20"/>
          <w:color w:val="auto"/>
        </w:rPr>
        <w:tab/>
      </w:r>
      <w:r>
        <w:rPr>
          <w:rFonts w:ascii="Arial" w:cs="Arial" w:eastAsia="Arial" w:hAnsi="Arial"/>
          <w:sz w:val="17"/>
          <w:szCs w:val="17"/>
          <w:b w:val="1"/>
          <w:bCs w:val="1"/>
          <w:color w:val="auto"/>
        </w:rPr>
        <w:t>RESTRICTED STOCK UNITS</w:t>
      </w:r>
    </w:p>
    <w:p>
      <w:pPr>
        <w:spacing w:after="0" w:line="24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Restricted Stock Units</w:t>
      </w:r>
      <w:r>
        <w:rPr>
          <w:rFonts w:ascii="Arial" w:cs="Arial" w:eastAsia="Arial" w:hAnsi="Arial"/>
          <w:sz w:val="18"/>
          <w:szCs w:val="18"/>
          <w:color w:val="auto"/>
        </w:rPr>
        <w:t>. The Committee is authorized to grant Restricted Stock Units to Eligible Individuals in such amounts and subject to such terms and conditions not inconsistent with the Plan as the Committee shall impose.</w:t>
      </w:r>
    </w:p>
    <w:p>
      <w:pPr>
        <w:spacing w:after="0" w:line="19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Vesting Conditions</w:t>
      </w:r>
      <w:r>
        <w:rPr>
          <w:rFonts w:ascii="Arial" w:cs="Arial" w:eastAsia="Arial" w:hAnsi="Arial"/>
          <w:sz w:val="18"/>
          <w:szCs w:val="18"/>
          <w:color w:val="auto"/>
        </w:rPr>
        <w:t>. Subject to Section 12.3, the Committee shall specify the date or dates on which the Restricted Stock Units shall become fully vested and nonforfeitable, and may specify such conditions to vesting, if any, as it deems appropriate. The vesting conditions, if any, may be based on among other conditions, a Participant’s continued Service, the attainment of performance conditions, or a combination of both.</w:t>
      </w:r>
    </w:p>
    <w:p>
      <w:pPr>
        <w:spacing w:after="0" w:line="20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Form and Timing of Payment</w:t>
      </w:r>
      <w:r>
        <w:rPr>
          <w:rFonts w:ascii="Arial" w:cs="Arial" w:eastAsia="Arial" w:hAnsi="Arial"/>
          <w:sz w:val="18"/>
          <w:szCs w:val="18"/>
          <w:color w:val="auto"/>
        </w:rPr>
        <w:t>. The Committee shall specify the settlement date applicable to each grant of Restricted Stock Units, which date shall not be earlier than the date or dates on which the Restricted Stock Units shall become fully vested and nonforfeitable, or such settlement date may be deferred to any later date, subject to compliance with Section 409A of the Code, as applicable. On the settlement date, the Company shall, subject to Section 12.6(a) hereof and satisfaction of applicable Tax-Related Items (as further set forth in Section 16.3 hereof), transfer to the Participant one Share for each Restricted Stock Unit scheduled to be paid out on such date and not previously forfeited. Alternatively, settlement of a Restricted Stock Unit may be made in cash (in an amount reflecting the Fair Market Value of the Shares that otherwise would have been issued) or any combination of cash and Shares, as determined by the Committee, in its sole discretion, in either case, less applicable Tax-Related Items (as further set forth in Section 16.3 hereof). Until a Restricted Stock Unit is settled, the number of Restricted Stock Units shall be subject to adjustment pursuant to Article 13 hereof.</w:t>
      </w:r>
    </w:p>
    <w:p>
      <w:pPr>
        <w:spacing w:after="0" w:line="213"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Forfeiture</w:t>
      </w:r>
      <w:r>
        <w:rPr>
          <w:rFonts w:ascii="Arial" w:cs="Arial" w:eastAsia="Arial" w:hAnsi="Arial"/>
          <w:sz w:val="18"/>
          <w:szCs w:val="18"/>
          <w:color w:val="auto"/>
        </w:rPr>
        <w:t>. Except as otherwise determined by the Committee at the time of the grant of the Award or thereafter, any Restricted Stock Units that are not vested as of the date of the Participant’s termination of Service shall be forfeited.</w:t>
      </w: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P101</w:t>
      </w:r>
    </w:p>
    <w:p>
      <w:pPr>
        <w:sectPr>
          <w:pgSz w:w="11900" w:h="16838" w:orient="portrait"/>
          <w:cols w:equalWidth="0" w:num="1">
            <w:col w:w="11420"/>
          </w:cols>
          <w:pgMar w:left="240" w:top="598" w:right="239" w:bottom="1440" w:gutter="0" w:footer="0" w:header="0"/>
        </w:sectPr>
      </w:pPr>
    </w:p>
    <w:bookmarkStart w:id="105" w:name="page106"/>
    <w:bookmarkEnd w:id="105"/>
    <w:p>
      <w:pPr>
        <w:jc w:val="both"/>
        <w:ind w:firstLine="648"/>
        <w:spacing w:after="0" w:line="256"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u w:val="single" w:color="auto"/>
          <w:color w:val="auto"/>
        </w:rPr>
        <w:t>General Creditors</w:t>
      </w:r>
      <w:r>
        <w:rPr>
          <w:rFonts w:ascii="Arial" w:cs="Arial" w:eastAsia="Arial" w:hAnsi="Arial"/>
          <w:sz w:val="18"/>
          <w:szCs w:val="18"/>
          <w:color w:val="auto"/>
        </w:rPr>
        <w:t>. A Participant who has been granted Restricted Stock Units shall have no rights other than those of a general creditor of the Company. Restricted Stock Units represent an unfunded and unsecured obligation of the Company, subject to the terms and conditions of the applicable Award Agreement evidencing the grant of the Restricted Stock Units.</w:t>
      </w:r>
    </w:p>
    <w:p>
      <w:pPr>
        <w:spacing w:after="0" w:line="180"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ARTICLE 8.</w:t>
      </w:r>
      <w:r>
        <w:rPr>
          <w:sz w:val="20"/>
          <w:szCs w:val="20"/>
          <w:color w:val="auto"/>
        </w:rPr>
        <w:tab/>
      </w:r>
      <w:r>
        <w:rPr>
          <w:rFonts w:ascii="Arial" w:cs="Arial" w:eastAsia="Arial" w:hAnsi="Arial"/>
          <w:sz w:val="17"/>
          <w:szCs w:val="17"/>
          <w:b w:val="1"/>
          <w:bCs w:val="1"/>
          <w:color w:val="auto"/>
        </w:rPr>
        <w:t>RESTRICTED STOCK AWARDS</w:t>
      </w:r>
    </w:p>
    <w:p>
      <w:pPr>
        <w:spacing w:after="0" w:line="247"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Grant of Restricted Stock</w:t>
      </w:r>
      <w:r>
        <w:rPr>
          <w:rFonts w:ascii="Arial" w:cs="Arial" w:eastAsia="Arial" w:hAnsi="Arial"/>
          <w:sz w:val="18"/>
          <w:szCs w:val="18"/>
          <w:color w:val="auto"/>
        </w:rPr>
        <w:t>. The Committee is authorized to grant Restricted Stock to Eligible Individuals selected by the Committee in such amounts and subject to such terms and conditions not inconsistent with the Plan as the Committee shall impose.</w:t>
      </w:r>
    </w:p>
    <w:p>
      <w:pPr>
        <w:spacing w:after="0" w:line="19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Purchase Price</w:t>
      </w:r>
      <w:r>
        <w:rPr>
          <w:rFonts w:ascii="Arial" w:cs="Arial" w:eastAsia="Arial" w:hAnsi="Arial"/>
          <w:sz w:val="18"/>
          <w:szCs w:val="18"/>
          <w:color w:val="auto"/>
        </w:rPr>
        <w:t>. At the time of the grant of Restricted Stock, the Committee shall determine the price, if any, to be paid by the Participant for each Share subject to the Award. The purchase price of Shares acquired pursuant to the Award shall be paid either: (i) in cash at the time of purchase; (ii) at the sole discretion of the Committee, by Service rendered or to be rendered to the Company or an Affiliate; or (iii) in any other form of legal consideration that may be acceptable to the Committee in its sole discretion and in compliance with Applicable Laws.</w:t>
      </w:r>
    </w:p>
    <w:p>
      <w:pPr>
        <w:spacing w:after="0" w:line="20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Issuance and Restrictions</w:t>
      </w:r>
      <w:r>
        <w:rPr>
          <w:rFonts w:ascii="Arial" w:cs="Arial" w:eastAsia="Arial" w:hAnsi="Arial"/>
          <w:sz w:val="18"/>
          <w:szCs w:val="18"/>
          <w:color w:val="auto"/>
        </w:rPr>
        <w:t>. Subject to Section 12.3 hereof, Restricted Stock shall be subject to such restrictions, if any, on transferability and other restrictions as the Committee may impose (including, without limitation, limitations on the right to vote Restricted Stock or the right to receive dividends on the Restricted Stock). The restrictions, if any, may be based on, among other conditions, a Participant’s continued Service, the attainment of performance conditions, or a combination of both. These restrictions, if any, may lapse separately or in combination at such times, pursuant to such circumstances, in such installments, or otherwise, as the Committee determines at the time of the grant of the Award or thereafter.</w:t>
      </w:r>
    </w:p>
    <w:p>
      <w:pPr>
        <w:spacing w:after="0" w:line="20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Dividends</w:t>
      </w:r>
      <w:r>
        <w:rPr>
          <w:rFonts w:ascii="Arial" w:cs="Arial" w:eastAsia="Arial" w:hAnsi="Arial"/>
          <w:sz w:val="18"/>
          <w:szCs w:val="18"/>
          <w:color w:val="auto"/>
        </w:rPr>
        <w:t>. Any dividends that are distributed with respect to Shares of Restricted Stock shall be paid in accordance with the applicable Award Agreement, subject to the provisions of Section 12.4(b).</w:t>
      </w:r>
    </w:p>
    <w:p>
      <w:pPr>
        <w:spacing w:after="0" w:line="196"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Forfeiture</w:t>
      </w:r>
      <w:r>
        <w:rPr>
          <w:rFonts w:ascii="Arial" w:cs="Arial" w:eastAsia="Arial" w:hAnsi="Arial"/>
          <w:sz w:val="18"/>
          <w:szCs w:val="18"/>
          <w:color w:val="auto"/>
        </w:rPr>
        <w:t>. Except as otherwise determined by the Committee at the time of the grant of the Award or thereafter, upon termination of Service during the applicable restriction period, Restricted Stock that is at that time subject to restrictions shall be forfeited.</w:t>
      </w:r>
    </w:p>
    <w:p>
      <w:pPr>
        <w:spacing w:after="0" w:line="19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u w:val="single" w:color="auto"/>
          <w:color w:val="auto"/>
        </w:rPr>
        <w:t>Certificates for Restricted Stock</w:t>
      </w:r>
      <w:r>
        <w:rPr>
          <w:rFonts w:ascii="Arial" w:cs="Arial" w:eastAsia="Arial" w:hAnsi="Arial"/>
          <w:sz w:val="18"/>
          <w:szCs w:val="18"/>
          <w:color w:val="auto"/>
        </w:rPr>
        <w:t>. Restricted Stock granted pursuant to the Plan may be evidenced in such manner as the Committee shall determine. If certificates representing shares of Restricted Stock are registered in the name of the Participant, certificates shall bear an appropriate legend referring to the terms, conditions, and restrictions applicable to such Restricted Stock, and the Company may, at its discretion, retain physical possession of the certificate until such time as all applicable restrictions lapse.</w:t>
      </w:r>
    </w:p>
    <w:p>
      <w:pPr>
        <w:spacing w:after="0" w:line="182"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ARTICLE 9.</w:t>
      </w:r>
      <w:r>
        <w:rPr>
          <w:sz w:val="20"/>
          <w:szCs w:val="20"/>
          <w:color w:val="auto"/>
        </w:rPr>
        <w:tab/>
      </w:r>
      <w:r>
        <w:rPr>
          <w:rFonts w:ascii="Arial" w:cs="Arial" w:eastAsia="Arial" w:hAnsi="Arial"/>
          <w:sz w:val="17"/>
          <w:szCs w:val="17"/>
          <w:b w:val="1"/>
          <w:bCs w:val="1"/>
          <w:color w:val="auto"/>
        </w:rPr>
        <w:t>STOCK APPRECIATION RIGHTS</w:t>
      </w:r>
    </w:p>
    <w:p>
      <w:pPr>
        <w:spacing w:after="0" w:line="24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Grant of Stock Appreciation Rights</w:t>
      </w:r>
      <w:r>
        <w:rPr>
          <w:rFonts w:ascii="Arial" w:cs="Arial" w:eastAsia="Arial" w:hAnsi="Arial"/>
          <w:sz w:val="18"/>
          <w:szCs w:val="18"/>
          <w:color w:val="auto"/>
        </w:rPr>
        <w:t>. The Committee is authorized to grant SARs to Eligible Individuals on the following terms and conditions, and the Committee may specify such additional terms and conditions as:</w:t>
      </w:r>
    </w:p>
    <w:p>
      <w:pPr>
        <w:spacing w:after="0" w:line="196" w:lineRule="exact"/>
        <w:rPr>
          <w:sz w:val="20"/>
          <w:szCs w:val="20"/>
          <w:color w:val="auto"/>
        </w:rPr>
      </w:pPr>
    </w:p>
    <w:p>
      <w:pPr>
        <w:jc w:val="both"/>
        <w:ind w:left="180" w:right="20" w:firstLine="1125"/>
        <w:spacing w:after="0" w:line="256" w:lineRule="auto"/>
        <w:tabs>
          <w:tab w:leader="none" w:pos="1748"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xml:space="preserve">. The exercise price per Share subject to a SAR shall be determined by the Committee and set forth in the Award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exercise price per Share for any SAR shall not be less than 100% of the Fair Market Value of a Share on the date of grant.</w:t>
      </w:r>
    </w:p>
    <w:p>
      <w:pPr>
        <w:spacing w:after="0" w:line="201" w:lineRule="exact"/>
        <w:rPr>
          <w:rFonts w:ascii="Arial" w:cs="Arial" w:eastAsia="Arial" w:hAnsi="Arial"/>
          <w:sz w:val="18"/>
          <w:szCs w:val="18"/>
          <w:color w:val="auto"/>
        </w:rPr>
      </w:pPr>
    </w:p>
    <w:p>
      <w:pPr>
        <w:jc w:val="both"/>
        <w:ind w:left="180" w:firstLine="1125"/>
        <w:spacing w:after="0" w:line="253" w:lineRule="auto"/>
        <w:tabs>
          <w:tab w:leader="none" w:pos="1761"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Time and Conditions of Exercise</w:t>
      </w:r>
      <w:r>
        <w:rPr>
          <w:rFonts w:ascii="Arial" w:cs="Arial" w:eastAsia="Arial" w:hAnsi="Arial"/>
          <w:sz w:val="18"/>
          <w:szCs w:val="18"/>
          <w:color w:val="auto"/>
        </w:rPr>
        <w:t xml:space="preserve">. The Committee shall determine the time or times at which a SAR may be exercised in whole or in part;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term of any SAR granted under the Plan shall not exceed ten (10) years. Subject to Section 12.3, the Committee also shall specify the vesting conditions, if any, as it deems appropriate that must be satisfied before all or part of a SAR may be exercised. The vesting conditions, if any, may be based on, among other conditions, a Participant’s continued Service, the attainment of performance conditions, or a combination of both.</w:t>
      </w:r>
    </w:p>
    <w:p>
      <w:pPr>
        <w:spacing w:after="0" w:line="205" w:lineRule="exact"/>
        <w:rPr>
          <w:rFonts w:ascii="Arial" w:cs="Arial" w:eastAsia="Arial" w:hAnsi="Arial"/>
          <w:sz w:val="18"/>
          <w:szCs w:val="18"/>
          <w:color w:val="auto"/>
        </w:rPr>
      </w:pPr>
    </w:p>
    <w:p>
      <w:pPr>
        <w:ind w:left="180" w:firstLine="1125"/>
        <w:spacing w:after="0" w:line="262" w:lineRule="auto"/>
        <w:tabs>
          <w:tab w:leader="none" w:pos="1741"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 SAR may not be exercised for a fraction of a Share. A SAR shall be deemed exercised when the Company receives a notice of exercise (in such form as the Committee may specify from time to time) from the person entitled to exercise the SAR.</w:t>
      </w:r>
    </w:p>
    <w:p>
      <w:pPr>
        <w:spacing w:after="0" w:line="200" w:lineRule="exact"/>
        <w:rPr>
          <w:sz w:val="20"/>
          <w:szCs w:val="20"/>
          <w:color w:val="auto"/>
        </w:rPr>
      </w:pPr>
    </w:p>
    <w:p>
      <w:pPr>
        <w:spacing w:after="0" w:line="239" w:lineRule="exact"/>
        <w:rPr>
          <w:sz w:val="20"/>
          <w:szCs w:val="20"/>
          <w:color w:val="auto"/>
        </w:rPr>
      </w:pPr>
    </w:p>
    <w:p>
      <w:pPr>
        <w:ind w:left="11000"/>
        <w:spacing w:after="0"/>
        <w:rPr>
          <w:sz w:val="20"/>
          <w:szCs w:val="20"/>
          <w:color w:val="auto"/>
        </w:rPr>
      </w:pPr>
      <w:r>
        <w:rPr>
          <w:rFonts w:ascii="Arial" w:cs="Arial" w:eastAsia="Arial" w:hAnsi="Arial"/>
          <w:sz w:val="17"/>
          <w:szCs w:val="17"/>
          <w:color w:val="auto"/>
        </w:rPr>
        <w:t>P102</w:t>
      </w:r>
    </w:p>
    <w:p>
      <w:pPr>
        <w:sectPr>
          <w:pgSz w:w="11900" w:h="16838" w:orient="portrait"/>
          <w:cols w:equalWidth="0" w:num="1">
            <w:col w:w="11420"/>
          </w:cols>
          <w:pgMar w:left="240" w:top="598" w:right="239" w:bottom="1440" w:gutter="0" w:footer="0" w:header="0"/>
        </w:sectPr>
      </w:pPr>
    </w:p>
    <w:bookmarkStart w:id="106" w:name="page107"/>
    <w:bookmarkEnd w:id="106"/>
    <w:p>
      <w:pPr>
        <w:jc w:val="both"/>
        <w:ind w:firstLine="648"/>
        <w:spacing w:after="0" w:line="255"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Tandem Stock Appreciation Rights</w:t>
      </w:r>
      <w:r>
        <w:rPr>
          <w:rFonts w:ascii="Arial" w:cs="Arial" w:eastAsia="Arial" w:hAnsi="Arial"/>
          <w:sz w:val="18"/>
          <w:szCs w:val="18"/>
          <w:b w:val="1"/>
          <w:bCs w:val="1"/>
          <w:color w:val="auto"/>
        </w:rPr>
        <w:t>.</w:t>
      </w:r>
      <w:r>
        <w:rPr>
          <w:rFonts w:ascii="Arial" w:cs="Arial" w:eastAsia="Arial" w:hAnsi="Arial"/>
          <w:sz w:val="18"/>
          <w:szCs w:val="18"/>
          <w:color w:val="auto"/>
        </w:rPr>
        <w:t xml:space="preserve"> A SAR may be granted in connection with an Option, either at the time of grant or at any time thereafter during the term of the Option. A SAR granted in connection with an Option will entitle the holder, upon exercise, to surrender the Option or any portion thereof to the extent unexercised, with respect to the number of Shares as to which such SAR is exercised, and to receive payment of an amount computed as described in Section 9.3. The Option shall, to the extent and when surrendered, cease to be exercisable. A SAR granted in connection with an Option hereunder will have an exercise price per share equal to the per share exercise price of the Option, will be exercisable at such time or times, and only to the extent, that the related Option is exercisable, and will expire no later than the related Option expires. If a related Option is exercised in whole or in part, then the SAR related to the Shares purchased terminates as of the date of such exercise.</w:t>
      </w:r>
    </w:p>
    <w:p>
      <w:pPr>
        <w:spacing w:after="0" w:line="20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8"/>
          <w:szCs w:val="18"/>
          <w:u w:val="single" w:color="auto"/>
          <w:color w:val="auto"/>
        </w:rPr>
        <w:t>Payment and Limitations on Exercise</w:t>
      </w:r>
      <w:r>
        <w:rPr>
          <w:rFonts w:ascii="Arial" w:cs="Arial" w:eastAsia="Arial" w:hAnsi="Arial"/>
          <w:sz w:val="18"/>
          <w:szCs w:val="18"/>
          <w:color w:val="auto"/>
        </w:rPr>
        <w:t>.</w:t>
      </w:r>
    </w:p>
    <w:p>
      <w:pPr>
        <w:spacing w:after="0" w:line="225" w:lineRule="exact"/>
        <w:rPr>
          <w:sz w:val="20"/>
          <w:szCs w:val="20"/>
          <w:color w:val="auto"/>
        </w:rPr>
      </w:pPr>
    </w:p>
    <w:p>
      <w:pPr>
        <w:jc w:val="both"/>
        <w:ind w:left="180" w:firstLine="1125"/>
        <w:spacing w:after="0" w:line="254" w:lineRule="auto"/>
        <w:tabs>
          <w:tab w:leader="none" w:pos="1751"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 SAR shall entitle the Participant (or other person entitled to exercise the SAR pursuant to the Plan) to exercise all or a specified portion of the SAR (to the extent then exercisable pursuant to its terms) and to receive from the Company an amount equal to the excess of the aggregate Fair Market Value of the Shares on the date the SAR is exercised over the aggregate exercise price of the SAR, less applicable Tax-Related Items (as further set forth in Section 16.3 hereof), subject to any limitations the Committee may impose.</w:t>
      </w:r>
    </w:p>
    <w:p>
      <w:pPr>
        <w:spacing w:after="0" w:line="204" w:lineRule="exact"/>
        <w:rPr>
          <w:rFonts w:ascii="Arial" w:cs="Arial" w:eastAsia="Arial" w:hAnsi="Arial"/>
          <w:sz w:val="18"/>
          <w:szCs w:val="18"/>
          <w:color w:val="auto"/>
        </w:rPr>
      </w:pPr>
    </w:p>
    <w:p>
      <w:pPr>
        <w:jc w:val="both"/>
        <w:ind w:left="180" w:firstLine="1125"/>
        <w:spacing w:after="0" w:line="251" w:lineRule="auto"/>
        <w:tabs>
          <w:tab w:leader="none" w:pos="1784" w:val="left"/>
        </w:tabs>
        <w:numPr>
          <w:ilvl w:val="0"/>
          <w:numId w:val="142"/>
        </w:numPr>
        <w:rPr>
          <w:rFonts w:ascii="Arial" w:cs="Arial" w:eastAsia="Arial" w:hAnsi="Arial"/>
          <w:sz w:val="18"/>
          <w:szCs w:val="18"/>
          <w:color w:val="auto"/>
        </w:rPr>
      </w:pPr>
      <w:r>
        <w:rPr>
          <w:rFonts w:ascii="Arial" w:cs="Arial" w:eastAsia="Arial" w:hAnsi="Arial"/>
          <w:sz w:val="18"/>
          <w:szCs w:val="18"/>
          <w:color w:val="auto"/>
        </w:rPr>
        <w:t>Payment of the amounts determined under Section 9.3(a) hereof shall be in cash, in Shares (based on the Fair Market Value of the Shares as of the date the SAR is exercised) or a combination of both, as determined by the Committee in the Award Agreement. To the extent Shares are issued upon exercise of a SAR, the Shares shall be issued in the name of the Participant. Until the Shares are issued (as evidenced by the appropriate entry on the books of the Company or of a duly authorized transfer agent of the Company), no dividends or Dividend Equivalent Right shall be paid, and no right to vote or receive dividends or Dividend Equivalent Rights or any other rights as a shareholder shall exist with respect to the Shares subject to a SAR, notwithstanding the exercise of the SAR. The Company shall issue (or cause to be issued) such Shares promptly after the SAR is exercised. No adjustment shall be made for a dividend or other right for which the record date is prior to the date the Shares are issued, except as provided in Section 13.1 of the Plan. The provisions of Section 6.1(d)(ii) regarding the treatment of a termination of the Participant’s Service shall also apply to SARs.</w:t>
      </w:r>
    </w:p>
    <w:p>
      <w:pPr>
        <w:spacing w:after="0" w:line="191"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ARTICLE 10.</w:t>
      </w:r>
      <w:r>
        <w:rPr>
          <w:sz w:val="20"/>
          <w:szCs w:val="20"/>
          <w:color w:val="auto"/>
        </w:rPr>
        <w:tab/>
      </w:r>
      <w:r>
        <w:rPr>
          <w:rFonts w:ascii="Arial" w:cs="Arial" w:eastAsia="Arial" w:hAnsi="Arial"/>
          <w:sz w:val="17"/>
          <w:szCs w:val="17"/>
          <w:b w:val="1"/>
          <w:bCs w:val="1"/>
          <w:color w:val="auto"/>
        </w:rPr>
        <w:t>OTHER SHARE-BASED AWARDS</w:t>
      </w:r>
    </w:p>
    <w:p>
      <w:pPr>
        <w:spacing w:after="0" w:line="24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Grants of Other Share-Based Awards</w:t>
      </w:r>
      <w:r>
        <w:rPr>
          <w:rFonts w:ascii="Arial" w:cs="Arial" w:eastAsia="Arial" w:hAnsi="Arial"/>
          <w:sz w:val="18"/>
          <w:szCs w:val="18"/>
          <w:color w:val="auto"/>
        </w:rPr>
        <w:t>. Subject to limitation under Applicable Laws, the Committee is authorized under the Plan to grant Awards (other than Options, Restricted Stock Units, Restricted Stock and SARs) to Eligible Individuals subject to the terms and conditions set forth in this Article 10 and such other terms and conditions as may be specified by the Committee that are not inconsistent with the provisions of the Plan and that, by their terms, involve or might involve the issuance of, consist of, or are denominated in, payable in, valued in whole or in part by reference to, or otherwise relate to, Shares. The Committee may also grant Shares as a bonus, or may grant other Awards in lieu of obligations of the Company or an Affiliate to pay cash or other property under the Plan or other plans or compensatory arrangements. The terms and conditions applicable to such other Awards shall be determined from time to time by the Committee and set forth in an applicable Award Agreement. The Committee may establish one or more separate programs under the Plan for the purpose of issuing particular forms of Awards to one or more classes of Participants on such terms and conditions as determined by the Committee from time to time.</w:t>
      </w:r>
    </w:p>
    <w:p>
      <w:pPr>
        <w:spacing w:after="0" w:line="21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Exercise Price</w:t>
      </w:r>
      <w:r>
        <w:rPr>
          <w:rFonts w:ascii="Arial" w:cs="Arial" w:eastAsia="Arial" w:hAnsi="Arial"/>
          <w:sz w:val="18"/>
          <w:szCs w:val="18"/>
          <w:color w:val="auto"/>
        </w:rPr>
        <w:t xml:space="preserve">. The Committee may establish the exercise price, if any, of any Other Share-Based Award granted pursuant to this Article 10;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exercise price shall not be less than the Fair Market Value of a Share on the date of grant for an Award that is intended to be exempt from Section 409A of the Code.</w:t>
      </w:r>
    </w:p>
    <w:p>
      <w:pPr>
        <w:spacing w:after="0" w:line="202"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Form of Payment</w:t>
      </w:r>
      <w:r>
        <w:rPr>
          <w:rFonts w:ascii="Arial" w:cs="Arial" w:eastAsia="Arial" w:hAnsi="Arial"/>
          <w:sz w:val="18"/>
          <w:szCs w:val="18"/>
          <w:color w:val="auto"/>
        </w:rPr>
        <w:t>. Payments with respect to any Awards granted under Section 10.1 shall be made in cash or cash equivalent, in Shares or any combination of the foregoing, as determined by the Committee.</w:t>
      </w:r>
    </w:p>
    <w:p>
      <w:pPr>
        <w:spacing w:after="0" w:line="196" w:lineRule="exact"/>
        <w:rPr>
          <w:sz w:val="20"/>
          <w:szCs w:val="20"/>
          <w:color w:val="auto"/>
        </w:rPr>
      </w:pPr>
    </w:p>
    <w:p>
      <w:pPr>
        <w:jc w:val="both"/>
        <w:ind w:right="20" w:firstLine="648"/>
        <w:spacing w:after="0" w:line="254"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Vesting Conditions</w:t>
      </w:r>
      <w:r>
        <w:rPr>
          <w:rFonts w:ascii="Arial" w:cs="Arial" w:eastAsia="Arial" w:hAnsi="Arial"/>
          <w:sz w:val="18"/>
          <w:szCs w:val="18"/>
          <w:color w:val="auto"/>
        </w:rPr>
        <w:t>. Subject to Section 12.3, the Committee shall specify the date or dates on which the Awards granted pursuant to this Article 10 shall become fully vested and nonforfeitable, and may specify such conditions to vesting as it deems appropriate. The vesting conditions may be based on, among other vesting conditions, a Participant’s continued Service, the attainment of performance conditions, or a combination of both.</w:t>
      </w:r>
    </w:p>
    <w:p>
      <w:pPr>
        <w:spacing w:after="0" w:line="204"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u w:val="single" w:color="auto"/>
          <w:color w:val="auto"/>
        </w:rPr>
        <w:t>Term</w:t>
      </w:r>
      <w:r>
        <w:rPr>
          <w:rFonts w:ascii="Arial" w:cs="Arial" w:eastAsia="Arial" w:hAnsi="Arial"/>
          <w:sz w:val="18"/>
          <w:szCs w:val="18"/>
          <w:color w:val="auto"/>
        </w:rPr>
        <w:t xml:space="preserve">. Except as otherwise provided herein, the Committee shall set, in its discretion, the term of any Award granted pursuant to this Article 10;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term of any Award granted pursuant to this Article 10 shall not exceed ten (10) years.</w:t>
      </w: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P103</w:t>
      </w:r>
    </w:p>
    <w:p>
      <w:pPr>
        <w:sectPr>
          <w:pgSz w:w="11900" w:h="16838" w:orient="portrait"/>
          <w:cols w:equalWidth="0" w:num="1">
            <w:col w:w="11420"/>
          </w:cols>
          <w:pgMar w:left="240" w:top="576" w:right="239" w:bottom="1440" w:gutter="0" w:footer="0" w:header="0"/>
        </w:sectPr>
      </w:pPr>
    </w:p>
    <w:bookmarkStart w:id="107" w:name="page108"/>
    <w:bookmarkEnd w:id="107"/>
    <w:p>
      <w:pPr>
        <w:spacing w:after="0"/>
        <w:tabs>
          <w:tab w:leader="none" w:pos="1460" w:val="left"/>
        </w:tabs>
        <w:rPr>
          <w:sz w:val="20"/>
          <w:szCs w:val="20"/>
          <w:color w:val="auto"/>
        </w:rPr>
      </w:pPr>
      <w:r>
        <w:rPr>
          <w:rFonts w:ascii="Arial" w:cs="Arial" w:eastAsia="Arial" w:hAnsi="Arial"/>
          <w:sz w:val="18"/>
          <w:szCs w:val="18"/>
          <w:b w:val="1"/>
          <w:bCs w:val="1"/>
          <w:color w:val="auto"/>
        </w:rPr>
        <w:t>ARTICLE 11.</w:t>
      </w:r>
      <w:r>
        <w:rPr>
          <w:sz w:val="20"/>
          <w:szCs w:val="20"/>
          <w:color w:val="auto"/>
        </w:rPr>
        <w:tab/>
      </w:r>
      <w:r>
        <w:rPr>
          <w:rFonts w:ascii="Arial" w:cs="Arial" w:eastAsia="Arial" w:hAnsi="Arial"/>
          <w:sz w:val="17"/>
          <w:szCs w:val="17"/>
          <w:b w:val="1"/>
          <w:bCs w:val="1"/>
          <w:color w:val="auto"/>
        </w:rPr>
        <w:t>PERFORMANCE-BASED AWARDS</w:t>
      </w:r>
    </w:p>
    <w:p>
      <w:pPr>
        <w:spacing w:after="0" w:line="24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u w:val="single" w:color="auto"/>
          <w:color w:val="auto"/>
        </w:rPr>
        <w:t>Purpose</w:t>
      </w:r>
      <w:r>
        <w:rPr>
          <w:rFonts w:ascii="Arial" w:cs="Arial" w:eastAsia="Arial" w:hAnsi="Arial"/>
          <w:sz w:val="18"/>
          <w:szCs w:val="18"/>
          <w:color w:val="auto"/>
        </w:rPr>
        <w:t xml:space="preserve">. If the Committee, in its discretion, decides to grant a Performance-Based Award to an Eligible Individual, the provisions of this Article 11 shall control over any contrary provision contained in Articles 6 through 10;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Committee may in its discretion grant Awards to Eligible Individuals that are based on Performance Criteria or other performance conditions but that do not satisfy the requirements of this Article 11.</w:t>
      </w:r>
    </w:p>
    <w:p>
      <w:pPr>
        <w:spacing w:after="0" w:line="20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Applicability</w:t>
      </w:r>
      <w:r>
        <w:rPr>
          <w:rFonts w:ascii="Arial" w:cs="Arial" w:eastAsia="Arial" w:hAnsi="Arial"/>
          <w:sz w:val="18"/>
          <w:szCs w:val="18"/>
          <w:color w:val="auto"/>
        </w:rPr>
        <w:t>. This Article 11 shall apply only to those Eligible Individuals selected by the Committee to receive Performance-Based Awards. The designation of an Eligible Individual as a Participant for a Performance Period shall not entitle the Participant, in any manner, to receive an Award for the period. Moreover, the designation of an Eligible Individual as a Participant for a particular Performance Period shall not require designation of such Eligible Individual as a Participant in any subsequent Performance Period and designation of one Eligible Individual as a Participant shall not require designation of any other Eligible Individuals as a Participant in such period or in any other Performance Period.</w:t>
      </w:r>
    </w:p>
    <w:p>
      <w:pPr>
        <w:spacing w:after="0" w:line="20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u w:val="single" w:color="auto"/>
          <w:color w:val="auto"/>
        </w:rPr>
        <w:t>Procedures with Respect to Performance-Based Awards</w:t>
      </w:r>
      <w:r>
        <w:rPr>
          <w:rFonts w:ascii="Arial" w:cs="Arial" w:eastAsia="Arial" w:hAnsi="Arial"/>
          <w:sz w:val="18"/>
          <w:szCs w:val="18"/>
          <w:color w:val="auto"/>
        </w:rPr>
        <w:t>. With respect to any Performance-Based Awards, which may be granted to one or more Eligible Individuals, within the first twenty-five percent (25%) of the Performance Period in question or period of Service, the Committee, in writing (a) shall designate one or more Eligible Individuals as eligible for an Award, (b) shall designate the Performance Period over which the Performance Goals shall be measured; (c) shall select the Performance Criteria applicable to the Performance Period,</w:t>
      </w:r>
    </w:p>
    <w:p>
      <w:pPr>
        <w:spacing w:after="0" w:line="2" w:lineRule="exact"/>
        <w:rPr>
          <w:sz w:val="20"/>
          <w:szCs w:val="20"/>
          <w:color w:val="auto"/>
        </w:rPr>
      </w:pPr>
    </w:p>
    <w:p>
      <w:pPr>
        <w:jc w:val="both"/>
        <w:ind w:firstLine="8"/>
        <w:spacing w:after="0" w:line="252" w:lineRule="auto"/>
        <w:tabs>
          <w:tab w:leader="none" w:pos="287" w:val="left"/>
        </w:tabs>
        <w:numPr>
          <w:ilvl w:val="0"/>
          <w:numId w:val="143"/>
        </w:numPr>
        <w:rPr>
          <w:rFonts w:ascii="Arial" w:cs="Arial" w:eastAsia="Arial" w:hAnsi="Arial"/>
          <w:sz w:val="18"/>
          <w:szCs w:val="18"/>
          <w:color w:val="auto"/>
        </w:rPr>
      </w:pPr>
      <w:r>
        <w:rPr>
          <w:rFonts w:ascii="Arial" w:cs="Arial" w:eastAsia="Arial" w:hAnsi="Arial"/>
          <w:sz w:val="18"/>
          <w:szCs w:val="18"/>
          <w:color w:val="auto"/>
        </w:rPr>
        <w:t>shall establish the Performance Goals, and amounts of such Awards, as applicable, which may be earned for such Performance Period, and (e) shall specify the relationship between Performance Criteria and the Performance Goals and the amounts of such Awards, as applicable, to be earned by each Eligible Individuals for such Performance Period. Following the completion of each Performance Period, the Committee shall certify in writing whether the applicable Performance Goals have been achieved for such Performance Period. In determining the amount earned by an Eligible Individual, the Committee shall have the right to adjust or eliminate the amount payable at a given level of performance to take into account additional factors that the Committee may deem relevant to the assessment of individual or corporate performance for the Performance Period.</w:t>
      </w:r>
    </w:p>
    <w:p>
      <w:pPr>
        <w:spacing w:after="0" w:line="20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u w:val="single" w:color="auto"/>
          <w:color w:val="auto"/>
        </w:rPr>
        <w:t>Payment of Performance-Based Awards</w:t>
      </w:r>
      <w:r>
        <w:rPr>
          <w:rFonts w:ascii="Arial" w:cs="Arial" w:eastAsia="Arial" w:hAnsi="Arial"/>
          <w:sz w:val="18"/>
          <w:szCs w:val="18"/>
          <w:color w:val="auto"/>
        </w:rPr>
        <w:t>. Unless otherwise provided in the applicable Award Agreement, a Participant must be providing Service on the day a Performance-Based Award for the appropriate Performance Period is paid to the Participant. Furthermore, unless otherwise provided in the applicable Award Agreement, a Participant shall be eligible to receive payment pursuant to a Performance-Based Award for a Performance Period only if the Performance Goals for such period are achieved.</w:t>
      </w:r>
    </w:p>
    <w:p>
      <w:pPr>
        <w:spacing w:after="0" w:line="182"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ARTICLE 12.</w:t>
      </w:r>
      <w:r>
        <w:rPr>
          <w:sz w:val="20"/>
          <w:szCs w:val="20"/>
          <w:color w:val="auto"/>
        </w:rPr>
        <w:tab/>
      </w:r>
      <w:r>
        <w:rPr>
          <w:rFonts w:ascii="Arial" w:cs="Arial" w:eastAsia="Arial" w:hAnsi="Arial"/>
          <w:sz w:val="17"/>
          <w:szCs w:val="17"/>
          <w:b w:val="1"/>
          <w:bCs w:val="1"/>
          <w:color w:val="auto"/>
        </w:rPr>
        <w:t>PROVISIONS APPLICABLE TO AWARDS</w:t>
      </w:r>
    </w:p>
    <w:p>
      <w:pPr>
        <w:spacing w:after="0" w:line="24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u w:val="single" w:color="auto"/>
          <w:color w:val="auto"/>
        </w:rPr>
        <w:t>Stand-Alone and Tandem Awards</w:t>
      </w:r>
      <w:r>
        <w:rPr>
          <w:rFonts w:ascii="Arial" w:cs="Arial" w:eastAsia="Arial" w:hAnsi="Arial"/>
          <w:sz w:val="18"/>
          <w:szCs w:val="18"/>
          <w:color w:val="auto"/>
        </w:rPr>
        <w:t>. Awards granted pursuant to the Plan may, in the discretion of the Committee, be granted either alone, in addition to, or in tandem with, any other Award granted pursuant to the Plan. Awards granted in addition to or in tandem with other Awards may be granted either at the same time as or at a different time from the grant of such other Awards.</w:t>
      </w:r>
    </w:p>
    <w:p>
      <w:pPr>
        <w:spacing w:after="0" w:line="20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u w:val="single" w:color="auto"/>
          <w:color w:val="auto"/>
        </w:rPr>
        <w:t>Award Agreement</w:t>
      </w:r>
      <w:r>
        <w:rPr>
          <w:rFonts w:ascii="Arial" w:cs="Arial" w:eastAsia="Arial" w:hAnsi="Arial"/>
          <w:sz w:val="18"/>
          <w:szCs w:val="18"/>
          <w:color w:val="auto"/>
        </w:rPr>
        <w:t>. Awards under the Plan shall be evidenced by Award Agreements that set forth the terms, conditions and limitations for each Award, not inconsistent with the Plan, which may include, without limitation, the term of an Award, the provisions applicable in the event the Participant’s Service terminates, and the Company’s authority to unilaterally or bilaterally amend, modify, suspend, cancel or rescind an Award.</w:t>
      </w:r>
    </w:p>
    <w:p>
      <w:pPr>
        <w:spacing w:after="0" w:line="20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 xml:space="preserve">12.3 </w:t>
      </w:r>
      <w:r>
        <w:rPr>
          <w:rFonts w:ascii="Arial" w:cs="Arial" w:eastAsia="Arial" w:hAnsi="Arial"/>
          <w:sz w:val="18"/>
          <w:szCs w:val="18"/>
          <w:u w:val="single" w:color="auto"/>
          <w:color w:val="auto"/>
        </w:rPr>
        <w:t>Minimum Vesting Requirements</w:t>
      </w:r>
      <w:r>
        <w:rPr>
          <w:rFonts w:ascii="Arial" w:cs="Arial" w:eastAsia="Arial" w:hAnsi="Arial"/>
          <w:sz w:val="18"/>
          <w:szCs w:val="18"/>
          <w:color w:val="auto"/>
        </w:rPr>
        <w:t>. Notwithstanding any other provision of the Plan, except in connection with Awards granted in connection with assumption or substitution of awards as part of a transaction as contemplated under Section 4.1(c) or Awards that may be settled only in cash, no portion of an Award granted on or after the Effective Date may vest before the first anniversary of the date of grant, subject to accelerated vesting as contemplated under Section 3.3(j) and ARTICLE 13; provided, however, that the Company may grant Awards with respect to up to five percent (5%) of the number of Shares reserved under Section 4.1 as of the Effective Date without regard to the minimum vesting period set forth in this Section 12.3.</w:t>
      </w:r>
    </w:p>
    <w:p>
      <w:pPr>
        <w:spacing w:after="0" w:line="209"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8"/>
          <w:szCs w:val="18"/>
          <w:u w:val="single" w:color="auto"/>
          <w:color w:val="auto"/>
        </w:rPr>
        <w:t>Dividends and Dividend Equivalent Rights</w:t>
      </w:r>
      <w:r>
        <w:rPr>
          <w:rFonts w:ascii="Arial" w:cs="Arial" w:eastAsia="Arial" w:hAnsi="Arial"/>
          <w:sz w:val="18"/>
          <w:szCs w:val="18"/>
          <w:color w:val="auto"/>
        </w:rPr>
        <w:t>.</w:t>
      </w:r>
    </w:p>
    <w:p>
      <w:pPr>
        <w:spacing w:after="0" w:line="225" w:lineRule="exact"/>
        <w:rPr>
          <w:sz w:val="20"/>
          <w:szCs w:val="20"/>
          <w:color w:val="auto"/>
        </w:rPr>
      </w:pPr>
    </w:p>
    <w:p>
      <w:pPr>
        <w:ind w:left="180" w:firstLine="1287"/>
        <w:spacing w:after="0" w:line="262" w:lineRule="auto"/>
        <w:tabs>
          <w:tab w:leader="none" w:pos="1887"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Any Participant selected by the Committee may be granted Dividend Equivalent Rights based on the dividends declared on the Shares that are subject to any Restricted Stock Unit or an Other Share-</w:t>
      </w: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P104</w:t>
      </w:r>
    </w:p>
    <w:p>
      <w:pPr>
        <w:sectPr>
          <w:pgSz w:w="11900" w:h="16838" w:orient="portrait"/>
          <w:cols w:equalWidth="0" w:num="1">
            <w:col w:w="11420"/>
          </w:cols>
          <w:pgMar w:left="240" w:top="576" w:right="239" w:bottom="1440" w:gutter="0" w:footer="0" w:header="0"/>
        </w:sectPr>
      </w:pPr>
    </w:p>
    <w:bookmarkStart w:id="108" w:name="page109"/>
    <w:bookmarkEnd w:id="108"/>
    <w:p>
      <w:pPr>
        <w:jc w:val="both"/>
        <w:ind w:left="180"/>
        <w:spacing w:after="0" w:line="254" w:lineRule="auto"/>
        <w:rPr>
          <w:sz w:val="20"/>
          <w:szCs w:val="20"/>
          <w:color w:val="auto"/>
        </w:rPr>
      </w:pPr>
      <w:r>
        <w:rPr>
          <w:rFonts w:ascii="Arial" w:cs="Arial" w:eastAsia="Arial" w:hAnsi="Arial"/>
          <w:sz w:val="18"/>
          <w:szCs w:val="18"/>
          <w:color w:val="auto"/>
        </w:rPr>
        <w:t>Based Award that is a Full Value Award, to be credited as of dividend payment dates, during the period between the date the Award is granted and the date the Award vests or is settled, as determined by the Committee and set forth in the applicable Award Agreement. Such Dividend Equivalent Rights shall be converted to cash or additional Shares by such formula and at such time and subject to such limitations as may be determined by the Committee.</w:t>
      </w:r>
    </w:p>
    <w:p>
      <w:pPr>
        <w:spacing w:after="0" w:line="204" w:lineRule="exact"/>
        <w:rPr>
          <w:sz w:val="20"/>
          <w:szCs w:val="20"/>
          <w:color w:val="auto"/>
        </w:rPr>
      </w:pPr>
    </w:p>
    <w:p>
      <w:pPr>
        <w:jc w:val="both"/>
        <w:ind w:left="180" w:firstLine="1287"/>
        <w:spacing w:after="0" w:line="253" w:lineRule="auto"/>
        <w:tabs>
          <w:tab w:leader="none" w:pos="1923"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To the extent Shares subject to an Award (other than Restricted Stock) are subject to vesting conditions, any Dividend Equivalent Rights relating to such Shares shall either (i) not be paid or credited or (ii) be accumulated and subject to restrictions and risk of forfeiture to the same extent as the underlying Award with respect to which such cash, stock or other property has been distributed. For Shares of Restricted Stock that are subject to vesting, dividends shall be accumulated and subject to any restrictions and risk of forfeiture to which the underlying Restricted Stock is subject.</w:t>
      </w:r>
    </w:p>
    <w:p>
      <w:pPr>
        <w:spacing w:after="0" w:line="20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12.5 </w:t>
      </w:r>
      <w:r>
        <w:rPr>
          <w:rFonts w:ascii="Arial" w:cs="Arial" w:eastAsia="Arial" w:hAnsi="Arial"/>
          <w:sz w:val="18"/>
          <w:szCs w:val="18"/>
          <w:u w:val="single" w:color="auto"/>
          <w:color w:val="auto"/>
        </w:rPr>
        <w:t>Limits on Transfer</w:t>
      </w:r>
      <w:r>
        <w:rPr>
          <w:rFonts w:ascii="Arial" w:cs="Arial" w:eastAsia="Arial" w:hAnsi="Arial"/>
          <w:sz w:val="18"/>
          <w:szCs w:val="18"/>
          <w:color w:val="auto"/>
        </w:rPr>
        <w:t>. No right or interest of a Participant in any Award may be pledged, encumbered, or hypothecated to or in favor of any party other than the Company or an Affiliate, or shall be subject to any lien, obligation, or liability of such Participant to any other party other than the Company or an Affiliate. Except as otherwise provided by the Committee, no Award shall be assigned, transferred, or otherwise disposed of by a Participant other than by will or the laws of descent and distribution.</w:t>
      </w:r>
    </w:p>
    <w:p>
      <w:pPr>
        <w:spacing w:after="0" w:line="204"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12.6</w:t>
      </w:r>
      <w:r>
        <w:rPr>
          <w:sz w:val="20"/>
          <w:szCs w:val="20"/>
          <w:color w:val="auto"/>
        </w:rPr>
        <w:tab/>
      </w:r>
      <w:r>
        <w:rPr>
          <w:rFonts w:ascii="Arial" w:cs="Arial" w:eastAsia="Arial" w:hAnsi="Arial"/>
          <w:sz w:val="17"/>
          <w:szCs w:val="17"/>
          <w:u w:val="single" w:color="auto"/>
          <w:color w:val="auto"/>
        </w:rPr>
        <w:t>Stock Certificates; Book Entry Procedures</w:t>
      </w:r>
      <w:r>
        <w:rPr>
          <w:rFonts w:ascii="Arial" w:cs="Arial" w:eastAsia="Arial" w:hAnsi="Arial"/>
          <w:sz w:val="17"/>
          <w:szCs w:val="17"/>
          <w:color w:val="auto"/>
        </w:rPr>
        <w:t>.</w:t>
      </w:r>
    </w:p>
    <w:p>
      <w:pPr>
        <w:spacing w:after="0" w:line="225" w:lineRule="exact"/>
        <w:rPr>
          <w:sz w:val="20"/>
          <w:szCs w:val="20"/>
          <w:color w:val="auto"/>
        </w:rPr>
      </w:pPr>
    </w:p>
    <w:p>
      <w:pPr>
        <w:jc w:val="both"/>
        <w:ind w:left="180" w:firstLine="1125"/>
        <w:spacing w:after="0" w:line="251" w:lineRule="auto"/>
        <w:tabs>
          <w:tab w:leader="none" w:pos="1806" w:val="left"/>
        </w:tabs>
        <w:numPr>
          <w:ilvl w:val="0"/>
          <w:numId w:val="146"/>
        </w:numPr>
        <w:rPr>
          <w:rFonts w:ascii="Arial" w:cs="Arial" w:eastAsia="Arial" w:hAnsi="Arial"/>
          <w:sz w:val="18"/>
          <w:szCs w:val="18"/>
          <w:color w:val="auto"/>
        </w:rPr>
      </w:pPr>
      <w:r>
        <w:rPr>
          <w:rFonts w:ascii="Arial" w:cs="Arial" w:eastAsia="Arial" w:hAnsi="Arial"/>
          <w:sz w:val="18"/>
          <w:szCs w:val="18"/>
          <w:color w:val="auto"/>
        </w:rPr>
        <w:t>Notwithstanding anything herein to the contrary, the Company shall not be required to issue or deliver any certificates evidencing Shares pursuant to the exercise or vesting, as applicable, of any Award, unless and until the Board has determined, with advice of counsel, that the issuance and delivery of such certificates is in compliance with all Applicable Laws, regulations of governmental authorities and, if applicable, the requirements of any exchange on which the Shares are listed or traded. All certificates evidencing Shares delivered pursuant to the Plan are subject to any stop-transfer orders and other restrictions as the Committee deems necessary or advisable to comply with federal, state, or local securities or other laws, including laws of jurisdictions outside of the U.S., rules and regulations and the rules of any national securities exchange or automated quotation system on which the Shares are listed, quoted, or traded. The Committee may place legends on any certificate evidencing Shares to reference restrictions applicable to the Shares. In addition to the terms and conditions provided herein, the Board may require that a Participant make such reasonable covenants, agreements, and representations as the Board, in its discretion, deems advisable in order to comply with any such laws, regulations, or requirements. The Committee shall have the right to require any Participant to comply with any timing or other restrictions with respect to the settlement or exercise of any Award, including, without limitation, a window-period limitation, as may be imposed in the discretion of the Committee.</w:t>
      </w:r>
    </w:p>
    <w:p>
      <w:pPr>
        <w:spacing w:after="0" w:line="211" w:lineRule="exact"/>
        <w:rPr>
          <w:rFonts w:ascii="Arial" w:cs="Arial" w:eastAsia="Arial" w:hAnsi="Arial"/>
          <w:sz w:val="18"/>
          <w:szCs w:val="18"/>
          <w:color w:val="auto"/>
        </w:rPr>
      </w:pPr>
    </w:p>
    <w:p>
      <w:pPr>
        <w:jc w:val="both"/>
        <w:ind w:left="180" w:firstLine="1125"/>
        <w:spacing w:after="0" w:line="254" w:lineRule="auto"/>
        <w:tabs>
          <w:tab w:leader="none" w:pos="1851" w:val="left"/>
        </w:tabs>
        <w:numPr>
          <w:ilvl w:val="0"/>
          <w:numId w:val="146"/>
        </w:numPr>
        <w:rPr>
          <w:rFonts w:ascii="Arial" w:cs="Arial" w:eastAsia="Arial" w:hAnsi="Arial"/>
          <w:sz w:val="18"/>
          <w:szCs w:val="18"/>
          <w:color w:val="auto"/>
        </w:rPr>
      </w:pPr>
      <w:r>
        <w:rPr>
          <w:rFonts w:ascii="Arial" w:cs="Arial" w:eastAsia="Arial" w:hAnsi="Arial"/>
          <w:sz w:val="18"/>
          <w:szCs w:val="18"/>
          <w:color w:val="auto"/>
        </w:rPr>
        <w:t>Notwithstanding any other provision of the Plan, unless otherwise determined by the Committee or required by any Applicable Laws, rule or regulation, the Company shall not deliver to any Participant certificates evidencing Shares issued in connection with any Award and instead such Shares shall be recorded in the books of the Company (or, as applicable, its transfer agent or stock plan administrator).</w:t>
      </w:r>
    </w:p>
    <w:p>
      <w:pPr>
        <w:spacing w:after="0" w:line="20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12.7 </w:t>
      </w:r>
      <w:r>
        <w:rPr>
          <w:rFonts w:ascii="Arial" w:cs="Arial" w:eastAsia="Arial" w:hAnsi="Arial"/>
          <w:sz w:val="18"/>
          <w:szCs w:val="18"/>
          <w:u w:val="single" w:color="auto"/>
          <w:color w:val="auto"/>
        </w:rPr>
        <w:t>Paperless Administration</w:t>
      </w:r>
      <w:r>
        <w:rPr>
          <w:rFonts w:ascii="Arial" w:cs="Arial" w:eastAsia="Arial" w:hAnsi="Arial"/>
          <w:sz w:val="18"/>
          <w:szCs w:val="18"/>
          <w:color w:val="auto"/>
        </w:rPr>
        <w:t>. In the event that the Company establishes, for itself or using the services of a third party, an automated system for the documentation, granting or exercise of Awards, such as a system using an internet website, intranet or interactive voice response, then the paperless documentation, granting or exercise of Awards by a Participant may be permitted through the use of such an automated system.</w:t>
      </w:r>
    </w:p>
    <w:p>
      <w:pPr>
        <w:spacing w:after="0" w:line="182" w:lineRule="exact"/>
        <w:rPr>
          <w:sz w:val="20"/>
          <w:szCs w:val="20"/>
          <w:color w:val="auto"/>
        </w:rPr>
      </w:pPr>
    </w:p>
    <w:p>
      <w:pPr>
        <w:spacing w:after="0"/>
        <w:tabs>
          <w:tab w:leader="none" w:pos="1520" w:val="left"/>
        </w:tabs>
        <w:rPr>
          <w:sz w:val="20"/>
          <w:szCs w:val="20"/>
          <w:color w:val="auto"/>
        </w:rPr>
      </w:pPr>
      <w:r>
        <w:rPr>
          <w:rFonts w:ascii="Arial" w:cs="Arial" w:eastAsia="Arial" w:hAnsi="Arial"/>
          <w:sz w:val="18"/>
          <w:szCs w:val="18"/>
          <w:b w:val="1"/>
          <w:bCs w:val="1"/>
          <w:color w:val="auto"/>
        </w:rPr>
        <w:t>ARTICLE 13.</w:t>
      </w:r>
      <w:r>
        <w:rPr>
          <w:sz w:val="20"/>
          <w:szCs w:val="20"/>
          <w:color w:val="auto"/>
        </w:rPr>
        <w:tab/>
      </w:r>
      <w:r>
        <w:rPr>
          <w:rFonts w:ascii="Arial" w:cs="Arial" w:eastAsia="Arial" w:hAnsi="Arial"/>
          <w:sz w:val="17"/>
          <w:szCs w:val="17"/>
          <w:b w:val="1"/>
          <w:bCs w:val="1"/>
          <w:color w:val="auto"/>
        </w:rPr>
        <w:t>CHANGES IN CAPITAL STRUCTURE</w:t>
      </w:r>
    </w:p>
    <w:p>
      <w:pPr>
        <w:spacing w:after="0" w:line="247"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7"/>
          <w:szCs w:val="17"/>
          <w:u w:val="single" w:color="auto"/>
          <w:color w:val="auto"/>
        </w:rPr>
        <w:t>Adjustments</w:t>
      </w:r>
      <w:r>
        <w:rPr>
          <w:rFonts w:ascii="Arial" w:cs="Arial" w:eastAsia="Arial" w:hAnsi="Arial"/>
          <w:sz w:val="17"/>
          <w:szCs w:val="17"/>
          <w:color w:val="auto"/>
        </w:rPr>
        <w:t>.</w:t>
      </w:r>
    </w:p>
    <w:p>
      <w:pPr>
        <w:spacing w:after="0" w:line="225" w:lineRule="exact"/>
        <w:rPr>
          <w:sz w:val="20"/>
          <w:szCs w:val="20"/>
          <w:color w:val="auto"/>
        </w:rPr>
      </w:pPr>
    </w:p>
    <w:p>
      <w:pPr>
        <w:jc w:val="both"/>
        <w:ind w:left="180" w:firstLine="1125"/>
        <w:spacing w:after="0" w:line="252" w:lineRule="auto"/>
        <w:tabs>
          <w:tab w:leader="none" w:pos="1876" w:val="left"/>
        </w:tabs>
        <w:numPr>
          <w:ilvl w:val="0"/>
          <w:numId w:val="147"/>
        </w:numPr>
        <w:rPr>
          <w:rFonts w:ascii="Arial" w:cs="Arial" w:eastAsia="Arial" w:hAnsi="Arial"/>
          <w:sz w:val="18"/>
          <w:szCs w:val="18"/>
          <w:color w:val="auto"/>
        </w:rPr>
      </w:pPr>
      <w:r>
        <w:rPr>
          <w:rFonts w:ascii="Arial" w:cs="Arial" w:eastAsia="Arial" w:hAnsi="Arial"/>
          <w:sz w:val="18"/>
          <w:szCs w:val="18"/>
          <w:color w:val="auto"/>
        </w:rPr>
        <w:t>In the event of any stock dividend, stock split, combination or exchange of shares, merger, consolidation or other distribution (other than normal cash dividends) of Company assets to shareholders, or any other similar event or other change related to a corporate event affecting the Shares or the price of the Shares other than an Equity Restructuring, the Committee shall make such adjustments, if any, as the Committee in its discretion may deem appropriate to reflect such change with respect to (a) the aggregate number and kind of shares that may be issued under the Plan (including, without limitation, adjustments of the limitations in Sections 4.1 and 4.3 hereof); (b) the terms and conditions of any outstanding Awards (including, without limitation, the number and kind of shares that may be issued, or any applicable performance goals or criteria with respect thereto); and (c) the grant or exercise price per Share for any outstanding Awards under the Plan.</w:t>
      </w:r>
    </w:p>
    <w:p>
      <w:pPr>
        <w:spacing w:after="0" w:line="200" w:lineRule="exact"/>
        <w:rPr>
          <w:sz w:val="20"/>
          <w:szCs w:val="20"/>
          <w:color w:val="auto"/>
        </w:rPr>
      </w:pPr>
    </w:p>
    <w:p>
      <w:pPr>
        <w:spacing w:after="0" w:line="249" w:lineRule="exact"/>
        <w:rPr>
          <w:sz w:val="20"/>
          <w:szCs w:val="20"/>
          <w:color w:val="auto"/>
        </w:rPr>
      </w:pPr>
    </w:p>
    <w:p>
      <w:pPr>
        <w:ind w:left="11000"/>
        <w:spacing w:after="0"/>
        <w:rPr>
          <w:sz w:val="20"/>
          <w:szCs w:val="20"/>
          <w:color w:val="auto"/>
        </w:rPr>
      </w:pPr>
      <w:r>
        <w:rPr>
          <w:rFonts w:ascii="Arial" w:cs="Arial" w:eastAsia="Arial" w:hAnsi="Arial"/>
          <w:sz w:val="17"/>
          <w:szCs w:val="17"/>
          <w:color w:val="auto"/>
        </w:rPr>
        <w:t>P105</w:t>
      </w:r>
    </w:p>
    <w:p>
      <w:pPr>
        <w:sectPr>
          <w:pgSz w:w="11900" w:h="16838" w:orient="portrait"/>
          <w:cols w:equalWidth="0" w:num="1">
            <w:col w:w="11420"/>
          </w:cols>
          <w:pgMar w:left="240" w:top="598" w:right="239" w:bottom="1440" w:gutter="0" w:footer="0" w:header="0"/>
        </w:sectPr>
      </w:pPr>
    </w:p>
    <w:bookmarkStart w:id="109" w:name="page110"/>
    <w:bookmarkEnd w:id="109"/>
    <w:p>
      <w:pPr>
        <w:jc w:val="both"/>
        <w:ind w:firstLine="1125"/>
        <w:spacing w:after="0" w:line="252" w:lineRule="auto"/>
        <w:tabs>
          <w:tab w:leader="none" w:pos="1559"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In the event of any transaction or event described in Section 13.1(a) hereof or any unusual or infrequently occurring items or nonrecurring transactions or events affecting the Company, any affiliate of the Company, or the financial statements of the Company or any affiliate, or of changes in Applicable Laws, regulations or accounting principles, the Committee, in its sole and absolute discretion, and on such terms and conditions as it deems appropriate, either by the terms of the Award or by action taken prior to the occurrence of such transaction or event and either automatically or upon the Participant’s request, is hereby authorized to take any one or more of the following actions whenever the Committee determines that such action is appropriate in order to prevent dilution or enlargement of the benefits or potential benefits intended to be made available under the Plan or with respect to any Award under the Plan, to facilitate such transactions or events or to give effect to such changes in laws, regulations or principles:</w:t>
      </w:r>
    </w:p>
    <w:p>
      <w:pPr>
        <w:spacing w:after="0" w:line="206" w:lineRule="exact"/>
        <w:rPr>
          <w:rFonts w:ascii="Arial" w:cs="Arial" w:eastAsia="Arial" w:hAnsi="Arial"/>
          <w:sz w:val="18"/>
          <w:szCs w:val="18"/>
          <w:color w:val="auto"/>
        </w:rPr>
      </w:pPr>
    </w:p>
    <w:p>
      <w:pPr>
        <w:jc w:val="both"/>
        <w:ind w:left="480" w:firstLine="1293"/>
        <w:spacing w:after="0" w:line="252" w:lineRule="auto"/>
        <w:tabs>
          <w:tab w:leader="none" w:pos="2203" w:val="left"/>
        </w:tabs>
        <w:numPr>
          <w:ilvl w:val="1"/>
          <w:numId w:val="148"/>
        </w:numPr>
        <w:rPr>
          <w:rFonts w:ascii="Arial" w:cs="Arial" w:eastAsia="Arial" w:hAnsi="Arial"/>
          <w:sz w:val="18"/>
          <w:szCs w:val="18"/>
          <w:color w:val="auto"/>
        </w:rPr>
      </w:pPr>
      <w:r>
        <w:rPr>
          <w:rFonts w:ascii="Arial" w:cs="Arial" w:eastAsia="Arial" w:hAnsi="Arial"/>
          <w:sz w:val="18"/>
          <w:szCs w:val="18"/>
          <w:color w:val="auto"/>
        </w:rPr>
        <w:t>to provide for either (A) termination of any such Award in exchange for an amount of cash, if any, equal to the amount that would have been attained upon the exercise of such Award or realization of the Participant’s rights (and, for the avoidance of doubt, if as of the date of the occurrence of the transaction or event described in this Section 13.1 the Committee determines in good faith that no amount would have been attained upon the exercise of such Award or realization of the Participant’s rights, then such Award may be terminated by the Company without payment) or (B) the replacement of such Award with other rights or property selected by the Committee in its sole discretion;</w:t>
      </w:r>
    </w:p>
    <w:p>
      <w:pPr>
        <w:spacing w:after="0" w:line="208" w:lineRule="exact"/>
        <w:rPr>
          <w:rFonts w:ascii="Arial" w:cs="Arial" w:eastAsia="Arial" w:hAnsi="Arial"/>
          <w:sz w:val="18"/>
          <w:szCs w:val="18"/>
          <w:color w:val="auto"/>
        </w:rPr>
      </w:pPr>
    </w:p>
    <w:p>
      <w:pPr>
        <w:jc w:val="both"/>
        <w:ind w:left="480" w:firstLine="1293"/>
        <w:spacing w:after="0" w:line="256" w:lineRule="auto"/>
        <w:tabs>
          <w:tab w:leader="none" w:pos="2295" w:val="left"/>
        </w:tabs>
        <w:numPr>
          <w:ilvl w:val="1"/>
          <w:numId w:val="148"/>
        </w:numPr>
        <w:rPr>
          <w:rFonts w:ascii="Arial" w:cs="Arial" w:eastAsia="Arial" w:hAnsi="Arial"/>
          <w:sz w:val="18"/>
          <w:szCs w:val="18"/>
          <w:color w:val="auto"/>
        </w:rPr>
      </w:pPr>
      <w:r>
        <w:rPr>
          <w:rFonts w:ascii="Arial" w:cs="Arial" w:eastAsia="Arial" w:hAnsi="Arial"/>
          <w:sz w:val="18"/>
          <w:szCs w:val="18"/>
          <w:color w:val="auto"/>
        </w:rPr>
        <w:t>to provide that such Award be assumed by the successor or survivor corporation, or a parent or subsidiary thereof, or shall be substituted for by similar options, rights or awards covering the stock of the successor or survivor corporation, or a parent or subsidiary thereof, with appropriate adjustments as to the number and kind of shares and prices;</w:t>
      </w:r>
    </w:p>
    <w:p>
      <w:pPr>
        <w:spacing w:after="0" w:line="201" w:lineRule="exact"/>
        <w:rPr>
          <w:rFonts w:ascii="Arial" w:cs="Arial" w:eastAsia="Arial" w:hAnsi="Arial"/>
          <w:sz w:val="18"/>
          <w:szCs w:val="18"/>
          <w:color w:val="auto"/>
        </w:rPr>
      </w:pPr>
    </w:p>
    <w:p>
      <w:pPr>
        <w:jc w:val="both"/>
        <w:ind w:left="480" w:firstLine="1293"/>
        <w:spacing w:after="0" w:line="256" w:lineRule="auto"/>
        <w:tabs>
          <w:tab w:leader="none" w:pos="2278" w:val="left"/>
        </w:tabs>
        <w:numPr>
          <w:ilvl w:val="1"/>
          <w:numId w:val="148"/>
        </w:numPr>
        <w:rPr>
          <w:rFonts w:ascii="Arial" w:cs="Arial" w:eastAsia="Arial" w:hAnsi="Arial"/>
          <w:sz w:val="18"/>
          <w:szCs w:val="18"/>
          <w:color w:val="auto"/>
        </w:rPr>
      </w:pPr>
      <w:r>
        <w:rPr>
          <w:rFonts w:ascii="Arial" w:cs="Arial" w:eastAsia="Arial" w:hAnsi="Arial"/>
          <w:sz w:val="18"/>
          <w:szCs w:val="18"/>
          <w:color w:val="auto"/>
        </w:rPr>
        <w:t>to make adjustments in the number and type of Shares (or other securities or property) subject to outstanding Awards, and/or in the terms and conditions of (including the grant or exercise price), and the criteria included in, outstanding options, rights and awards;</w:t>
      </w:r>
    </w:p>
    <w:p>
      <w:pPr>
        <w:spacing w:after="0" w:line="201" w:lineRule="exact"/>
        <w:rPr>
          <w:rFonts w:ascii="Arial" w:cs="Arial" w:eastAsia="Arial" w:hAnsi="Arial"/>
          <w:sz w:val="18"/>
          <w:szCs w:val="18"/>
          <w:color w:val="auto"/>
        </w:rPr>
      </w:pPr>
    </w:p>
    <w:p>
      <w:pPr>
        <w:ind w:left="480" w:right="20" w:firstLine="1293"/>
        <w:spacing w:after="0" w:line="262" w:lineRule="auto"/>
        <w:tabs>
          <w:tab w:leader="none" w:pos="2308" w:val="left"/>
        </w:tabs>
        <w:numPr>
          <w:ilvl w:val="1"/>
          <w:numId w:val="148"/>
        </w:numPr>
        <w:rPr>
          <w:rFonts w:ascii="Arial" w:cs="Arial" w:eastAsia="Arial" w:hAnsi="Arial"/>
          <w:sz w:val="18"/>
          <w:szCs w:val="18"/>
          <w:color w:val="auto"/>
        </w:rPr>
      </w:pPr>
      <w:r>
        <w:rPr>
          <w:rFonts w:ascii="Arial" w:cs="Arial" w:eastAsia="Arial" w:hAnsi="Arial"/>
          <w:sz w:val="18"/>
          <w:szCs w:val="18"/>
          <w:color w:val="auto"/>
        </w:rPr>
        <w:t>to provide that such Award shall be exercisable or payable or fully vested with respect to all Shares covered thereby, notwithstanding anything to the contrary in the Plan or the applicable Award Agreement; and</w:t>
      </w:r>
    </w:p>
    <w:p>
      <w:pPr>
        <w:spacing w:after="0" w:line="196" w:lineRule="exact"/>
        <w:rPr>
          <w:rFonts w:ascii="Arial" w:cs="Arial" w:eastAsia="Arial" w:hAnsi="Arial"/>
          <w:sz w:val="18"/>
          <w:szCs w:val="18"/>
          <w:color w:val="auto"/>
        </w:rPr>
      </w:pPr>
    </w:p>
    <w:p>
      <w:pPr>
        <w:ind w:left="2180" w:hanging="407"/>
        <w:spacing w:after="0"/>
        <w:tabs>
          <w:tab w:leader="none" w:pos="218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to provide that the Award cannot vest, be exercised or become payable after such event.</w:t>
      </w:r>
    </w:p>
    <w:p>
      <w:pPr>
        <w:spacing w:after="0" w:line="225" w:lineRule="exact"/>
        <w:rPr>
          <w:rFonts w:ascii="Arial" w:cs="Arial" w:eastAsia="Arial" w:hAnsi="Arial"/>
          <w:sz w:val="18"/>
          <w:szCs w:val="18"/>
          <w:color w:val="auto"/>
        </w:rPr>
      </w:pPr>
    </w:p>
    <w:p>
      <w:pPr>
        <w:ind w:firstLine="1125"/>
        <w:spacing w:after="0" w:line="262" w:lineRule="auto"/>
        <w:tabs>
          <w:tab w:leader="none" w:pos="1752"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In connection with the occurrence of any Equity Restructuring, and notwithstanding anything to the contrary in Sections 13.1(a) and 13.1(b) hereof:</w:t>
      </w:r>
    </w:p>
    <w:p>
      <w:pPr>
        <w:spacing w:after="0" w:line="196" w:lineRule="exact"/>
        <w:rPr>
          <w:rFonts w:ascii="Arial" w:cs="Arial" w:eastAsia="Arial" w:hAnsi="Arial"/>
          <w:sz w:val="18"/>
          <w:szCs w:val="18"/>
          <w:color w:val="auto"/>
        </w:rPr>
      </w:pPr>
    </w:p>
    <w:p>
      <w:pPr>
        <w:jc w:val="both"/>
        <w:ind w:left="480" w:right="20" w:firstLine="1293"/>
        <w:spacing w:after="0" w:line="256" w:lineRule="auto"/>
        <w:tabs>
          <w:tab w:leader="none" w:pos="2146" w:val="left"/>
        </w:tabs>
        <w:numPr>
          <w:ilvl w:val="1"/>
          <w:numId w:val="148"/>
        </w:numPr>
        <w:rPr>
          <w:rFonts w:ascii="Arial" w:cs="Arial" w:eastAsia="Arial" w:hAnsi="Arial"/>
          <w:sz w:val="18"/>
          <w:szCs w:val="18"/>
          <w:color w:val="auto"/>
        </w:rPr>
      </w:pPr>
      <w:r>
        <w:rPr>
          <w:rFonts w:ascii="Arial" w:cs="Arial" w:eastAsia="Arial" w:hAnsi="Arial"/>
          <w:sz w:val="18"/>
          <w:szCs w:val="18"/>
          <w:color w:val="auto"/>
        </w:rPr>
        <w:t>the number and type of securities subject to each outstanding Award and the exercise price or grant price thereof, if applicable, shall be equitably adjusted. The adjustments provided under this Section 13.1(c)(i) shall be final and binding on the affected Participant and the Company.</w:t>
      </w:r>
    </w:p>
    <w:p>
      <w:pPr>
        <w:spacing w:after="0" w:line="201" w:lineRule="exact"/>
        <w:rPr>
          <w:rFonts w:ascii="Arial" w:cs="Arial" w:eastAsia="Arial" w:hAnsi="Arial"/>
          <w:sz w:val="18"/>
          <w:szCs w:val="18"/>
          <w:color w:val="auto"/>
        </w:rPr>
      </w:pPr>
    </w:p>
    <w:p>
      <w:pPr>
        <w:jc w:val="both"/>
        <w:ind w:left="480" w:firstLine="1293"/>
        <w:spacing w:after="0" w:line="256" w:lineRule="auto"/>
        <w:tabs>
          <w:tab w:leader="none" w:pos="2295" w:val="left"/>
        </w:tabs>
        <w:numPr>
          <w:ilvl w:val="1"/>
          <w:numId w:val="148"/>
        </w:numPr>
        <w:rPr>
          <w:rFonts w:ascii="Arial" w:cs="Arial" w:eastAsia="Arial" w:hAnsi="Arial"/>
          <w:sz w:val="18"/>
          <w:szCs w:val="18"/>
          <w:color w:val="auto"/>
        </w:rPr>
      </w:pPr>
      <w:r>
        <w:rPr>
          <w:rFonts w:ascii="Arial" w:cs="Arial" w:eastAsia="Arial" w:hAnsi="Arial"/>
          <w:sz w:val="18"/>
          <w:szCs w:val="18"/>
          <w:color w:val="auto"/>
        </w:rPr>
        <w:t>the Committee shall make such equitable adjustments, if any, as the Committee in its discretion may deem appropriate to reflect such Equity Restructuring with respect to the aggregate number and kind of shares that may be issued under the Plan (including, without limitation, adjustments of the limitations in Sections 4.1 and 4.3 hereof).</w:t>
      </w:r>
    </w:p>
    <w:p>
      <w:pPr>
        <w:spacing w:after="0" w:line="202" w:lineRule="exact"/>
        <w:rPr>
          <w:sz w:val="20"/>
          <w:szCs w:val="20"/>
          <w:color w:val="auto"/>
        </w:rPr>
      </w:pPr>
    </w:p>
    <w:p>
      <w:pPr>
        <w:ind w:left="480"/>
        <w:spacing w:after="0"/>
        <w:tabs>
          <w:tab w:leader="none" w:pos="100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7"/>
          <w:szCs w:val="17"/>
          <w:u w:val="single" w:color="auto"/>
          <w:color w:val="auto"/>
        </w:rPr>
        <w:t>Change in Control</w:t>
      </w:r>
      <w:r>
        <w:rPr>
          <w:rFonts w:ascii="Arial" w:cs="Arial" w:eastAsia="Arial" w:hAnsi="Arial"/>
          <w:sz w:val="17"/>
          <w:szCs w:val="17"/>
          <w:color w:val="auto"/>
        </w:rPr>
        <w:t>.</w:t>
      </w:r>
    </w:p>
    <w:p>
      <w:pPr>
        <w:spacing w:after="0" w:line="225" w:lineRule="exact"/>
        <w:rPr>
          <w:sz w:val="20"/>
          <w:szCs w:val="20"/>
          <w:color w:val="auto"/>
        </w:rPr>
      </w:pPr>
    </w:p>
    <w:p>
      <w:pPr>
        <w:jc w:val="both"/>
        <w:ind w:firstLine="1125"/>
        <w:spacing w:after="0" w:line="253" w:lineRule="auto"/>
        <w:tabs>
          <w:tab w:leader="none" w:pos="15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Notwithstanding Section 13.1 hereof, and provided that any applicable Award Agreement does not expressly preclude the following from applying, if a Change in Control occurs and Awards that vest solely on the Participant’s continued Service are not converted, assumed, substituted or replaced by a successor or survivor corporation, or a parent or subsidiary thereof, then immediately prior to the Change in Control such Awards shall become fully exercisable and all forfeiture restrictions on such Awards shall lapse and, immediately following the consummation of such Change in Control, all such Awards shall terminate and cease to be outstanding.</w:t>
      </w:r>
    </w:p>
    <w:p>
      <w:pPr>
        <w:spacing w:after="0" w:line="205" w:lineRule="exact"/>
        <w:rPr>
          <w:rFonts w:ascii="Arial" w:cs="Arial" w:eastAsia="Arial" w:hAnsi="Arial"/>
          <w:sz w:val="18"/>
          <w:szCs w:val="18"/>
          <w:color w:val="auto"/>
        </w:rPr>
      </w:pPr>
    </w:p>
    <w:p>
      <w:pPr>
        <w:jc w:val="both"/>
        <w:ind w:right="20" w:firstLine="1125"/>
        <w:spacing w:after="0" w:line="256" w:lineRule="auto"/>
        <w:tabs>
          <w:tab w:leader="none" w:pos="1563" w:val="left"/>
        </w:tabs>
        <w:numPr>
          <w:ilvl w:val="0"/>
          <w:numId w:val="149"/>
        </w:numPr>
        <w:rPr>
          <w:rFonts w:ascii="Arial" w:cs="Arial" w:eastAsia="Arial" w:hAnsi="Arial"/>
          <w:sz w:val="18"/>
          <w:szCs w:val="18"/>
          <w:color w:val="auto"/>
        </w:rPr>
      </w:pPr>
      <w:r>
        <w:rPr>
          <w:rFonts w:ascii="Arial" w:cs="Arial" w:eastAsia="Arial" w:hAnsi="Arial"/>
          <w:sz w:val="18"/>
          <w:szCs w:val="18"/>
          <w:color w:val="auto"/>
        </w:rPr>
        <w:t>Notwithstanding Section 13.1 hereof, Awards that vest based on the attainment of performance-based conditions shall be subject to the provisions of the Award Agreement governing the impact of a Change in Control, provided that any such provisions in the Award Agreement shall (i) not permit the vesting of</w:t>
      </w: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P106</w:t>
      </w:r>
    </w:p>
    <w:p>
      <w:pPr>
        <w:sectPr>
          <w:pgSz w:w="11900" w:h="16838" w:orient="portrait"/>
          <w:cols w:equalWidth="0" w:num="1">
            <w:col w:w="11240"/>
          </w:cols>
          <w:pgMar w:left="420" w:top="598" w:right="239" w:bottom="1440" w:gutter="0" w:footer="0" w:header="0"/>
        </w:sectPr>
      </w:pPr>
    </w:p>
    <w:bookmarkStart w:id="110" w:name="page111"/>
    <w:bookmarkEnd w:id="110"/>
    <w:p>
      <w:pPr>
        <w:ind w:left="180"/>
        <w:spacing w:after="0" w:line="262" w:lineRule="auto"/>
        <w:rPr>
          <w:sz w:val="20"/>
          <w:szCs w:val="20"/>
          <w:color w:val="auto"/>
        </w:rPr>
      </w:pPr>
      <w:r>
        <w:rPr>
          <w:rFonts w:ascii="Arial" w:cs="Arial" w:eastAsia="Arial" w:hAnsi="Arial"/>
          <w:sz w:val="18"/>
          <w:szCs w:val="18"/>
          <w:color w:val="auto"/>
        </w:rPr>
        <w:t>Awards at a rate that is greater than the actual level of attainment and/or (ii) provide for pro-rated vesting of the Award based on any reduction to the performance period resulting from the Change in Control.</w:t>
      </w:r>
    </w:p>
    <w:p>
      <w:pPr>
        <w:spacing w:after="0" w:line="196" w:lineRule="exact"/>
        <w:rPr>
          <w:sz w:val="20"/>
          <w:szCs w:val="20"/>
          <w:color w:val="auto"/>
        </w:rPr>
      </w:pPr>
    </w:p>
    <w:p>
      <w:pPr>
        <w:jc w:val="both"/>
        <w:ind w:left="180" w:firstLine="1125"/>
        <w:spacing w:after="0" w:line="253" w:lineRule="auto"/>
        <w:tabs>
          <w:tab w:leader="none" w:pos="1724" w:val="left"/>
        </w:tabs>
        <w:numPr>
          <w:ilvl w:val="0"/>
          <w:numId w:val="150"/>
        </w:numPr>
        <w:rPr>
          <w:rFonts w:ascii="Arial" w:cs="Arial" w:eastAsia="Arial" w:hAnsi="Arial"/>
          <w:sz w:val="18"/>
          <w:szCs w:val="18"/>
          <w:color w:val="auto"/>
        </w:rPr>
      </w:pPr>
      <w:r>
        <w:rPr>
          <w:rFonts w:ascii="Arial" w:cs="Arial" w:eastAsia="Arial" w:hAnsi="Arial"/>
          <w:sz w:val="18"/>
          <w:szCs w:val="18"/>
          <w:color w:val="auto"/>
        </w:rPr>
        <w:t>Where Awards are assumed or continued after a Change in Control, the Committee may provide that the vesting of one or more Awards will automatically accelerate upon an involuntary termination of the Participant’s employment or service within a designated period following the effective date of such Change in Control. Any such Award shall accordingly, upon an involuntary termination of the Participant’s employment or service in connection with a Change in Control, become fully exercisable and all forfeiture restrictions on such Award shall lapse.</w:t>
      </w:r>
    </w:p>
    <w:p>
      <w:pPr>
        <w:spacing w:after="0" w:line="205" w:lineRule="exact"/>
        <w:rPr>
          <w:rFonts w:ascii="Arial" w:cs="Arial" w:eastAsia="Arial" w:hAnsi="Arial"/>
          <w:sz w:val="18"/>
          <w:szCs w:val="18"/>
          <w:color w:val="auto"/>
        </w:rPr>
      </w:pPr>
    </w:p>
    <w:p>
      <w:pPr>
        <w:jc w:val="both"/>
        <w:ind w:left="180" w:firstLine="1125"/>
        <w:spacing w:after="0" w:line="256" w:lineRule="auto"/>
        <w:tabs>
          <w:tab w:leader="none" w:pos="1741"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portion of any Incentive Stock Option accelerated in connection with a Change in Control shall remain exercisable as an Incentive Stock Option only to the extent the applicable $100,000 limitation is not exceeded. To the extent such U.S. dollar limitation is exceeded, the accelerated portion of such Option shall be exercisable as a Non-Statutory Option under the U.S. federal tax laws.</w:t>
      </w:r>
    </w:p>
    <w:p>
      <w:pPr>
        <w:spacing w:after="0" w:line="20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 xml:space="preserve">13.3 </w:t>
      </w:r>
      <w:r>
        <w:rPr>
          <w:rFonts w:ascii="Arial" w:cs="Arial" w:eastAsia="Arial" w:hAnsi="Arial"/>
          <w:sz w:val="18"/>
          <w:szCs w:val="18"/>
          <w:u w:val="single" w:color="auto"/>
          <w:color w:val="auto"/>
        </w:rPr>
        <w:t>No Other Rights</w:t>
      </w:r>
      <w:r>
        <w:rPr>
          <w:rFonts w:ascii="Arial" w:cs="Arial" w:eastAsia="Arial" w:hAnsi="Arial"/>
          <w:sz w:val="18"/>
          <w:szCs w:val="18"/>
          <w:color w:val="auto"/>
        </w:rPr>
        <w:t>. Except as expressly provided in the Plan, no Participant shall have any rights by reason of any subdivision or consolidation of Shares of any class, the payment of any dividend, any increase or decrease in the number of Shares of any class or any dissolution, liquidation, merger, or consolidation of the Company or any other corporation. Except as expressly provided in the Plan or pursuant to action of the Committee under the Plan, no issuance by the Company of Shares of any class, or securities convertible into Shares of any class, shall affect, and no adjustment by reason thereof shall be made with respect to, the number of Shares subject to an Award or the grant or the exercise price of any Award.</w:t>
      </w:r>
    </w:p>
    <w:p>
      <w:pPr>
        <w:spacing w:after="0" w:line="187" w:lineRule="exact"/>
        <w:rPr>
          <w:sz w:val="20"/>
          <w:szCs w:val="20"/>
          <w:color w:val="auto"/>
        </w:rPr>
      </w:pPr>
    </w:p>
    <w:p>
      <w:pPr>
        <w:spacing w:after="0"/>
        <w:tabs>
          <w:tab w:leader="none" w:pos="1520" w:val="left"/>
        </w:tabs>
        <w:rPr>
          <w:sz w:val="20"/>
          <w:szCs w:val="20"/>
          <w:color w:val="auto"/>
        </w:rPr>
      </w:pPr>
      <w:r>
        <w:rPr>
          <w:rFonts w:ascii="Arial" w:cs="Arial" w:eastAsia="Arial" w:hAnsi="Arial"/>
          <w:sz w:val="18"/>
          <w:szCs w:val="18"/>
          <w:b w:val="1"/>
          <w:bCs w:val="1"/>
          <w:color w:val="auto"/>
        </w:rPr>
        <w:t>ARTICLE 14.</w:t>
      </w:r>
      <w:r>
        <w:rPr>
          <w:sz w:val="20"/>
          <w:szCs w:val="20"/>
          <w:color w:val="auto"/>
        </w:rPr>
        <w:tab/>
      </w:r>
      <w:r>
        <w:rPr>
          <w:rFonts w:ascii="Arial" w:cs="Arial" w:eastAsia="Arial" w:hAnsi="Arial"/>
          <w:sz w:val="17"/>
          <w:szCs w:val="17"/>
          <w:b w:val="1"/>
          <w:bCs w:val="1"/>
          <w:color w:val="auto"/>
        </w:rPr>
        <w:t>EFFECTIVE AND EXPIRATION DATE</w:t>
      </w:r>
    </w:p>
    <w:p>
      <w:pPr>
        <w:spacing w:after="0" w:line="24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 xml:space="preserve">14.1 </w:t>
      </w:r>
      <w:r>
        <w:rPr>
          <w:rFonts w:ascii="Arial" w:cs="Arial" w:eastAsia="Arial" w:hAnsi="Arial"/>
          <w:sz w:val="18"/>
          <w:szCs w:val="18"/>
          <w:u w:val="single" w:color="auto"/>
          <w:color w:val="auto"/>
        </w:rPr>
        <w:t>Plan Effective Date</w:t>
      </w:r>
      <w:r>
        <w:rPr>
          <w:rFonts w:ascii="Arial" w:cs="Arial" w:eastAsia="Arial" w:hAnsi="Arial"/>
          <w:sz w:val="18"/>
          <w:szCs w:val="18"/>
          <w:color w:val="auto"/>
        </w:rPr>
        <w:t>. The Plan was approved by the Board on February 20, 2018 and shall become effective upon approval of the shareholders of the Company.</w:t>
      </w:r>
    </w:p>
    <w:p>
      <w:pPr>
        <w:spacing w:after="0" w:line="196"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18"/>
          <w:szCs w:val="18"/>
          <w:color w:val="auto"/>
        </w:rPr>
        <w:t xml:space="preserve">14.2 </w:t>
      </w:r>
      <w:r>
        <w:rPr>
          <w:rFonts w:ascii="Arial" w:cs="Arial" w:eastAsia="Arial" w:hAnsi="Arial"/>
          <w:sz w:val="18"/>
          <w:szCs w:val="18"/>
          <w:u w:val="single" w:color="auto"/>
          <w:color w:val="auto"/>
        </w:rPr>
        <w:t>Expiration Date</w:t>
      </w:r>
      <w:r>
        <w:rPr>
          <w:rFonts w:ascii="Arial" w:cs="Arial" w:eastAsia="Arial" w:hAnsi="Arial"/>
          <w:sz w:val="18"/>
          <w:szCs w:val="18"/>
          <w:color w:val="auto"/>
        </w:rPr>
        <w:t>. The Plan will continue in effect until it is terminated by the Board pursuant to Section 15.1 hereof, except that no Incentive Stock Options may be granted under the Plan after February 20, 2028. Any Awards that are outstanding on the date the Plan terminates shall remain in force according to the terms of the Plan and the applicable Award Agreement.</w:t>
      </w:r>
    </w:p>
    <w:p>
      <w:pPr>
        <w:spacing w:after="0" w:line="180" w:lineRule="exact"/>
        <w:rPr>
          <w:sz w:val="20"/>
          <w:szCs w:val="20"/>
          <w:color w:val="auto"/>
        </w:rPr>
      </w:pPr>
    </w:p>
    <w:p>
      <w:pPr>
        <w:spacing w:after="0"/>
        <w:tabs>
          <w:tab w:leader="none" w:pos="1520" w:val="left"/>
        </w:tabs>
        <w:rPr>
          <w:sz w:val="20"/>
          <w:szCs w:val="20"/>
          <w:color w:val="auto"/>
        </w:rPr>
      </w:pPr>
      <w:r>
        <w:rPr>
          <w:rFonts w:ascii="Arial" w:cs="Arial" w:eastAsia="Arial" w:hAnsi="Arial"/>
          <w:sz w:val="18"/>
          <w:szCs w:val="18"/>
          <w:b w:val="1"/>
          <w:bCs w:val="1"/>
          <w:color w:val="auto"/>
        </w:rPr>
        <w:t>ARTICLE 15.</w:t>
      </w:r>
      <w:r>
        <w:rPr>
          <w:sz w:val="20"/>
          <w:szCs w:val="20"/>
          <w:color w:val="auto"/>
        </w:rPr>
        <w:tab/>
      </w:r>
      <w:r>
        <w:rPr>
          <w:rFonts w:ascii="Arial" w:cs="Arial" w:eastAsia="Arial" w:hAnsi="Arial"/>
          <w:sz w:val="17"/>
          <w:szCs w:val="17"/>
          <w:b w:val="1"/>
          <w:bCs w:val="1"/>
          <w:color w:val="auto"/>
        </w:rPr>
        <w:t>AMENDMENT, MODIFICATION, AND TERMINATION</w:t>
      </w:r>
    </w:p>
    <w:p>
      <w:pPr>
        <w:spacing w:after="0" w:line="24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 xml:space="preserve">15.1 </w:t>
      </w:r>
      <w:r>
        <w:rPr>
          <w:rFonts w:ascii="Arial" w:cs="Arial" w:eastAsia="Arial" w:hAnsi="Arial"/>
          <w:sz w:val="18"/>
          <w:szCs w:val="18"/>
          <w:u w:val="single" w:color="auto"/>
          <w:color w:val="auto"/>
        </w:rPr>
        <w:t>Amendment, Modification, and Termination</w:t>
      </w:r>
      <w:r>
        <w:rPr>
          <w:rFonts w:ascii="Arial" w:cs="Arial" w:eastAsia="Arial" w:hAnsi="Arial"/>
          <w:sz w:val="18"/>
          <w:szCs w:val="18"/>
          <w:color w:val="auto"/>
        </w:rPr>
        <w:t xml:space="preserve">. Subject to Section 16.14 hereof, with the approval of the Board, at any time and from time to time, the Committee may terminate, amend or modify the Plan; </w:t>
      </w:r>
      <w:r>
        <w:rPr>
          <w:rFonts w:ascii="Arial" w:cs="Arial" w:eastAsia="Arial" w:hAnsi="Arial"/>
          <w:sz w:val="18"/>
          <w:szCs w:val="18"/>
          <w:i w:val="1"/>
          <w:iCs w:val="1"/>
          <w:color w:val="auto"/>
        </w:rPr>
        <w:t>provided, however</w:t>
      </w:r>
      <w:r>
        <w:rPr>
          <w:rFonts w:ascii="Arial" w:cs="Arial" w:eastAsia="Arial" w:hAnsi="Arial"/>
          <w:sz w:val="18"/>
          <w:szCs w:val="18"/>
          <w:color w:val="auto"/>
        </w:rPr>
        <w:t>, that to the extent necessary and desirable to comply with any Applicable Laws, the Company shall obtain shareholder approval of any Plan amendment in such a manner and to such a degree as required. Notwithstanding any provision in this Plan to the contrary, absent approval of the shareholders of the Company, and except as permitted by Article 13, no Option or SAR may be amended to reduce the per-Share exercise price of the Shares subject to such Option or SAR below the per-Share exercise price as of the date the Option or SAR is granted and (a) no Option or SAR may be granted in exchange for, or in connection with, the cancellation, surrender or substitution of an Option or SAR having a higher per-Share exercise price and (b) no Option or SAR may be cancelled in exchange for, or in connection with, the payment of a cash amount or another Award at a time when the Option or SAR has a per-Share exercise price that is higher than the Fair Market Value of a Share.</w:t>
      </w:r>
    </w:p>
    <w:p>
      <w:pPr>
        <w:spacing w:after="0" w:line="21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 xml:space="preserve">15.2 </w:t>
      </w:r>
      <w:r>
        <w:rPr>
          <w:rFonts w:ascii="Arial" w:cs="Arial" w:eastAsia="Arial" w:hAnsi="Arial"/>
          <w:sz w:val="18"/>
          <w:szCs w:val="18"/>
          <w:u w:val="single" w:color="auto"/>
          <w:color w:val="auto"/>
        </w:rPr>
        <w:t>Awards Previously Granted</w:t>
      </w:r>
      <w:r>
        <w:rPr>
          <w:rFonts w:ascii="Arial" w:cs="Arial" w:eastAsia="Arial" w:hAnsi="Arial"/>
          <w:sz w:val="18"/>
          <w:szCs w:val="18"/>
          <w:color w:val="auto"/>
        </w:rPr>
        <w:t xml:space="preserve">. Except with respect to amendments made or other actions taken pursuant to Section 16.14 hereof or any amendment or other action with respect to an outstanding Award that may be required or desirable to facilitate compliance with Applicable Laws, as determined by the Committee in its sole discretion, no termination, amendment, or modification of the Plan shall affect adversely, in any material way, any Award previously granted pursuant to the Plan without the prior written consent of the Participant;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an amendment or modification that may cause an Incentive Stock Option to become a Non-Qualified Stock Option shall not be</w:t>
      </w:r>
      <w:r>
        <w:rPr>
          <w:rFonts w:ascii="Arial" w:cs="Arial" w:eastAsia="Arial" w:hAnsi="Arial"/>
          <w:sz w:val="18"/>
          <w:szCs w:val="18"/>
          <w:i w:val="1"/>
          <w:iCs w:val="1"/>
          <w:color w:val="auto"/>
        </w:rPr>
        <w:t xml:space="preserve"> </w:t>
      </w:r>
      <w:r>
        <w:rPr>
          <w:rFonts w:ascii="Arial" w:cs="Arial" w:eastAsia="Arial" w:hAnsi="Arial"/>
          <w:sz w:val="18"/>
          <w:szCs w:val="18"/>
          <w:color w:val="auto"/>
        </w:rPr>
        <w:t>treated as adversely affecting the rights of the Participant.</w:t>
      </w: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P107</w:t>
      </w:r>
    </w:p>
    <w:p>
      <w:pPr>
        <w:sectPr>
          <w:pgSz w:w="11900" w:h="16838" w:orient="portrait"/>
          <w:cols w:equalWidth="0" w:num="1">
            <w:col w:w="11420"/>
          </w:cols>
          <w:pgMar w:left="240" w:top="598" w:right="239" w:bottom="1440" w:gutter="0" w:footer="0" w:header="0"/>
        </w:sectPr>
      </w:pPr>
    </w:p>
    <w:bookmarkStart w:id="111" w:name="page112"/>
    <w:bookmarkEnd w:id="111"/>
    <w:p>
      <w:pPr>
        <w:spacing w:after="0"/>
        <w:tabs>
          <w:tab w:leader="none" w:pos="1520" w:val="left"/>
        </w:tabs>
        <w:rPr>
          <w:sz w:val="20"/>
          <w:szCs w:val="20"/>
          <w:color w:val="auto"/>
        </w:rPr>
      </w:pPr>
      <w:r>
        <w:rPr>
          <w:rFonts w:ascii="Arial" w:cs="Arial" w:eastAsia="Arial" w:hAnsi="Arial"/>
          <w:sz w:val="18"/>
          <w:szCs w:val="18"/>
          <w:b w:val="1"/>
          <w:bCs w:val="1"/>
          <w:color w:val="auto"/>
        </w:rPr>
        <w:t>ARTICLE 16.</w:t>
      </w:r>
      <w:r>
        <w:rPr>
          <w:sz w:val="20"/>
          <w:szCs w:val="20"/>
          <w:color w:val="auto"/>
        </w:rPr>
        <w:tab/>
      </w:r>
      <w:r>
        <w:rPr>
          <w:rFonts w:ascii="Arial" w:cs="Arial" w:eastAsia="Arial" w:hAnsi="Arial"/>
          <w:sz w:val="17"/>
          <w:szCs w:val="17"/>
          <w:b w:val="1"/>
          <w:bCs w:val="1"/>
          <w:color w:val="auto"/>
        </w:rPr>
        <w:t>GENERAL PROVISIONS</w:t>
      </w:r>
    </w:p>
    <w:p>
      <w:pPr>
        <w:spacing w:after="0" w:line="24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 xml:space="preserve">16.1 </w:t>
      </w:r>
      <w:r>
        <w:rPr>
          <w:rFonts w:ascii="Arial" w:cs="Arial" w:eastAsia="Arial" w:hAnsi="Arial"/>
          <w:sz w:val="18"/>
          <w:szCs w:val="18"/>
          <w:u w:val="single" w:color="auto"/>
          <w:color w:val="auto"/>
        </w:rPr>
        <w:t>No Rights to Awards</w:t>
      </w:r>
      <w:r>
        <w:rPr>
          <w:rFonts w:ascii="Arial" w:cs="Arial" w:eastAsia="Arial" w:hAnsi="Arial"/>
          <w:sz w:val="18"/>
          <w:szCs w:val="18"/>
          <w:color w:val="auto"/>
        </w:rPr>
        <w:t>. No Eligible Individual or other person shall have any claim to be granted any Award pursuant to the Plan, and neither the Company nor the Committee is obligated to treat Eligible Individuals, Participants or any other persons uniformly.</w:t>
      </w:r>
    </w:p>
    <w:p>
      <w:pPr>
        <w:spacing w:after="0" w:line="19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16.2 </w:t>
      </w:r>
      <w:r>
        <w:rPr>
          <w:rFonts w:ascii="Arial" w:cs="Arial" w:eastAsia="Arial" w:hAnsi="Arial"/>
          <w:sz w:val="18"/>
          <w:szCs w:val="18"/>
          <w:u w:val="single" w:color="auto"/>
          <w:color w:val="auto"/>
        </w:rPr>
        <w:t>No Shareholders Rights</w:t>
      </w:r>
      <w:r>
        <w:rPr>
          <w:rFonts w:ascii="Arial" w:cs="Arial" w:eastAsia="Arial" w:hAnsi="Arial"/>
          <w:sz w:val="18"/>
          <w:szCs w:val="18"/>
          <w:color w:val="auto"/>
        </w:rPr>
        <w:t>. Except as otherwise provided herein, a Participant shall have none of the rights of a shareholder with respect to Shares covered by any Award, including the right to vote or receive dividends, until the Participant becomes the record owner of such Shares, notwithstanding the exercise of an Option or SAR or vesting of another Award.</w:t>
      </w:r>
    </w:p>
    <w:p>
      <w:pPr>
        <w:spacing w:after="0" w:line="20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 xml:space="preserve">16.3 </w:t>
      </w:r>
      <w:r>
        <w:rPr>
          <w:rFonts w:ascii="Arial" w:cs="Arial" w:eastAsia="Arial" w:hAnsi="Arial"/>
          <w:sz w:val="18"/>
          <w:szCs w:val="18"/>
          <w:u w:val="single" w:color="auto"/>
          <w:color w:val="auto"/>
        </w:rPr>
        <w:t>Tax-Related Items</w:t>
      </w:r>
      <w:r>
        <w:rPr>
          <w:rFonts w:ascii="Arial" w:cs="Arial" w:eastAsia="Arial" w:hAnsi="Arial"/>
          <w:sz w:val="18"/>
          <w:szCs w:val="18"/>
          <w:color w:val="auto"/>
        </w:rPr>
        <w:t>. The Company or any Affiliate, as applicable, shall have the authority to require a Participant to remit to the Company or an Affiliate, an amount sufficient to satisfy the withholding obligations for Tax-Related Items or to take such other action as may be necessary or appropriate in the opinion of the Company or an Affiliate, as applicable, to satisfy withholding obligations for Tax-Related Items, including one or a combination of the following: (a) withholding from the Participant’s wages or other cash compensation payable to the Participant by the Company or an Affiliate; (b) withholding from the proceeds of the sale of Shares acquired pursuant to an Award, either through a voluntary sale or a mandatory sale arranged by the Company on the Participant’s behalf, without need of further authorization; or (c) in the Committee’s sole discretion, by withholding Shares otherwise issuable under an Award (or allowing the return of Shares) sufficient, as determined by the Committee in its sole discretion, to satisfy such Tax-Related Items. No Shares shall be delivered pursuant to an Award to any Participant or other person until the Participant or such other person has made arrangements acceptable to the Committee to satisfy the withholding obligations for Tax-Related Items.</w:t>
      </w:r>
    </w:p>
    <w:p>
      <w:pPr>
        <w:spacing w:after="0" w:line="21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16.4 </w:t>
      </w:r>
      <w:r>
        <w:rPr>
          <w:rFonts w:ascii="Arial" w:cs="Arial" w:eastAsia="Arial" w:hAnsi="Arial"/>
          <w:sz w:val="18"/>
          <w:szCs w:val="18"/>
          <w:u w:val="single" w:color="auto"/>
          <w:color w:val="auto"/>
        </w:rPr>
        <w:t>No Right to Employment or Services</w:t>
      </w:r>
      <w:r>
        <w:rPr>
          <w:rFonts w:ascii="Arial" w:cs="Arial" w:eastAsia="Arial" w:hAnsi="Arial"/>
          <w:sz w:val="18"/>
          <w:szCs w:val="18"/>
          <w:color w:val="auto"/>
        </w:rPr>
        <w:t>. Nothing in the Plan or any Award Agreement shall interfere with or limit in any way the right of the Company or any Affiliate to terminate any Participant’s Service at any time, nor confer upon any Participant any right to continue in the Service of the Company or any Affiliate.</w:t>
      </w:r>
    </w:p>
    <w:p>
      <w:pPr>
        <w:spacing w:after="0" w:line="20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16.5 </w:t>
      </w:r>
      <w:r>
        <w:rPr>
          <w:rFonts w:ascii="Arial" w:cs="Arial" w:eastAsia="Arial" w:hAnsi="Arial"/>
          <w:sz w:val="18"/>
          <w:szCs w:val="18"/>
          <w:u w:val="single" w:color="auto"/>
          <w:color w:val="auto"/>
        </w:rPr>
        <w:t>Unfunded Status of Awards</w:t>
      </w:r>
      <w:r>
        <w:rPr>
          <w:rFonts w:ascii="Arial" w:cs="Arial" w:eastAsia="Arial" w:hAnsi="Arial"/>
          <w:sz w:val="18"/>
          <w:szCs w:val="18"/>
          <w:color w:val="auto"/>
        </w:rPr>
        <w:t>. The Plan is intended to be an “unfunded” plan for incentive compensation. With respect to any payments not yet made to a Participant pursuant to an Award, nothing contained in the Plan or any Award Agreement shall give the Participant any rights that are greater than those of a general creditor of the Company or any Affiliate.</w:t>
      </w:r>
    </w:p>
    <w:p>
      <w:pPr>
        <w:spacing w:after="0" w:line="20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 xml:space="preserve">16.6 </w:t>
      </w:r>
      <w:r>
        <w:rPr>
          <w:rFonts w:ascii="Arial" w:cs="Arial" w:eastAsia="Arial" w:hAnsi="Arial"/>
          <w:sz w:val="18"/>
          <w:szCs w:val="18"/>
          <w:u w:val="single" w:color="auto"/>
          <w:color w:val="auto"/>
        </w:rPr>
        <w:t>Indemnification</w:t>
      </w:r>
      <w:r>
        <w:rPr>
          <w:rFonts w:ascii="Arial" w:cs="Arial" w:eastAsia="Arial" w:hAnsi="Arial"/>
          <w:sz w:val="18"/>
          <w:szCs w:val="18"/>
          <w:color w:val="auto"/>
        </w:rPr>
        <w:t xml:space="preserve">. To the extent allowable pursuant to Applicable Laws, each member of the Committee and the Board shall be indemnified and held harmless by the Company from any loss, cost, liability, or expense that may be imposed upon or reasonably incurred by such member in connection with or resulting from any claim, action, suit, or proceeding to which he or she may be a party or in which he or she may be involved by reason of any action or failure to act pursuant to the Plan and against and from any and all amounts paid by him or her in satisfaction of judgment in such action, suit, or proceeding against him or her;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he or she gives the Company an opportunity, at its own expense, to handle and defend the same before he or she undertakes to handle and defend it on his or her own behalf. The foregoing right of indemnification shall not be exclusive of any other rights of indemnification to which such persons may be entitled pursuant to the Company’s Certificate of Incorporation or Bylaws, as a matter of law, or otherwise, or any power that the Company may have to indemnify them or hold them harmless.</w:t>
      </w:r>
    </w:p>
    <w:p>
      <w:pPr>
        <w:spacing w:after="0" w:line="21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16.7 </w:t>
      </w:r>
      <w:r>
        <w:rPr>
          <w:rFonts w:ascii="Arial" w:cs="Arial" w:eastAsia="Arial" w:hAnsi="Arial"/>
          <w:sz w:val="18"/>
          <w:szCs w:val="18"/>
          <w:u w:val="single" w:color="auto"/>
          <w:color w:val="auto"/>
        </w:rPr>
        <w:t>Relationship to other Benefits</w:t>
      </w:r>
      <w:r>
        <w:rPr>
          <w:rFonts w:ascii="Arial" w:cs="Arial" w:eastAsia="Arial" w:hAnsi="Arial"/>
          <w:sz w:val="18"/>
          <w:szCs w:val="18"/>
          <w:color w:val="auto"/>
        </w:rPr>
        <w:t>. No payment pursuant to the Plan shall be taken into account in determining any benefits pursuant to any pension, retirement, savings, profit sharing, group insurance, termination programs and/or indemnities or severance payments, welfare or other benefit plan of the Company or any Affiliate, except to the extent otherwise expressly provided in writing in such other plan or an agreement thereunder.</w:t>
      </w:r>
    </w:p>
    <w:p>
      <w:pPr>
        <w:spacing w:after="0" w:line="204"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16.8</w:t>
      </w:r>
      <w:r>
        <w:rPr>
          <w:sz w:val="20"/>
          <w:szCs w:val="20"/>
          <w:color w:val="auto"/>
        </w:rPr>
        <w:tab/>
      </w:r>
      <w:r>
        <w:rPr>
          <w:rFonts w:ascii="Arial" w:cs="Arial" w:eastAsia="Arial" w:hAnsi="Arial"/>
          <w:sz w:val="17"/>
          <w:szCs w:val="17"/>
          <w:u w:val="single" w:color="auto"/>
          <w:color w:val="auto"/>
        </w:rPr>
        <w:t>Expenses</w:t>
      </w:r>
      <w:r>
        <w:rPr>
          <w:rFonts w:ascii="Arial" w:cs="Arial" w:eastAsia="Arial" w:hAnsi="Arial"/>
          <w:sz w:val="17"/>
          <w:szCs w:val="17"/>
          <w:color w:val="auto"/>
        </w:rPr>
        <w:t>. The expenses of administering the Plan shall be borne by the Company and/or its Affiliates.</w:t>
      </w:r>
    </w:p>
    <w:p>
      <w:pPr>
        <w:spacing w:after="0" w:line="22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 xml:space="preserve">16.9 </w:t>
      </w:r>
      <w:r>
        <w:rPr>
          <w:rFonts w:ascii="Arial" w:cs="Arial" w:eastAsia="Arial" w:hAnsi="Arial"/>
          <w:sz w:val="18"/>
          <w:szCs w:val="18"/>
          <w:u w:val="single" w:color="auto"/>
          <w:color w:val="auto"/>
        </w:rPr>
        <w:t>Titles and Headings</w:t>
      </w:r>
      <w:r>
        <w:rPr>
          <w:rFonts w:ascii="Arial" w:cs="Arial" w:eastAsia="Arial" w:hAnsi="Arial"/>
          <w:sz w:val="18"/>
          <w:szCs w:val="18"/>
          <w:color w:val="auto"/>
        </w:rPr>
        <w:t>. The titles and headings of the sections in the Plan are for convenience of reference only and, in the event of any conflict, the text of the Plan, rather than such titles or headings, shall control.</w:t>
      </w:r>
    </w:p>
    <w:p>
      <w:pPr>
        <w:spacing w:after="0" w:line="19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 xml:space="preserve">16.10 </w:t>
      </w:r>
      <w:r>
        <w:rPr>
          <w:rFonts w:ascii="Arial" w:cs="Arial" w:eastAsia="Arial" w:hAnsi="Arial"/>
          <w:sz w:val="18"/>
          <w:szCs w:val="18"/>
          <w:u w:val="single" w:color="auto"/>
          <w:color w:val="auto"/>
        </w:rPr>
        <w:t>Fractional Shares</w:t>
      </w:r>
      <w:r>
        <w:rPr>
          <w:rFonts w:ascii="Arial" w:cs="Arial" w:eastAsia="Arial" w:hAnsi="Arial"/>
          <w:sz w:val="18"/>
          <w:szCs w:val="18"/>
          <w:color w:val="auto"/>
        </w:rPr>
        <w:t>. No fractional Shares shall be issued and the Committee shall determine, in its discretion, whether cash shall be given in lieu of fractional shares or whether such fractional shares shall be eliminated by rounding up or down as appropriate.</w:t>
      </w: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P108</w:t>
      </w:r>
    </w:p>
    <w:p>
      <w:pPr>
        <w:sectPr>
          <w:pgSz w:w="11900" w:h="16838" w:orient="portrait"/>
          <w:cols w:equalWidth="0" w:num="1">
            <w:col w:w="11420"/>
          </w:cols>
          <w:pgMar w:left="240" w:top="576" w:right="239" w:bottom="1440" w:gutter="0" w:footer="0" w:header="0"/>
        </w:sectPr>
      </w:pPr>
    </w:p>
    <w:bookmarkStart w:id="112" w:name="page113"/>
    <w:bookmarkEnd w:id="112"/>
    <w:p>
      <w:pPr>
        <w:jc w:val="both"/>
        <w:ind w:firstLine="648"/>
        <w:spacing w:after="0" w:line="253" w:lineRule="auto"/>
        <w:rPr>
          <w:sz w:val="20"/>
          <w:szCs w:val="20"/>
          <w:color w:val="auto"/>
        </w:rPr>
      </w:pPr>
      <w:r>
        <w:rPr>
          <w:rFonts w:ascii="Arial" w:cs="Arial" w:eastAsia="Arial" w:hAnsi="Arial"/>
          <w:sz w:val="18"/>
          <w:szCs w:val="18"/>
          <w:color w:val="auto"/>
        </w:rPr>
        <w:t xml:space="preserve">16.11 </w:t>
      </w:r>
      <w:r>
        <w:rPr>
          <w:rFonts w:ascii="Arial" w:cs="Arial" w:eastAsia="Arial" w:hAnsi="Arial"/>
          <w:sz w:val="18"/>
          <w:szCs w:val="18"/>
          <w:u w:val="single" w:color="auto"/>
          <w:color w:val="auto"/>
        </w:rPr>
        <w:t>Limitations Applicable to Section 16 Persons</w:t>
      </w:r>
      <w:r>
        <w:rPr>
          <w:rFonts w:ascii="Arial" w:cs="Arial" w:eastAsia="Arial" w:hAnsi="Arial"/>
          <w:sz w:val="18"/>
          <w:szCs w:val="18"/>
          <w:color w:val="auto"/>
        </w:rPr>
        <w:t>. Notwithstanding any other provision of the Plan, the Plan, and any Award granted or awarded to any Participant who is then subject to Section 16 of the Exchange Act, shall be subject to any additional limitations set forth in any applicable exemptive rule under Section 16 of the Exchange Act (including any amendment to Rule 16b-3 under the Exchange Act) that are requirements for the application of such exemptive rule. To the extent permitted by Applicable Laws, the Plan and Awards granted or awarded hereunder shall be deemed amended to the extent necessary to conform to such applicable exemptive rule.</w:t>
      </w:r>
    </w:p>
    <w:p>
      <w:pPr>
        <w:spacing w:after="0" w:line="20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 xml:space="preserve">16.12 </w:t>
      </w:r>
      <w:r>
        <w:rPr>
          <w:rFonts w:ascii="Arial" w:cs="Arial" w:eastAsia="Arial" w:hAnsi="Arial"/>
          <w:sz w:val="18"/>
          <w:szCs w:val="18"/>
          <w:u w:val="single" w:color="auto"/>
          <w:color w:val="auto"/>
        </w:rPr>
        <w:t>Government and Other Regulations</w:t>
      </w:r>
      <w:r>
        <w:rPr>
          <w:rFonts w:ascii="Arial" w:cs="Arial" w:eastAsia="Arial" w:hAnsi="Arial"/>
          <w:sz w:val="18"/>
          <w:szCs w:val="18"/>
          <w:color w:val="auto"/>
        </w:rPr>
        <w:t>. The obligation of the Company to make payment of awards in Shares or otherwise shall be subject to all Applicable Laws, and to such approvals by government agencies, including government agencies in jurisdictions outside of the U.S., in each case as may be required or as the Company deems necessary or advisable. Without limiting the foregoing, the Company shall have no obligation to issue or deliver evidence of title for Shares subject to Awards granted hereunder prior to: (i) obtaining any approvals from governmental agencies that the Company determines are necessary or advisable, and (ii) completion of any registration or other qualification with respect to the Shares under any Applicable Laws in the U.S. or in a jurisdiction outside of the U.S. or ruling of any governmental body that the Company determines to be necessary or advisable or at a time when any such registration or qualification is not current, has been suspended or otherwise has ceased to be effective. The inability or impracticability of the Company to obtain or maintain authority from any regulatory body having jurisdiction,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 and shall constitute circumstances in which the Committee may determine to amend or cancel Awards pertaining to such Shares, with or without consideration to the affected Participant. The Company shall be under no obligation to register, pursuant to the Securities Act or otherwise, any offering of Shares issuable under the Plan. If, in certain circumstances, the Shares paid pursuant to the Plan may be exempt from registration pursuant to the Securities Act, the Company may restrict the transfer of such Shares in such manner as it deems advisable to ensure the availability of any such exemption.</w:t>
      </w:r>
    </w:p>
    <w:p>
      <w:pPr>
        <w:spacing w:after="0" w:line="210"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 xml:space="preserve">16.13 </w:t>
      </w:r>
      <w:r>
        <w:rPr>
          <w:rFonts w:ascii="Arial" w:cs="Arial" w:eastAsia="Arial" w:hAnsi="Arial"/>
          <w:sz w:val="18"/>
          <w:szCs w:val="18"/>
          <w:u w:val="single" w:color="auto"/>
          <w:color w:val="auto"/>
        </w:rPr>
        <w:t>Governing Law</w:t>
      </w:r>
      <w:r>
        <w:rPr>
          <w:rFonts w:ascii="Arial" w:cs="Arial" w:eastAsia="Arial" w:hAnsi="Arial"/>
          <w:sz w:val="18"/>
          <w:szCs w:val="18"/>
          <w:color w:val="auto"/>
        </w:rPr>
        <w:t>. The Plan and all Award Agreements shall be construed in accordance with and governed by the laws of the State of Indiana.</w:t>
      </w:r>
    </w:p>
    <w:p>
      <w:pPr>
        <w:spacing w:after="0" w:line="19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 xml:space="preserve">16.14 </w:t>
      </w:r>
      <w:r>
        <w:rPr>
          <w:rFonts w:ascii="Arial" w:cs="Arial" w:eastAsia="Arial" w:hAnsi="Arial"/>
          <w:sz w:val="18"/>
          <w:szCs w:val="18"/>
          <w:u w:val="single" w:color="auto"/>
          <w:color w:val="auto"/>
        </w:rPr>
        <w:t>Section 409A</w:t>
      </w:r>
      <w:r>
        <w:rPr>
          <w:rFonts w:ascii="Arial" w:cs="Arial" w:eastAsia="Arial" w:hAnsi="Arial"/>
          <w:sz w:val="18"/>
          <w:szCs w:val="18"/>
          <w:color w:val="auto"/>
        </w:rPr>
        <w:t>. Except as provided in Section 16.15 hereof, to the extent that the Committee determines that any Award granted under the Plan is subject to Section 409A of the Code, the Award Agreement evidencing such Award shall incorporate the terms and conditions required by Section 409A of the Code. To the extent applicable, the Plan and Award Agreements shall be interpreted in accordance with Section 409A of the Code and U.S. Department of Treasury regulations and other interpretive guidance issued thereunder, including without limitation any such regulations or other guidance that may be issued after the Effective Date. Notwithstanding any provision of the Plan to the contrary, in the event that following the date an Award is granted the Committee determines that the Award may be subject to Section 409A of the Code and related U.S. Department of Treasury guidance (including such guidance as may be issued after the Effective Date), the Committee may adopt such amendments to the Plan and the applicable Award Agreement or adopt other policies and procedures (including amendments, policies and procedures with retroactive effect), or take any other actions, including amendments or actions that would result in a reduction to the benefits payable under an Award, in each case, without the consent of the Participant, that the Committee determines are necessary or appropriate to (a) exempt the Award from Section 409A of the Code and/or preserve the intended tax treatment of the benefits provided with respect to the Award, or (b) comply with the requirements of Section 409A of the Code and related U.S. Department of Treasury guidance and thereby avoid the application of any penalty taxes under such Section or mitigate any additional tax, interest and/or penalties or other adverse tax consequences that may apply under Section 409A of the Code if compliance is not practical.</w:t>
      </w:r>
    </w:p>
    <w:p>
      <w:pPr>
        <w:spacing w:after="0" w:line="21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 xml:space="preserve">16.15 </w:t>
      </w:r>
      <w:r>
        <w:rPr>
          <w:rFonts w:ascii="Arial" w:cs="Arial" w:eastAsia="Arial" w:hAnsi="Arial"/>
          <w:sz w:val="18"/>
          <w:szCs w:val="18"/>
          <w:u w:val="single" w:color="auto"/>
          <w:color w:val="auto"/>
        </w:rPr>
        <w:t>No Representations or Covenants with respect to Tax Qualification</w:t>
      </w:r>
      <w:r>
        <w:rPr>
          <w:rFonts w:ascii="Arial" w:cs="Arial" w:eastAsia="Arial" w:hAnsi="Arial"/>
          <w:sz w:val="18"/>
          <w:szCs w:val="18"/>
          <w:color w:val="auto"/>
        </w:rPr>
        <w:t>. Although the Company may endeavor to (a) qualify an Award for favorable or specific tax treatment under the laws of the U.S. (</w:t>
      </w:r>
      <w:r>
        <w:rPr>
          <w:rFonts w:ascii="Arial" w:cs="Arial" w:eastAsia="Arial" w:hAnsi="Arial"/>
          <w:sz w:val="18"/>
          <w:szCs w:val="18"/>
          <w:i w:val="1"/>
          <w:iCs w:val="1"/>
          <w:color w:val="auto"/>
        </w:rPr>
        <w:t>e.g.</w:t>
      </w:r>
      <w:r>
        <w:rPr>
          <w:rFonts w:ascii="Arial" w:cs="Arial" w:eastAsia="Arial" w:hAnsi="Arial"/>
          <w:sz w:val="18"/>
          <w:szCs w:val="18"/>
          <w:color w:val="auto"/>
        </w:rPr>
        <w:t>, Incentive Stock Options under Section 422 of the Code) or jurisdictions outside of the U.S. or (b) avoid adverse tax treatment (</w:t>
      </w:r>
      <w:r>
        <w:rPr>
          <w:rFonts w:ascii="Arial" w:cs="Arial" w:eastAsia="Arial" w:hAnsi="Arial"/>
          <w:sz w:val="18"/>
          <w:szCs w:val="18"/>
          <w:i w:val="1"/>
          <w:iCs w:val="1"/>
          <w:color w:val="auto"/>
        </w:rPr>
        <w:t>e.g.</w:t>
      </w:r>
      <w:r>
        <w:rPr>
          <w:rFonts w:ascii="Arial" w:cs="Arial" w:eastAsia="Arial" w:hAnsi="Arial"/>
          <w:sz w:val="18"/>
          <w:szCs w:val="18"/>
          <w:color w:val="auto"/>
        </w:rPr>
        <w:t>, under Section 409A of the Code), the Company makes no representation to that effect and expressly disavows any covenant to maintain favorable or avoid unfavorable tax treatment, notwithstanding anything to the contrary in this Plan, including Section 16.14 hereof. The Company shall be unconstrained in its corporate activities without regard to the potential negative tax impact on Participants under the Plan. Nothing in this Plan or in an Award Agreement shall provide a basis for any person to take any action against the Company or any Affiliate based on matters covered by Section 409A of the Code, including the tax treatment of any Awards, and neither the Company nor any Affiliate will have any liability under any circumstances to the Participant or any other party if the Award that is intended to be exempt from, or compliant with, Section 409A of the Code, is not so exempt or compliant or for any action taken by the Committee with respect thereto.</w:t>
      </w:r>
    </w:p>
    <w:p>
      <w:pPr>
        <w:spacing w:after="0" w:line="200" w:lineRule="exact"/>
        <w:rPr>
          <w:sz w:val="20"/>
          <w:szCs w:val="20"/>
          <w:color w:val="auto"/>
        </w:rPr>
      </w:pPr>
    </w:p>
    <w:p>
      <w:pPr>
        <w:spacing w:after="0" w:line="255" w:lineRule="exact"/>
        <w:rPr>
          <w:sz w:val="20"/>
          <w:szCs w:val="20"/>
          <w:color w:val="auto"/>
        </w:rPr>
      </w:pPr>
    </w:p>
    <w:p>
      <w:pPr>
        <w:ind w:left="11000"/>
        <w:spacing w:after="0"/>
        <w:rPr>
          <w:sz w:val="20"/>
          <w:szCs w:val="20"/>
          <w:color w:val="auto"/>
        </w:rPr>
      </w:pPr>
      <w:r>
        <w:rPr>
          <w:rFonts w:ascii="Arial" w:cs="Arial" w:eastAsia="Arial" w:hAnsi="Arial"/>
          <w:sz w:val="17"/>
          <w:szCs w:val="17"/>
          <w:color w:val="auto"/>
        </w:rPr>
        <w:t>P109</w:t>
      </w:r>
    </w:p>
    <w:p>
      <w:pPr>
        <w:sectPr>
          <w:pgSz w:w="11900" w:h="16838" w:orient="portrait"/>
          <w:cols w:equalWidth="0" w:num="1">
            <w:col w:w="11420"/>
          </w:cols>
          <w:pgMar w:left="240" w:top="598" w:right="239" w:bottom="1440" w:gutter="0" w:footer="0" w:header="0"/>
        </w:sectPr>
      </w:pPr>
    </w:p>
    <w:bookmarkStart w:id="113" w:name="page114"/>
    <w:bookmarkEnd w:id="113"/>
    <w:p>
      <w:pPr>
        <w:jc w:val="both"/>
        <w:ind w:firstLine="648"/>
        <w:spacing w:after="0" w:line="256" w:lineRule="auto"/>
        <w:rPr>
          <w:sz w:val="20"/>
          <w:szCs w:val="20"/>
          <w:color w:val="auto"/>
        </w:rPr>
      </w:pPr>
      <w:r>
        <w:rPr>
          <w:rFonts w:ascii="Arial" w:cs="Arial" w:eastAsia="Arial" w:hAnsi="Arial"/>
          <w:sz w:val="18"/>
          <w:szCs w:val="18"/>
          <w:color w:val="auto"/>
        </w:rPr>
        <w:t xml:space="preserve">16.16 </w:t>
      </w:r>
      <w:r>
        <w:rPr>
          <w:rFonts w:ascii="Arial" w:cs="Arial" w:eastAsia="Arial" w:hAnsi="Arial"/>
          <w:sz w:val="18"/>
          <w:szCs w:val="18"/>
          <w:u w:val="single" w:color="auto"/>
          <w:color w:val="auto"/>
        </w:rPr>
        <w:t>Clawback/Recovery</w:t>
      </w:r>
      <w:r>
        <w:rPr>
          <w:rFonts w:ascii="Arial" w:cs="Arial" w:eastAsia="Arial" w:hAnsi="Arial"/>
          <w:sz w:val="18"/>
          <w:szCs w:val="18"/>
          <w:color w:val="auto"/>
        </w:rPr>
        <w:t>. All Awards granted under the Plan will be subject to recoupment in accordance with any clawback policy adopted by the Company providing for the recovery of Awards, shares, proceeds, or payments to Participants in the event of fraud or as required by Applicable Laws or governance considerations or in other similar circumstances.</w:t>
      </w:r>
    </w:p>
    <w:p>
      <w:pPr>
        <w:spacing w:after="0" w:line="20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16.17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the Plan or the application of any provision hereof to any person or circumstance is held to be invalid or unenforceable, the remainder of the Plan and the application of such provision to any other person or circumstance shall not be affected, and the provisions so held to be unenforceable shall be reformed to the extent (and only to the extent) necessary to make it enforceable and valid.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 * *</w:t>
      </w:r>
    </w:p>
    <w:p>
      <w:pPr>
        <w:spacing w:after="0" w:line="200" w:lineRule="exact"/>
        <w:rPr>
          <w:sz w:val="20"/>
          <w:szCs w:val="20"/>
          <w:color w:val="auto"/>
        </w:rPr>
      </w:pPr>
    </w:p>
    <w:p>
      <w:pPr>
        <w:spacing w:after="0" w:line="2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P110</w:t>
      </w:r>
    </w:p>
    <w:p>
      <w:pPr>
        <w:sectPr>
          <w:pgSz w:w="11900" w:h="16838" w:orient="portrait"/>
          <w:cols w:equalWidth="0" w:num="1">
            <w:col w:w="11420"/>
          </w:cols>
          <w:pgMar w:left="240" w:top="598" w:right="239" w:bottom="1440" w:gutter="0" w:footer="0" w:header="0"/>
        </w:sectPr>
      </w:pPr>
    </w:p>
    <w:bookmarkStart w:id="114" w:name="page115"/>
    <w:bookmarkEnd w:id="114"/>
    <w:p>
      <w:pPr>
        <w:ind w:left="9800"/>
        <w:spacing w:after="0"/>
        <w:rPr>
          <w:sz w:val="20"/>
          <w:szCs w:val="20"/>
          <w:color w:val="auto"/>
        </w:rPr>
      </w:pPr>
      <w:r>
        <w:rPr>
          <w:rFonts w:ascii="Arial" w:cs="Arial" w:eastAsia="Arial" w:hAnsi="Arial"/>
          <w:sz w:val="17"/>
          <w:szCs w:val="17"/>
          <w:color w:val="auto"/>
        </w:rPr>
        <w:t>P111</w:t>
      </w:r>
    </w:p>
    <w:p>
      <w:pPr>
        <w:sectPr>
          <w:pgSz w:w="11900" w:h="16838" w:orient="portrait"/>
          <w:cols w:equalWidth="0" w:num="1">
            <w:col w:w="10220"/>
          </w:cols>
          <w:pgMar w:left="1440" w:top="1057" w:right="239" w:bottom="1440" w:gutter="0" w:footer="0" w:header="0"/>
        </w:sectPr>
      </w:pPr>
    </w:p>
    <w:bookmarkStart w:id="115" w:name="page116"/>
    <w:bookmarkEnd w:id="115"/>
    <w:p>
      <w:pPr>
        <w:spacing w:after="0"/>
        <w:rPr>
          <w:sz w:val="20"/>
          <w:szCs w:val="20"/>
          <w:color w:val="auto"/>
        </w:rPr>
      </w:pPr>
      <w:r>
        <w:rPr>
          <w:rFonts w:ascii="Arial" w:cs="Arial" w:eastAsia="Arial" w:hAnsi="Arial"/>
          <w:sz w:val="25"/>
          <w:szCs w:val="25"/>
          <w:b w:val="1"/>
          <w:bCs w:val="1"/>
          <w:color w:val="FF0000"/>
        </w:rPr>
        <w:t>Annual Meeting Admission Ticket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81280</wp:posOffset>
            </wp:positionV>
            <wp:extent cx="72720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Eli Lilly and Company 2018 Annual Meeting of Shareholders</w:t>
      </w:r>
    </w:p>
    <w:p>
      <w:pPr>
        <w:spacing w:after="0" w:line="3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Monday, May 7, 2018</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11:00 a.m. EDT</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Lilly Center Auditorium</w:t>
      </w:r>
    </w:p>
    <w:p>
      <w:pPr>
        <w:spacing w:after="0" w:line="3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Lilly Corporate Center</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Indianapolis, Indiana 46285</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FF0000"/>
        </w:rPr>
        <w:t>The top portion of this page will be required for admission to the meeting.</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Please write your name and address in the space provided below and present this ticket when you enter the Lilly Center.</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Doors open at 10:15 a.m.</w:t>
      </w:r>
    </w:p>
    <w:p>
      <w:pPr>
        <w:spacing w:after="0" w:line="177" w:lineRule="exact"/>
        <w:rPr>
          <w:sz w:val="20"/>
          <w:szCs w:val="20"/>
          <w:color w:val="auto"/>
        </w:rPr>
      </w:pPr>
    </w:p>
    <w:p>
      <w:pPr>
        <w:ind w:left="360"/>
        <w:spacing w:after="0"/>
        <w:rPr>
          <w:sz w:val="20"/>
          <w:szCs w:val="20"/>
          <w:color w:val="auto"/>
        </w:rPr>
      </w:pPr>
      <w:r>
        <w:rPr>
          <w:rFonts w:ascii="Arial" w:cs="Arial" w:eastAsia="Arial" w:hAnsi="Arial"/>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wp:posOffset>
            </wp:positionV>
            <wp:extent cx="70408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040880" cy="8890"/>
                    </a:xfrm>
                    <a:prstGeom prst="rect">
                      <a:avLst/>
                    </a:prstGeom>
                    <a:noFill/>
                  </pic:spPr>
                </pic:pic>
              </a:graphicData>
            </a:graphic>
          </wp:anchor>
        </w:drawing>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4"/>
          <w:szCs w:val="14"/>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wp:posOffset>
            </wp:positionV>
            <wp:extent cx="70408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040880" cy="8890"/>
                    </a:xfrm>
                    <a:prstGeom prst="rect">
                      <a:avLst/>
                    </a:prstGeom>
                    <a:noFill/>
                  </pic:spPr>
                </pic:pic>
              </a:graphicData>
            </a:graphic>
          </wp:anchor>
        </w:drawing>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4"/>
          <w:szCs w:val="14"/>
          <w:color w:val="auto"/>
        </w:rPr>
        <w:t>City, State, and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wp:posOffset>
            </wp:positionV>
            <wp:extent cx="70408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040880" cy="8890"/>
                    </a:xfrm>
                    <a:prstGeom prst="rect">
                      <a:avLst/>
                    </a:prstGeom>
                    <a:noFill/>
                  </pic:spPr>
                </pic:pic>
              </a:graphicData>
            </a:graphic>
          </wp:anchor>
        </w:drawing>
      </w:r>
    </w:p>
    <w:p>
      <w:pPr>
        <w:spacing w:after="0" w:line="62" w:lineRule="exact"/>
        <w:rPr>
          <w:sz w:val="20"/>
          <w:szCs w:val="20"/>
          <w:color w:val="auto"/>
        </w:rPr>
      </w:pPr>
    </w:p>
    <w:p>
      <w:pPr>
        <w:spacing w:after="0"/>
        <w:rPr>
          <w:sz w:val="20"/>
          <w:szCs w:val="20"/>
          <w:color w:val="auto"/>
        </w:rPr>
      </w:pPr>
      <w:r>
        <w:rPr>
          <w:rFonts w:ascii="Arial" w:cs="Arial" w:eastAsia="Arial" w:hAnsi="Arial"/>
          <w:sz w:val="32"/>
          <w:szCs w:val="32"/>
          <w:b w:val="1"/>
          <w:bCs w:val="1"/>
          <w:color w:val="FF0000"/>
        </w:rPr>
        <w:t>Parking Pass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235585</wp:posOffset>
            </wp:positionV>
            <wp:extent cx="5763260" cy="307022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763260" cy="307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C21128"/>
        </w:rPr>
        <w:t>Directions and Parking</w:t>
      </w:r>
    </w:p>
    <w:p>
      <w:pPr>
        <w:spacing w:after="0" w:line="112" w:lineRule="exact"/>
        <w:rPr>
          <w:sz w:val="20"/>
          <w:szCs w:val="20"/>
          <w:color w:val="auto"/>
        </w:rPr>
      </w:pPr>
    </w:p>
    <w:p>
      <w:pPr>
        <w:jc w:val="both"/>
        <w:ind w:left="440" w:right="260"/>
        <w:spacing w:after="0" w:line="256" w:lineRule="auto"/>
        <w:rPr>
          <w:sz w:val="20"/>
          <w:szCs w:val="20"/>
          <w:color w:val="auto"/>
        </w:rPr>
      </w:pPr>
      <w:r>
        <w:rPr>
          <w:rFonts w:ascii="Arial" w:cs="Arial" w:eastAsia="Arial" w:hAnsi="Arial"/>
          <w:sz w:val="18"/>
          <w:szCs w:val="18"/>
          <w:color w:val="auto"/>
        </w:rPr>
        <w:t xml:space="preserve">From I-70 take Exit 79B; follow signs to McCarty Street. Turn right (east) on McCarty Street; go straight into Lilly Corporate Center. You will be directed to parking. </w:t>
      </w:r>
      <w:r>
        <w:rPr>
          <w:rFonts w:ascii="Arial" w:cs="Arial" w:eastAsia="Arial" w:hAnsi="Arial"/>
          <w:sz w:val="18"/>
          <w:szCs w:val="18"/>
          <w:b w:val="1"/>
          <w:bCs w:val="1"/>
          <w:color w:val="auto"/>
        </w:rPr>
        <w:t>Be sure to take the admission ticket (the top portion of this page) with you to the meeting and leave</w:t>
      </w:r>
      <w:r>
        <w:rPr>
          <w:rFonts w:ascii="Arial" w:cs="Arial" w:eastAsia="Arial" w:hAnsi="Arial"/>
          <w:sz w:val="18"/>
          <w:szCs w:val="18"/>
          <w:color w:val="auto"/>
        </w:rPr>
        <w:t xml:space="preserve"> </w:t>
      </w:r>
      <w:r>
        <w:rPr>
          <w:rFonts w:ascii="Arial" w:cs="Arial" w:eastAsia="Arial" w:hAnsi="Arial"/>
          <w:sz w:val="18"/>
          <w:szCs w:val="18"/>
          <w:b w:val="1"/>
          <w:bCs w:val="1"/>
          <w:color w:val="auto"/>
        </w:rPr>
        <w:t>this parking pass on your dashboard.</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P112</w:t>
      </w:r>
    </w:p>
    <w:p>
      <w:pPr>
        <w:sectPr>
          <w:pgSz w:w="11900" w:h="16838" w:orient="portrait"/>
          <w:cols w:equalWidth="0" w:num="1">
            <w:col w:w="11420"/>
          </w:cols>
          <w:pgMar w:left="240" w:top="568" w:right="239" w:bottom="1440" w:gutter="0" w:footer="0" w:header="0"/>
        </w:sectPr>
      </w:pPr>
    </w:p>
    <w:bookmarkStart w:id="116" w:name="page117"/>
    <w:bookmarkEnd w:id="116"/>
    <w:p>
      <w:pPr>
        <w:ind w:left="440"/>
        <w:spacing w:after="0"/>
        <w:rPr>
          <w:sz w:val="20"/>
          <w:szCs w:val="20"/>
          <w:color w:val="auto"/>
        </w:rPr>
      </w:pPr>
      <w:r>
        <w:rPr>
          <w:rFonts w:ascii="Arial" w:cs="Arial" w:eastAsia="Arial" w:hAnsi="Arial"/>
          <w:sz w:val="18"/>
          <w:szCs w:val="18"/>
          <w:b w:val="1"/>
          <w:bCs w:val="1"/>
          <w:color w:val="auto"/>
        </w:rPr>
        <w:t>Take the top portion of this page with you to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7183120</wp:posOffset>
            </wp:positionH>
            <wp:positionV relativeFrom="paragraph">
              <wp:posOffset>3201670</wp:posOffset>
            </wp:positionV>
            <wp:extent cx="51435" cy="3943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43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560"/>
        <w:spacing w:after="0"/>
        <w:rPr>
          <w:sz w:val="20"/>
          <w:szCs w:val="20"/>
          <w:color w:val="auto"/>
        </w:rPr>
      </w:pPr>
      <w:r>
        <w:rPr>
          <w:rFonts w:ascii="Arial" w:cs="Arial" w:eastAsia="Arial" w:hAnsi="Arial"/>
          <w:sz w:val="14"/>
          <w:szCs w:val="14"/>
          <w:color w:val="auto"/>
        </w:rPr>
        <w:t>Detach here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43"/>
          <w:szCs w:val="43"/>
          <w:color w:val="C21128"/>
        </w:rPr>
        <w:t>Eli Lilly and Company</w:t>
      </w:r>
    </w:p>
    <w:p>
      <w:pPr>
        <w:spacing w:after="0" w:line="21" w:lineRule="exact"/>
        <w:rPr>
          <w:sz w:val="20"/>
          <w:szCs w:val="20"/>
          <w:color w:val="auto"/>
        </w:rPr>
      </w:pPr>
    </w:p>
    <w:p>
      <w:pPr>
        <w:spacing w:after="0"/>
        <w:rPr>
          <w:sz w:val="20"/>
          <w:szCs w:val="20"/>
          <w:color w:val="auto"/>
        </w:rPr>
      </w:pPr>
      <w:r>
        <w:rPr>
          <w:rFonts w:ascii="Arial" w:cs="Arial" w:eastAsia="Arial" w:hAnsi="Arial"/>
          <w:sz w:val="43"/>
          <w:szCs w:val="43"/>
          <w:color w:val="C21128"/>
        </w:rPr>
        <w:t>Annual Meeting of Shareholders</w:t>
      </w:r>
    </w:p>
    <w:p>
      <w:pPr>
        <w:spacing w:after="0" w:line="19" w:lineRule="exact"/>
        <w:rPr>
          <w:sz w:val="20"/>
          <w:szCs w:val="20"/>
          <w:color w:val="auto"/>
        </w:rPr>
      </w:pPr>
    </w:p>
    <w:p>
      <w:pPr>
        <w:spacing w:after="0"/>
        <w:rPr>
          <w:sz w:val="20"/>
          <w:szCs w:val="20"/>
          <w:color w:val="auto"/>
        </w:rPr>
      </w:pPr>
      <w:r>
        <w:rPr>
          <w:rFonts w:ascii="Arial" w:cs="Arial" w:eastAsia="Arial" w:hAnsi="Arial"/>
          <w:sz w:val="43"/>
          <w:szCs w:val="43"/>
          <w:color w:val="C21128"/>
        </w:rPr>
        <w:t>May 7,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448945</wp:posOffset>
            </wp:positionV>
            <wp:extent cx="5763260" cy="111506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763260" cy="1115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color w:val="auto"/>
        </w:rPr>
        <w:t>Please place this identifier on the dashboard of your car as you enter Lilly Corporate Center so it can be clearly seen by security and parking personnel.</w:t>
      </w:r>
    </w:p>
    <w:p>
      <w:pPr>
        <w:sectPr>
          <w:pgSz w:w="11900" w:h="16838" w:orient="portrait"/>
          <w:cols w:equalWidth="0" w:num="1">
            <w:col w:w="11420"/>
          </w:cols>
          <w:pgMar w:left="240" w:top="95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1000"/>
        <w:spacing w:after="0"/>
        <w:rPr>
          <w:sz w:val="20"/>
          <w:szCs w:val="20"/>
          <w:color w:val="auto"/>
        </w:rPr>
      </w:pPr>
      <w:r>
        <w:rPr>
          <w:rFonts w:ascii="Arial" w:cs="Arial" w:eastAsia="Arial" w:hAnsi="Arial"/>
          <w:sz w:val="17"/>
          <w:szCs w:val="17"/>
          <w:color w:val="auto"/>
        </w:rPr>
        <w:t>P113</w:t>
      </w:r>
    </w:p>
    <w:p>
      <w:pPr>
        <w:sectPr>
          <w:pgSz w:w="11900" w:h="16838" w:orient="portrait"/>
          <w:cols w:equalWidth="0" w:num="1">
            <w:col w:w="11420"/>
          </w:cols>
          <w:pgMar w:left="240" w:top="954" w:right="239" w:bottom="1440" w:gutter="0" w:footer="0" w:header="0"/>
          <w:type w:val="continuous"/>
        </w:sectPr>
      </w:pPr>
    </w:p>
    <w:bookmarkStart w:id="117" w:name="page118"/>
    <w:bookmarkEnd w:id="1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517525</wp:posOffset>
            </wp:positionV>
            <wp:extent cx="5866130" cy="75895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clrChange>
                        <a:clrFrom>
                          <a:srgbClr val="FFFFFF"/>
                        </a:clrFrom>
                        <a:clrTo>
                          <a:srgbClr val="FFFFFF">
                            <a:alpha val="0"/>
                          </a:srgbClr>
                        </a:clrTo>
                      </a:clrChange>
                      <a:extLst>
                        <a:ext uri="{28A0092B-C50C-407E-A947-70E740481C1C}"/>
                      </a:extLst>
                    </a:blip>
                    <a:srcRect/>
                    <a:stretch>
                      <a:fillRect/>
                    </a:stretch>
                  </pic:blipFill>
                  <pic:spPr bwMode="auto">
                    <a:xfrm>
                      <a:off x="0" y="0"/>
                      <a:ext cx="5866130" cy="7589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654685</wp:posOffset>
            </wp:positionV>
            <wp:extent cx="5866130" cy="75895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clrChange>
                        <a:clrFrom>
                          <a:srgbClr val="FFFFFF"/>
                        </a:clrFrom>
                        <a:clrTo>
                          <a:srgbClr val="FFFFFF">
                            <a:alpha val="0"/>
                          </a:srgbClr>
                        </a:clrTo>
                      </a:clrChange>
                      <a:extLst>
                        <a:ext uri="{28A0092B-C50C-407E-A947-70E740481C1C}"/>
                      </a:extLst>
                    </a:blip>
                    <a:srcRect/>
                    <a:stretch>
                      <a:fillRect/>
                    </a:stretch>
                  </pic:blipFill>
                  <pic:spPr bwMode="auto">
                    <a:xfrm>
                      <a:off x="0" y="0"/>
                      <a:ext cx="5866130" cy="7589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517525</wp:posOffset>
            </wp:positionV>
            <wp:extent cx="5866130" cy="75895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clrChange>
                        <a:clrFrom>
                          <a:srgbClr val="FFFFFF"/>
                        </a:clrFrom>
                        <a:clrTo>
                          <a:srgbClr val="FFFFFF">
                            <a:alpha val="0"/>
                          </a:srgbClr>
                        </a:clrTo>
                      </a:clrChange>
                      <a:extLst>
                        <a:ext uri="{28A0092B-C50C-407E-A947-70E740481C1C}"/>
                      </a:extLst>
                    </a:blip>
                    <a:srcRect/>
                    <a:stretch>
                      <a:fillRect/>
                    </a:stretch>
                  </pic:blipFill>
                  <pic:spPr bwMode="auto">
                    <a:xfrm>
                      <a:off x="0" y="0"/>
                      <a:ext cx="5866130" cy="7589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791845</wp:posOffset>
            </wp:positionV>
            <wp:extent cx="5866130" cy="75895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clrChange>
                        <a:clrFrom>
                          <a:srgbClr val="FFFFFF"/>
                        </a:clrFrom>
                        <a:clrTo>
                          <a:srgbClr val="FFFFFF">
                            <a:alpha val="0"/>
                          </a:srgbClr>
                        </a:clrTo>
                      </a:clrChange>
                      <a:extLst>
                        <a:ext uri="{28A0092B-C50C-407E-A947-70E740481C1C}"/>
                      </a:extLst>
                    </a:blip>
                    <a:srcRect/>
                    <a:stretch>
                      <a:fillRect/>
                    </a:stretch>
                  </pic:blipFill>
                  <pic:spPr bwMode="auto">
                    <a:xfrm>
                      <a:off x="0" y="0"/>
                      <a:ext cx="5866130" cy="758952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D9C564"/>
    <w:multiLevelType w:val="hybridMultilevel"/>
    <w:lvl w:ilvl="0">
      <w:lvlJc w:val="left"/>
      <w:lvlText w:val="o"/>
      <w:numFmt w:val="bullet"/>
      <w:start w:val="1"/>
    </w:lvl>
  </w:abstractNum>
  <w:abstractNum w:abstractNumId="1">
    <w:nsid w:val="613EFDC5"/>
    <w:multiLevelType w:val="hybridMultilevel"/>
    <w:lvl w:ilvl="0">
      <w:lvlJc w:val="left"/>
      <w:lvlText w:val="x"/>
      <w:numFmt w:val="bullet"/>
      <w:start w:val="1"/>
    </w:lvl>
  </w:abstractNum>
  <w:abstractNum w:abstractNumId="2">
    <w:nsid w:val="BF72B14"/>
    <w:multiLevelType w:val="hybridMultilevel"/>
    <w:lvl w:ilvl="0">
      <w:lvlJc w:val="left"/>
      <w:lvlText w:val="o"/>
      <w:numFmt w:val="bullet"/>
      <w:start w:val="1"/>
    </w:lvl>
  </w:abstractNum>
  <w:abstractNum w:abstractNumId="3">
    <w:nsid w:val="11447B73"/>
    <w:multiLevelType w:val="hybridMultilevel"/>
    <w:lvl w:ilvl="0">
      <w:lvlJc w:val="left"/>
      <w:lvlText w:val="o"/>
      <w:numFmt w:val="bullet"/>
      <w:start w:val="1"/>
    </w:lvl>
    <w:lvl w:ilvl="1">
      <w:lvlJc w:val="left"/>
      <w:lvlText w:val="(%2)"/>
      <w:numFmt w:val="decimal"/>
      <w:start w:val="1"/>
    </w:lvl>
  </w:abstractNum>
  <w:abstractNum w:abstractNumId="4">
    <w:nsid w:val="42963E5A"/>
    <w:multiLevelType w:val="hybridMultilevel"/>
    <w:lvl w:ilvl="0">
      <w:lvlJc w:val="left"/>
      <w:lvlText w:val="o"/>
      <w:numFmt w:val="bullet"/>
      <w:start w:val="1"/>
    </w:lvl>
    <w:lvl w:ilvl="1">
      <w:lvlJc w:val="left"/>
      <w:lvlText w:val="(%2)"/>
      <w:numFmt w:val="decimal"/>
      <w:start w:val="1"/>
    </w:lvl>
  </w:abstractNum>
  <w:abstractNum w:abstractNumId="5">
    <w:nsid w:val="A0382C5"/>
    <w:multiLevelType w:val="hybridMultilevel"/>
    <w:lvl w:ilvl="0">
      <w:lvlJc w:val="left"/>
      <w:lvlText w:val="●"/>
      <w:numFmt w:val="bullet"/>
      <w:start w:val="1"/>
    </w:lvl>
  </w:abstractNum>
  <w:abstractNum w:abstractNumId="6">
    <w:nsid w:val="8F2B15E"/>
    <w:multiLevelType w:val="hybridMultilevel"/>
    <w:lvl w:ilvl="0">
      <w:lvlJc w:val="left"/>
      <w:lvlText w:val="●"/>
      <w:numFmt w:val="bullet"/>
      <w:start w:val="1"/>
    </w:lvl>
  </w:abstractNum>
  <w:abstractNum w:abstractNumId="7">
    <w:nsid w:val="1A32234B"/>
    <w:multiLevelType w:val="hybridMultilevel"/>
    <w:lvl w:ilvl="0">
      <w:lvlJc w:val="left"/>
      <w:lvlText w:val="●"/>
      <w:numFmt w:val="bullet"/>
      <w:start w:val="1"/>
    </w:lvl>
  </w:abstractNum>
  <w:abstractNum w:abstractNumId="8">
    <w:nsid w:val="3B0FD379"/>
    <w:multiLevelType w:val="hybridMultilevel"/>
    <w:lvl w:ilvl="0">
      <w:lvlJc w:val="left"/>
      <w:lvlText w:val="•"/>
      <w:numFmt w:val="bullet"/>
      <w:start w:val="1"/>
    </w:lvl>
  </w:abstractNum>
  <w:abstractNum w:abstractNumId="9">
    <w:nsid w:val="68EB2F63"/>
    <w:multiLevelType w:val="hybridMultilevel"/>
    <w:lvl w:ilvl="0">
      <w:lvlJc w:val="left"/>
      <w:lvlText w:val="•"/>
      <w:numFmt w:val="bullet"/>
      <w:start w:val="1"/>
    </w:lvl>
  </w:abstractNum>
  <w:abstractNum w:abstractNumId="10">
    <w:nsid w:val="4962813B"/>
    <w:multiLevelType w:val="hybridMultilevel"/>
    <w:lvl w:ilvl="0">
      <w:lvlJc w:val="left"/>
      <w:lvlText w:val="ü"/>
      <w:numFmt w:val="bullet"/>
      <w:start w:val="1"/>
    </w:lvl>
  </w:abstractNum>
  <w:abstractNum w:abstractNumId="11">
    <w:nsid w:val="60B6DF70"/>
    <w:multiLevelType w:val="hybridMultilevel"/>
    <w:lvl w:ilvl="0">
      <w:lvlJc w:val="left"/>
      <w:lvlText w:val="ü"/>
      <w:numFmt w:val="bullet"/>
      <w:start w:val="1"/>
    </w:lvl>
  </w:abstractNum>
  <w:abstractNum w:abstractNumId="12">
    <w:nsid w:val="6A5EE64"/>
    <w:multiLevelType w:val="hybridMultilevel"/>
    <w:lvl w:ilvl="0">
      <w:lvlJc w:val="left"/>
      <w:lvlText w:val="ü"/>
      <w:numFmt w:val="bullet"/>
      <w:start w:val="1"/>
    </w:lvl>
  </w:abstractNum>
  <w:abstractNum w:abstractNumId="13">
    <w:nsid w:val="14330624"/>
    <w:multiLevelType w:val="hybridMultilevel"/>
    <w:lvl w:ilvl="0">
      <w:lvlJc w:val="left"/>
      <w:lvlText w:val="ü"/>
      <w:numFmt w:val="bullet"/>
      <w:start w:val="1"/>
    </w:lvl>
  </w:abstractNum>
  <w:abstractNum w:abstractNumId="14">
    <w:nsid w:val="7FFFCA11"/>
    <w:multiLevelType w:val="hybridMultilevel"/>
    <w:lvl w:ilvl="0">
      <w:lvlJc w:val="left"/>
      <w:lvlText w:val="ü"/>
      <w:numFmt w:val="bullet"/>
      <w:start w:val="1"/>
    </w:lvl>
  </w:abstractNum>
  <w:abstractNum w:abstractNumId="15">
    <w:nsid w:val="1A27709E"/>
    <w:multiLevelType w:val="hybridMultilevel"/>
    <w:lvl w:ilvl="0">
      <w:lvlJc w:val="left"/>
      <w:lvlText w:val="8"/>
      <w:numFmt w:val="bullet"/>
      <w:start w:val="1"/>
    </w:lvl>
  </w:abstractNum>
  <w:abstractNum w:abstractNumId="16">
    <w:nsid w:val="71EA1109"/>
    <w:multiLevelType w:val="hybridMultilevel"/>
    <w:lvl w:ilvl="0">
      <w:lvlJc w:val="left"/>
      <w:lvlText w:val=")"/>
      <w:numFmt w:val="bullet"/>
      <w:start w:val="1"/>
    </w:lvl>
  </w:abstractNum>
  <w:abstractNum w:abstractNumId="17">
    <w:nsid w:val="100F59DC"/>
    <w:multiLevelType w:val="hybridMultilevel"/>
    <w:lvl w:ilvl="0">
      <w:lvlJc w:val="left"/>
      <w:lvlText w:val="*"/>
      <w:numFmt w:val="bullet"/>
      <w:start w:val="1"/>
    </w:lvl>
  </w:abstractNum>
  <w:abstractNum w:abstractNumId="18">
    <w:nsid w:val="7FB7E0AA"/>
    <w:multiLevelType w:val="hybridMultilevel"/>
    <w:lvl w:ilvl="0">
      <w:lvlJc w:val="left"/>
      <w:lvlText w:val="•"/>
      <w:numFmt w:val="bullet"/>
      <w:start w:val="1"/>
    </w:lvl>
  </w:abstractNum>
  <w:abstractNum w:abstractNumId="19">
    <w:nsid w:val="6EB5BD4"/>
    <w:multiLevelType w:val="hybridMultilevel"/>
    <w:lvl w:ilvl="0">
      <w:lvlJc w:val="left"/>
      <w:lvlText w:val="•"/>
      <w:numFmt w:val="bullet"/>
      <w:start w:val="1"/>
    </w:lvl>
  </w:abstractNum>
  <w:abstractNum w:abstractNumId="20">
    <w:nsid w:val="6F6DD9AC"/>
    <w:multiLevelType w:val="hybridMultilevel"/>
    <w:lvl w:ilvl="0">
      <w:lvlJc w:val="left"/>
      <w:lvlText w:val="•"/>
      <w:numFmt w:val="bullet"/>
      <w:start w:val="1"/>
    </w:lvl>
  </w:abstractNum>
  <w:abstractNum w:abstractNumId="21">
    <w:nsid w:val="94211F2"/>
    <w:multiLevelType w:val="hybridMultilevel"/>
    <w:lvl w:ilvl="0">
      <w:lvlJc w:val="left"/>
      <w:lvlText w:val="•"/>
      <w:numFmt w:val="bullet"/>
      <w:start w:val="1"/>
    </w:lvl>
    <w:lvl w:ilvl="1">
      <w:lvlJc w:val="left"/>
      <w:lvlText w:val="•"/>
      <w:numFmt w:val="bullet"/>
      <w:start w:val="1"/>
    </w:lvl>
  </w:abstractNum>
  <w:abstractNum w:abstractNumId="22">
    <w:nsid w:val="885E1B"/>
    <w:multiLevelType w:val="hybridMultilevel"/>
    <w:lvl w:ilvl="0">
      <w:lvlJc w:val="left"/>
      <w:lvlText w:val="•"/>
      <w:numFmt w:val="bullet"/>
      <w:start w:val="1"/>
    </w:lvl>
  </w:abstractNum>
  <w:abstractNum w:abstractNumId="23">
    <w:nsid w:val="76272110"/>
    <w:multiLevelType w:val="hybridMultilevel"/>
    <w:lvl w:ilvl="0">
      <w:lvlJc w:val="left"/>
      <w:lvlText w:val="•"/>
      <w:numFmt w:val="bullet"/>
      <w:start w:val="1"/>
    </w:lvl>
  </w:abstractNum>
  <w:abstractNum w:abstractNumId="24">
    <w:nsid w:val="4C04A8AF"/>
    <w:multiLevelType w:val="hybridMultilevel"/>
    <w:lvl w:ilvl="0">
      <w:lvlJc w:val="left"/>
      <w:lvlText w:val="•"/>
      <w:numFmt w:val="bullet"/>
      <w:start w:val="1"/>
    </w:lvl>
  </w:abstractNum>
  <w:abstractNum w:abstractNumId="25">
    <w:nsid w:val="1716703B"/>
    <w:multiLevelType w:val="hybridMultilevel"/>
    <w:lvl w:ilvl="0">
      <w:lvlJc w:val="left"/>
      <w:lvlText w:val="•"/>
      <w:numFmt w:val="bullet"/>
      <w:start w:val="1"/>
    </w:lvl>
  </w:abstractNum>
  <w:abstractNum w:abstractNumId="26">
    <w:nsid w:val="14E17E33"/>
    <w:multiLevelType w:val="hybridMultilevel"/>
    <w:lvl w:ilvl="0">
      <w:lvlJc w:val="left"/>
      <w:lvlText w:val="•"/>
      <w:numFmt w:val="bullet"/>
      <w:start w:val="1"/>
    </w:lvl>
  </w:abstractNum>
  <w:abstractNum w:abstractNumId="27">
    <w:nsid w:val="3222E7CD"/>
    <w:multiLevelType w:val="hybridMultilevel"/>
    <w:lvl w:ilvl="0">
      <w:lvlJc w:val="left"/>
      <w:lvlText w:val="•"/>
      <w:numFmt w:val="bullet"/>
      <w:start w:val="1"/>
    </w:lvl>
  </w:abstractNum>
  <w:abstractNum w:abstractNumId="28">
    <w:nsid w:val="74DE0EE3"/>
    <w:multiLevelType w:val="hybridMultilevel"/>
    <w:lvl w:ilvl="0">
      <w:lvlJc w:val="left"/>
      <w:lvlText w:val="•"/>
      <w:numFmt w:val="bullet"/>
      <w:start w:val="1"/>
    </w:lvl>
  </w:abstractNum>
  <w:abstractNum w:abstractNumId="29">
    <w:nsid w:val="68EBC550"/>
    <w:multiLevelType w:val="hybridMultilevel"/>
    <w:lvl w:ilvl="0">
      <w:lvlJc w:val="left"/>
      <w:lvlText w:val="•"/>
      <w:numFmt w:val="bullet"/>
      <w:start w:val="1"/>
    </w:lvl>
  </w:abstractNum>
  <w:abstractNum w:abstractNumId="30">
    <w:nsid w:val="2DF6D648"/>
    <w:multiLevelType w:val="hybridMultilevel"/>
    <w:lvl w:ilvl="0">
      <w:lvlJc w:val="left"/>
      <w:lvlText w:val="•"/>
      <w:numFmt w:val="bullet"/>
      <w:start w:val="1"/>
    </w:lvl>
  </w:abstractNum>
  <w:abstractNum w:abstractNumId="31">
    <w:nsid w:val="46B7D447"/>
    <w:multiLevelType w:val="hybridMultilevel"/>
    <w:lvl w:ilvl="0">
      <w:lvlJc w:val="left"/>
      <w:lvlText w:val="1"/>
      <w:numFmt w:val="bullet"/>
      <w:start w:val="1"/>
    </w:lvl>
  </w:abstractNum>
  <w:abstractNum w:abstractNumId="32">
    <w:nsid w:val="4A2AC315"/>
    <w:multiLevelType w:val="hybridMultilevel"/>
    <w:lvl w:ilvl="0">
      <w:lvlJc w:val="left"/>
      <w:lvlText w:val="2"/>
      <w:numFmt w:val="bullet"/>
      <w:start w:val="1"/>
    </w:lvl>
  </w:abstractNum>
  <w:abstractNum w:abstractNumId="33">
    <w:nsid w:val="39EE015C"/>
    <w:multiLevelType w:val="hybridMultilevel"/>
    <w:lvl w:ilvl="0">
      <w:lvlJc w:val="left"/>
      <w:lvlText w:val="3"/>
      <w:numFmt w:val="bullet"/>
      <w:start w:val="1"/>
    </w:lvl>
  </w:abstractNum>
  <w:abstractNum w:abstractNumId="34">
    <w:nsid w:val="57FC4FBB"/>
    <w:multiLevelType w:val="hybridMultilevel"/>
    <w:lvl w:ilvl="0">
      <w:lvlJc w:val="left"/>
      <w:lvlText w:val="•"/>
      <w:numFmt w:val="bullet"/>
      <w:start w:val="1"/>
    </w:lvl>
  </w:abstractNum>
  <w:abstractNum w:abstractNumId="35">
    <w:nsid w:val="CC1016F"/>
    <w:multiLevelType w:val="hybridMultilevel"/>
    <w:lvl w:ilvl="0">
      <w:lvlJc w:val="left"/>
      <w:lvlText w:val="•"/>
      <w:numFmt w:val="bullet"/>
      <w:start w:val="1"/>
    </w:lvl>
  </w:abstractNum>
  <w:abstractNum w:abstractNumId="36">
    <w:nsid w:val="43F18422"/>
    <w:multiLevelType w:val="hybridMultilevel"/>
    <w:lvl w:ilvl="0">
      <w:lvlJc w:val="left"/>
      <w:lvlText w:val="•"/>
      <w:numFmt w:val="bullet"/>
      <w:start w:val="1"/>
    </w:lvl>
  </w:abstractNum>
  <w:abstractNum w:abstractNumId="37">
    <w:nsid w:val="60EF0119"/>
    <w:multiLevelType w:val="hybridMultilevel"/>
    <w:lvl w:ilvl="0">
      <w:lvlJc w:val="left"/>
      <w:lvlText w:val="•"/>
      <w:numFmt w:val="bullet"/>
      <w:start w:val="1"/>
    </w:lvl>
  </w:abstractNum>
  <w:abstractNum w:abstractNumId="38">
    <w:nsid w:val="26F324BA"/>
    <w:multiLevelType w:val="hybridMultilevel"/>
    <w:lvl w:ilvl="0">
      <w:lvlJc w:val="left"/>
      <w:lvlText w:val="•"/>
      <w:numFmt w:val="bullet"/>
      <w:start w:val="1"/>
    </w:lvl>
  </w:abstractNum>
  <w:abstractNum w:abstractNumId="39">
    <w:nsid w:val="7F01579B"/>
    <w:multiLevelType w:val="hybridMultilevel"/>
    <w:lvl w:ilvl="0">
      <w:lvlJc w:val="left"/>
      <w:lvlText w:val="•"/>
      <w:numFmt w:val="bullet"/>
      <w:start w:val="1"/>
    </w:lvl>
  </w:abstractNum>
  <w:abstractNum w:abstractNumId="40">
    <w:nsid w:val="49DA307D"/>
    <w:multiLevelType w:val="hybridMultilevel"/>
    <w:lvl w:ilvl="0">
      <w:lvlJc w:val="left"/>
      <w:lvlText w:val="•"/>
      <w:numFmt w:val="bullet"/>
      <w:start w:val="1"/>
    </w:lvl>
  </w:abstractNum>
  <w:abstractNum w:abstractNumId="41">
    <w:nsid w:val="7055A5F5"/>
    <w:multiLevelType w:val="hybridMultilevel"/>
    <w:lvl w:ilvl="0">
      <w:lvlJc w:val="left"/>
      <w:lvlText w:val="•"/>
      <w:numFmt w:val="bullet"/>
      <w:start w:val="1"/>
    </w:lvl>
  </w:abstractNum>
  <w:abstractNum w:abstractNumId="42">
    <w:nsid w:val="5FB8370B"/>
    <w:multiLevelType w:val="hybridMultilevel"/>
    <w:lvl w:ilvl="0">
      <w:lvlJc w:val="left"/>
      <w:lvlText w:val="•"/>
      <w:numFmt w:val="bullet"/>
      <w:start w:val="1"/>
    </w:lvl>
  </w:abstractNum>
  <w:abstractNum w:abstractNumId="43">
    <w:nsid w:val="50801EE1"/>
    <w:multiLevelType w:val="hybridMultilevel"/>
    <w:lvl w:ilvl="0">
      <w:lvlJc w:val="left"/>
      <w:lvlText w:val="•"/>
      <w:numFmt w:val="bullet"/>
      <w:start w:val="1"/>
    </w:lvl>
  </w:abstractNum>
  <w:abstractNum w:abstractNumId="44">
    <w:nsid w:val="488AC1A"/>
    <w:multiLevelType w:val="hybridMultilevel"/>
    <w:lvl w:ilvl="0">
      <w:lvlJc w:val="left"/>
      <w:lvlText w:val="•"/>
      <w:numFmt w:val="bullet"/>
      <w:start w:val="1"/>
    </w:lvl>
    <w:lvl w:ilvl="1">
      <w:lvlJc w:val="left"/>
      <w:lvlText w:val="◦"/>
      <w:numFmt w:val="bullet"/>
      <w:start w:val="1"/>
    </w:lvl>
  </w:abstractNum>
  <w:abstractNum w:abstractNumId="45">
    <w:nsid w:val="5FB8011C"/>
    <w:multiLevelType w:val="hybridMultilevel"/>
    <w:lvl w:ilvl="0">
      <w:lvlJc w:val="left"/>
      <w:lvlText w:val="•"/>
      <w:numFmt w:val="bullet"/>
      <w:start w:val="1"/>
    </w:lvl>
  </w:abstractNum>
  <w:abstractNum w:abstractNumId="46">
    <w:nsid w:val="6AA78F7F"/>
    <w:multiLevelType w:val="hybridMultilevel"/>
    <w:lvl w:ilvl="0">
      <w:lvlJc w:val="left"/>
      <w:lvlText w:val="•"/>
      <w:numFmt w:val="bullet"/>
      <w:start w:val="1"/>
    </w:lvl>
  </w:abstractNum>
  <w:abstractNum w:abstractNumId="47">
    <w:nsid w:val="7672BD23"/>
    <w:multiLevelType w:val="hybridMultilevel"/>
    <w:lvl w:ilvl="0">
      <w:lvlJc w:val="left"/>
      <w:lvlText w:val="•"/>
      <w:numFmt w:val="bullet"/>
      <w:start w:val="1"/>
    </w:lvl>
  </w:abstractNum>
  <w:abstractNum w:abstractNumId="48">
    <w:nsid w:val="6FC75AF8"/>
    <w:multiLevelType w:val="hybridMultilevel"/>
    <w:lvl w:ilvl="0">
      <w:lvlJc w:val="left"/>
      <w:lvlText w:val="•"/>
      <w:numFmt w:val="bullet"/>
      <w:start w:val="1"/>
    </w:lvl>
  </w:abstractNum>
  <w:abstractNum w:abstractNumId="49">
    <w:nsid w:val="6A5F7029"/>
    <w:multiLevelType w:val="hybridMultilevel"/>
    <w:lvl w:ilvl="0">
      <w:lvlJc w:val="left"/>
      <w:lvlText w:val="•"/>
      <w:numFmt w:val="bullet"/>
      <w:start w:val="1"/>
    </w:lvl>
  </w:abstractNum>
  <w:abstractNum w:abstractNumId="50">
    <w:nsid w:val="7D5E18F8"/>
    <w:multiLevelType w:val="hybridMultilevel"/>
    <w:lvl w:ilvl="0">
      <w:lvlJc w:val="left"/>
      <w:lvlText w:val="1"/>
      <w:numFmt w:val="bullet"/>
      <w:start w:val="1"/>
    </w:lvl>
  </w:abstractNum>
  <w:abstractNum w:abstractNumId="51">
    <w:nsid w:val="5F3534A4"/>
    <w:multiLevelType w:val="hybridMultilevel"/>
    <w:lvl w:ilvl="0">
      <w:lvlJc w:val="left"/>
      <w:lvlText w:val="2"/>
      <w:numFmt w:val="bullet"/>
      <w:start w:val="1"/>
    </w:lvl>
  </w:abstractNum>
  <w:abstractNum w:abstractNumId="52">
    <w:nsid w:val="73A1821B"/>
    <w:multiLevelType w:val="hybridMultilevel"/>
    <w:lvl w:ilvl="0">
      <w:lvlJc w:val="left"/>
      <w:lvlText w:val="3"/>
      <w:numFmt w:val="bullet"/>
      <w:start w:val="1"/>
    </w:lvl>
  </w:abstractNum>
  <w:abstractNum w:abstractNumId="53">
    <w:nsid w:val="7DE67713"/>
    <w:multiLevelType w:val="hybridMultilevel"/>
    <w:lvl w:ilvl="0">
      <w:lvlJc w:val="left"/>
      <w:lvlText w:val="4"/>
      <w:numFmt w:val="bullet"/>
      <w:start w:val="1"/>
    </w:lvl>
  </w:abstractNum>
  <w:abstractNum w:abstractNumId="54">
    <w:nsid w:val="555C55B5"/>
    <w:multiLevelType w:val="hybridMultilevel"/>
    <w:lvl w:ilvl="0">
      <w:lvlJc w:val="left"/>
      <w:lvlText w:val="5"/>
      <w:numFmt w:val="bullet"/>
      <w:start w:val="1"/>
    </w:lvl>
  </w:abstractNum>
  <w:abstractNum w:abstractNumId="55">
    <w:nsid w:val="3FA62ACA"/>
    <w:multiLevelType w:val="hybridMultilevel"/>
    <w:lvl w:ilvl="0">
      <w:lvlJc w:val="left"/>
      <w:lvlText w:val="•"/>
      <w:numFmt w:val="bullet"/>
      <w:start w:val="1"/>
    </w:lvl>
  </w:abstractNum>
  <w:abstractNum w:abstractNumId="56">
    <w:nsid w:val="14FCE74E"/>
    <w:multiLevelType w:val="hybridMultilevel"/>
    <w:lvl w:ilvl="0">
      <w:lvlJc w:val="left"/>
      <w:lvlText w:val="•"/>
      <w:numFmt w:val="bullet"/>
      <w:start w:val="1"/>
    </w:lvl>
    <w:lvl w:ilvl="1">
      <w:lvlJc w:val="left"/>
      <w:lvlText w:val="•"/>
      <w:numFmt w:val="bullet"/>
      <w:start w:val="1"/>
    </w:lvl>
  </w:abstractNum>
  <w:abstractNum w:abstractNumId="57">
    <w:nsid w:val="6A3DD3E8"/>
    <w:multiLevelType w:val="hybridMultilevel"/>
    <w:lvl w:ilvl="0">
      <w:lvlJc w:val="left"/>
      <w:lvlText w:val="•"/>
      <w:numFmt w:val="bullet"/>
      <w:start w:val="1"/>
    </w:lvl>
    <w:lvl w:ilvl="1">
      <w:lvlJc w:val="left"/>
      <w:lvlText w:val="◦"/>
      <w:numFmt w:val="bullet"/>
      <w:start w:val="1"/>
    </w:lvl>
  </w:abstractNum>
  <w:abstractNum w:abstractNumId="58">
    <w:nsid w:val="71C91298"/>
    <w:multiLevelType w:val="hybridMultilevel"/>
    <w:lvl w:ilvl="0">
      <w:lvlJc w:val="left"/>
      <w:lvlText w:val="•"/>
      <w:numFmt w:val="bullet"/>
      <w:start w:val="1"/>
    </w:lvl>
  </w:abstractNum>
  <w:abstractNum w:abstractNumId="59">
    <w:nsid w:val="9DAF632"/>
    <w:multiLevelType w:val="hybridMultilevel"/>
    <w:lvl w:ilvl="0">
      <w:lvlJc w:val="left"/>
      <w:lvlText w:val="Ÿ"/>
      <w:numFmt w:val="bullet"/>
      <w:start w:val="1"/>
    </w:lvl>
  </w:abstractNum>
  <w:abstractNum w:abstractNumId="60">
    <w:nsid w:val="53299938"/>
    <w:multiLevelType w:val="hybridMultilevel"/>
    <w:lvl w:ilvl="0">
      <w:lvlJc w:val="left"/>
      <w:lvlText w:val="•"/>
      <w:numFmt w:val="bullet"/>
      <w:start w:val="1"/>
    </w:lvl>
  </w:abstractNum>
  <w:abstractNum w:abstractNumId="61">
    <w:nsid w:val="1FBFE8E0"/>
    <w:multiLevelType w:val="hybridMultilevel"/>
    <w:lvl w:ilvl="0">
      <w:lvlJc w:val="left"/>
      <w:lvlText w:val="•"/>
      <w:numFmt w:val="bullet"/>
      <w:start w:val="1"/>
    </w:lvl>
    <w:lvl w:ilvl="1">
      <w:lvlJc w:val="left"/>
      <w:lvlText w:val="•"/>
      <w:numFmt w:val="bullet"/>
      <w:start w:val="1"/>
    </w:lvl>
  </w:abstractNum>
  <w:abstractNum w:abstractNumId="62">
    <w:nsid w:val="5092CA79"/>
    <w:multiLevelType w:val="hybridMultilevel"/>
    <w:lvl w:ilvl="0">
      <w:lvlJc w:val="left"/>
      <w:lvlText w:val="1"/>
      <w:numFmt w:val="bullet"/>
      <w:start w:val="1"/>
    </w:lvl>
  </w:abstractNum>
  <w:abstractNum w:abstractNumId="63">
    <w:nsid w:val="1D545C4D"/>
    <w:multiLevelType w:val="hybridMultilevel"/>
    <w:lvl w:ilvl="0">
      <w:lvlJc w:val="left"/>
      <w:lvlText w:val="2"/>
      <w:numFmt w:val="bullet"/>
      <w:start w:val="1"/>
    </w:lvl>
  </w:abstractNum>
  <w:abstractNum w:abstractNumId="64">
    <w:nsid w:val="59ADEA3D"/>
    <w:multiLevelType w:val="hybridMultilevel"/>
    <w:lvl w:ilvl="0">
      <w:lvlJc w:val="left"/>
      <w:lvlText w:val="3"/>
      <w:numFmt w:val="bullet"/>
      <w:start w:val="1"/>
    </w:lvl>
  </w:abstractNum>
  <w:abstractNum w:abstractNumId="65">
    <w:nsid w:val="288F1A34"/>
    <w:multiLevelType w:val="hybridMultilevel"/>
    <w:lvl w:ilvl="0">
      <w:lvlJc w:val="left"/>
      <w:lvlText w:val="4"/>
      <w:numFmt w:val="bullet"/>
      <w:start w:val="1"/>
    </w:lvl>
  </w:abstractNum>
  <w:abstractNum w:abstractNumId="66">
    <w:nsid w:val="2A155DBC"/>
    <w:multiLevelType w:val="hybridMultilevel"/>
    <w:lvl w:ilvl="0">
      <w:lvlJc w:val="left"/>
      <w:lvlText w:val="5"/>
      <w:numFmt w:val="bullet"/>
      <w:start w:val="1"/>
    </w:lvl>
  </w:abstractNum>
  <w:abstractNum w:abstractNumId="67">
    <w:nsid w:val="1D9F6E5F"/>
    <w:multiLevelType w:val="hybridMultilevel"/>
    <w:lvl w:ilvl="0">
      <w:lvlJc w:val="left"/>
      <w:lvlText w:val="1"/>
      <w:numFmt w:val="bullet"/>
      <w:start w:val="1"/>
    </w:lvl>
  </w:abstractNum>
  <w:abstractNum w:abstractNumId="68">
    <w:nsid w:val="97E1B4E"/>
    <w:multiLevelType w:val="hybridMultilevel"/>
    <w:lvl w:ilvl="0">
      <w:lvlJc w:val="left"/>
      <w:lvlText w:val="2"/>
      <w:numFmt w:val="bullet"/>
      <w:start w:val="1"/>
    </w:lvl>
  </w:abstractNum>
  <w:abstractNum w:abstractNumId="69">
    <w:nsid w:val="51088277"/>
    <w:multiLevelType w:val="hybridMultilevel"/>
    <w:lvl w:ilvl="0">
      <w:lvlJc w:val="left"/>
      <w:lvlText w:val="3"/>
      <w:numFmt w:val="bullet"/>
      <w:start w:val="1"/>
    </w:lvl>
  </w:abstractNum>
  <w:abstractNum w:abstractNumId="70">
    <w:nsid w:val="1CA0C5FA"/>
    <w:multiLevelType w:val="hybridMultilevel"/>
    <w:lvl w:ilvl="0">
      <w:lvlJc w:val="left"/>
      <w:lvlText w:val="4"/>
      <w:numFmt w:val="bullet"/>
      <w:start w:val="1"/>
    </w:lvl>
  </w:abstractNum>
  <w:abstractNum w:abstractNumId="71">
    <w:nsid w:val="53584BCB"/>
    <w:multiLevelType w:val="hybridMultilevel"/>
    <w:lvl w:ilvl="0">
      <w:lvlJc w:val="left"/>
      <w:lvlText w:val="5"/>
      <w:numFmt w:val="bullet"/>
      <w:start w:val="1"/>
    </w:lvl>
  </w:abstractNum>
  <w:abstractNum w:abstractNumId="72">
    <w:nsid w:val="415E286C"/>
    <w:multiLevelType w:val="hybridMultilevel"/>
    <w:lvl w:ilvl="0">
      <w:lvlJc w:val="left"/>
      <w:lvlText w:val="1"/>
      <w:numFmt w:val="bullet"/>
      <w:start w:val="1"/>
    </w:lvl>
  </w:abstractNum>
  <w:abstractNum w:abstractNumId="73">
    <w:nsid w:val="7C58FD05"/>
    <w:multiLevelType w:val="hybridMultilevel"/>
    <w:lvl w:ilvl="0">
      <w:lvlJc w:val="left"/>
      <w:lvlText w:val="2"/>
      <w:numFmt w:val="bullet"/>
      <w:start w:val="1"/>
    </w:lvl>
  </w:abstractNum>
  <w:abstractNum w:abstractNumId="74">
    <w:nsid w:val="23D86AAC"/>
    <w:multiLevelType w:val="hybridMultilevel"/>
    <w:lvl w:ilvl="0">
      <w:lvlJc w:val="left"/>
      <w:lvlText w:val="3"/>
      <w:numFmt w:val="bullet"/>
      <w:start w:val="1"/>
    </w:lvl>
  </w:abstractNum>
  <w:abstractNum w:abstractNumId="75">
    <w:nsid w:val="45E6D486"/>
    <w:multiLevelType w:val="hybridMultilevel"/>
    <w:lvl w:ilvl="0">
      <w:lvlJc w:val="left"/>
      <w:lvlText w:val="4"/>
      <w:numFmt w:val="bullet"/>
      <w:start w:val="1"/>
    </w:lvl>
  </w:abstractNum>
  <w:abstractNum w:abstractNumId="76">
    <w:nsid w:val="5C10FE21"/>
    <w:multiLevelType w:val="hybridMultilevel"/>
    <w:lvl w:ilvl="0">
      <w:lvlJc w:val="left"/>
      <w:lvlText w:val="5"/>
      <w:numFmt w:val="bullet"/>
      <w:start w:val="1"/>
    </w:lvl>
  </w:abstractNum>
  <w:abstractNum w:abstractNumId="77">
    <w:nsid w:val="E7FFA2B"/>
    <w:multiLevelType w:val="hybridMultilevel"/>
    <w:lvl w:ilvl="0">
      <w:lvlJc w:val="left"/>
      <w:lvlText w:val="6"/>
      <w:numFmt w:val="bullet"/>
      <w:start w:val="1"/>
    </w:lvl>
  </w:abstractNum>
  <w:abstractNum w:abstractNumId="78">
    <w:nsid w:val="3C5991AA"/>
    <w:multiLevelType w:val="hybridMultilevel"/>
    <w:lvl w:ilvl="0">
      <w:lvlJc w:val="left"/>
      <w:lvlText w:val="7"/>
      <w:numFmt w:val="bullet"/>
      <w:start w:val="1"/>
    </w:lvl>
  </w:abstractNum>
  <w:abstractNum w:abstractNumId="79">
    <w:nsid w:val="4BD8591A"/>
    <w:multiLevelType w:val="hybridMultilevel"/>
    <w:lvl w:ilvl="0">
      <w:lvlJc w:val="left"/>
      <w:lvlText w:val="8"/>
      <w:numFmt w:val="bullet"/>
      <w:start w:val="1"/>
    </w:lvl>
  </w:abstractNum>
  <w:abstractNum w:abstractNumId="80">
    <w:nsid w:val="78DF6A55"/>
    <w:multiLevelType w:val="hybridMultilevel"/>
    <w:lvl w:ilvl="0">
      <w:lvlJc w:val="left"/>
      <w:lvlText w:val="1"/>
      <w:numFmt w:val="bullet"/>
      <w:start w:val="1"/>
    </w:lvl>
  </w:abstractNum>
  <w:abstractNum w:abstractNumId="81">
    <w:nsid w:val="39B7AAA2"/>
    <w:multiLevelType w:val="hybridMultilevel"/>
    <w:lvl w:ilvl="0">
      <w:lvlJc w:val="left"/>
      <w:lvlText w:val="2"/>
      <w:numFmt w:val="bullet"/>
      <w:start w:val="1"/>
    </w:lvl>
  </w:abstractNum>
  <w:abstractNum w:abstractNumId="82">
    <w:nsid w:val="2B0D8DBE"/>
    <w:multiLevelType w:val="hybridMultilevel"/>
    <w:lvl w:ilvl="0">
      <w:lvlJc w:val="left"/>
      <w:lvlText w:val="3"/>
      <w:numFmt w:val="bullet"/>
      <w:start w:val="1"/>
    </w:lvl>
  </w:abstractNum>
  <w:abstractNum w:abstractNumId="83">
    <w:nsid w:val="6C80EC70"/>
    <w:multiLevelType w:val="hybridMultilevel"/>
    <w:lvl w:ilvl="0">
      <w:lvlJc w:val="left"/>
      <w:lvlText w:val="4"/>
      <w:numFmt w:val="bullet"/>
      <w:start w:val="1"/>
    </w:lvl>
  </w:abstractNum>
  <w:abstractNum w:abstractNumId="84">
    <w:nsid w:val="379E21B5"/>
    <w:multiLevelType w:val="hybridMultilevel"/>
    <w:lvl w:ilvl="0">
      <w:lvlJc w:val="left"/>
      <w:lvlText w:val="5"/>
      <w:numFmt w:val="bullet"/>
      <w:start w:val="1"/>
    </w:lvl>
  </w:abstractNum>
  <w:abstractNum w:abstractNumId="85">
    <w:nsid w:val="69E373"/>
    <w:multiLevelType w:val="hybridMultilevel"/>
    <w:lvl w:ilvl="0">
      <w:lvlJc w:val="left"/>
      <w:lvlText w:val="•"/>
      <w:numFmt w:val="bullet"/>
      <w:start w:val="1"/>
    </w:lvl>
  </w:abstractNum>
  <w:abstractNum w:abstractNumId="86">
    <w:nsid w:val="2C27173B"/>
    <w:multiLevelType w:val="hybridMultilevel"/>
    <w:lvl w:ilvl="0">
      <w:lvlJc w:val="left"/>
      <w:lvlText w:val="1"/>
      <w:numFmt w:val="bullet"/>
      <w:start w:val="1"/>
    </w:lvl>
  </w:abstractNum>
  <w:abstractNum w:abstractNumId="87">
    <w:nsid w:val="4C9B0904"/>
    <w:multiLevelType w:val="hybridMultilevel"/>
    <w:lvl w:ilvl="0">
      <w:lvlJc w:val="left"/>
      <w:lvlText w:val="2"/>
      <w:numFmt w:val="bullet"/>
      <w:start w:val="1"/>
    </w:lvl>
  </w:abstractNum>
  <w:abstractNum w:abstractNumId="88">
    <w:nsid w:val="6AA7B75C"/>
    <w:multiLevelType w:val="hybridMultilevel"/>
    <w:lvl w:ilvl="0">
      <w:lvlJc w:val="left"/>
      <w:lvlText w:val="•"/>
      <w:numFmt w:val="bullet"/>
      <w:start w:val="1"/>
    </w:lvl>
  </w:abstractNum>
  <w:abstractNum w:abstractNumId="89">
    <w:nsid w:val="1DF029D3"/>
    <w:multiLevelType w:val="hybridMultilevel"/>
    <w:lvl w:ilvl="0">
      <w:lvlJc w:val="left"/>
      <w:lvlText w:val="1"/>
      <w:numFmt w:val="bullet"/>
      <w:start w:val="1"/>
    </w:lvl>
  </w:abstractNum>
  <w:abstractNum w:abstractNumId="90">
    <w:nsid w:val="5675FF36"/>
    <w:multiLevelType w:val="hybridMultilevel"/>
    <w:lvl w:ilvl="0">
      <w:lvlJc w:val="left"/>
      <w:lvlText w:val="2"/>
      <w:numFmt w:val="bullet"/>
      <w:start w:val="1"/>
    </w:lvl>
  </w:abstractNum>
  <w:abstractNum w:abstractNumId="91">
    <w:nsid w:val="3DD15094"/>
    <w:multiLevelType w:val="hybridMultilevel"/>
    <w:lvl w:ilvl="0">
      <w:lvlJc w:val="left"/>
      <w:lvlText w:val="3"/>
      <w:numFmt w:val="bullet"/>
      <w:start w:val="1"/>
    </w:lvl>
  </w:abstractNum>
  <w:abstractNum w:abstractNumId="92">
    <w:nsid w:val="3DB012B3"/>
    <w:multiLevelType w:val="hybridMultilevel"/>
    <w:lvl w:ilvl="0">
      <w:lvlJc w:val="left"/>
      <w:lvlText w:val="1"/>
      <w:numFmt w:val="bullet"/>
      <w:start w:val="1"/>
    </w:lvl>
  </w:abstractNum>
  <w:abstractNum w:abstractNumId="93">
    <w:nsid w:val="2708C9AF"/>
    <w:multiLevelType w:val="hybridMultilevel"/>
    <w:lvl w:ilvl="0">
      <w:lvlJc w:val="left"/>
      <w:lvlText w:val="2"/>
      <w:numFmt w:val="bullet"/>
      <w:start w:val="1"/>
    </w:lvl>
  </w:abstractNum>
  <w:abstractNum w:abstractNumId="94">
    <w:nsid w:val="5B25ACE2"/>
    <w:multiLevelType w:val="hybridMultilevel"/>
    <w:lvl w:ilvl="0">
      <w:lvlJc w:val="left"/>
      <w:lvlText w:val="•"/>
      <w:numFmt w:val="bullet"/>
      <w:start w:val="1"/>
    </w:lvl>
  </w:abstractNum>
  <w:abstractNum w:abstractNumId="95">
    <w:nsid w:val="175DFCF0"/>
    <w:multiLevelType w:val="hybridMultilevel"/>
    <w:lvl w:ilvl="0">
      <w:lvlJc w:val="left"/>
      <w:lvlText w:val="•"/>
      <w:numFmt w:val="bullet"/>
      <w:start w:val="1"/>
    </w:lvl>
    <w:lvl w:ilvl="1">
      <w:lvlJc w:val="left"/>
      <w:lvlText w:val="•"/>
      <w:numFmt w:val="bullet"/>
      <w:start w:val="1"/>
    </w:lvl>
    <w:lvl w:ilvl="2">
      <w:lvlJc w:val="left"/>
      <w:lvlText w:val="(%3)"/>
      <w:numFmt w:val="lowerRoman"/>
      <w:start w:val="2"/>
    </w:lvl>
  </w:abstractNum>
  <w:abstractNum w:abstractNumId="96">
    <w:nsid w:val="4F97E3E4"/>
    <w:multiLevelType w:val="hybridMultilevel"/>
    <w:lvl w:ilvl="0">
      <w:lvlJc w:val="left"/>
      <w:lvlText w:val="•"/>
      <w:numFmt w:val="bullet"/>
      <w:start w:val="1"/>
    </w:lvl>
    <w:lvl w:ilvl="1">
      <w:lvlJc w:val="left"/>
      <w:lvlText w:val="•"/>
      <w:numFmt w:val="bullet"/>
      <w:start w:val="1"/>
    </w:lvl>
    <w:lvl w:ilvl="2">
      <w:lvlJc w:val="left"/>
      <w:lvlText w:val="(%3)"/>
      <w:numFmt w:val="lowerRoman"/>
      <w:start w:val="4"/>
    </w:lvl>
  </w:abstractNum>
  <w:abstractNum w:abstractNumId="97">
    <w:nsid w:val="53B0A9E"/>
    <w:multiLevelType w:val="hybridMultilevel"/>
    <w:lvl w:ilvl="0">
      <w:lvlJc w:val="left"/>
      <w:lvlText w:val="•"/>
      <w:numFmt w:val="bullet"/>
      <w:start w:val="1"/>
    </w:lvl>
  </w:abstractNum>
  <w:abstractNum w:abstractNumId="98">
    <w:nsid w:val="34FD6B4F"/>
    <w:multiLevelType w:val="hybridMultilevel"/>
    <w:lvl w:ilvl="0">
      <w:lvlJc w:val="left"/>
      <w:lvlText w:val="•"/>
      <w:numFmt w:val="bullet"/>
      <w:start w:val="1"/>
    </w:lvl>
  </w:abstractNum>
  <w:abstractNum w:abstractNumId="99">
    <w:nsid w:val="5915FF32"/>
    <w:multiLevelType w:val="hybridMultilevel"/>
    <w:lvl w:ilvl="0">
      <w:lvlJc w:val="left"/>
      <w:lvlText w:val="•"/>
      <w:numFmt w:val="bullet"/>
      <w:start w:val="1"/>
    </w:lvl>
  </w:abstractNum>
  <w:abstractNum w:abstractNumId="100">
    <w:nsid w:val="56438D15"/>
    <w:multiLevelType w:val="hybridMultilevel"/>
    <w:lvl w:ilvl="0">
      <w:lvlJc w:val="left"/>
      <w:lvlText w:val="•"/>
      <w:numFmt w:val="bullet"/>
      <w:start w:val="1"/>
    </w:lvl>
  </w:abstractNum>
  <w:abstractNum w:abstractNumId="101">
    <w:nsid w:val="519E3149"/>
    <w:multiLevelType w:val="hybridMultilevel"/>
    <w:lvl w:ilvl="0">
      <w:lvlJc w:val="left"/>
      <w:lvlText w:val="•"/>
      <w:numFmt w:val="bullet"/>
      <w:start w:val="1"/>
    </w:lvl>
  </w:abstractNum>
  <w:abstractNum w:abstractNumId="102">
    <w:nsid w:val="2C6E4AFD"/>
    <w:multiLevelType w:val="hybridMultilevel"/>
    <w:lvl w:ilvl="0">
      <w:lvlJc w:val="left"/>
      <w:lvlText w:val="•"/>
      <w:numFmt w:val="bullet"/>
      <w:start w:val="1"/>
    </w:lvl>
  </w:abstractNum>
  <w:abstractNum w:abstractNumId="103">
    <w:nsid w:val="17A1B582"/>
    <w:multiLevelType w:val="hybridMultilevel"/>
    <w:lvl w:ilvl="0">
      <w:lvlJc w:val="left"/>
      <w:lvlText w:val="\endash "/>
      <w:numFmt w:val="bullet"/>
      <w:start w:val="1"/>
    </w:lvl>
  </w:abstractNum>
  <w:abstractNum w:abstractNumId="104">
    <w:nsid w:val="4DF72E4E"/>
    <w:multiLevelType w:val="hybridMultilevel"/>
    <w:lvl w:ilvl="0">
      <w:lvlJc w:val="left"/>
      <w:lvlText w:val="•"/>
      <w:numFmt w:val="bullet"/>
      <w:start w:val="1"/>
    </w:lvl>
  </w:abstractNum>
  <w:abstractNum w:abstractNumId="105">
    <w:nsid w:val="5046B5A9"/>
    <w:multiLevelType w:val="hybridMultilevel"/>
    <w:lvl w:ilvl="0">
      <w:lvlJc w:val="left"/>
      <w:lvlText w:val="%1."/>
      <w:numFmt w:val="decimal"/>
      <w:start w:val="1"/>
    </w:lvl>
    <w:lvl w:ilvl="1">
      <w:lvlJc w:val="left"/>
      <w:lvlText w:val="%2."/>
      <w:numFmt w:val="decimal"/>
      <w:start w:val="3"/>
    </w:lvl>
  </w:abstractNum>
  <w:abstractNum w:abstractNumId="106">
    <w:nsid w:val="5D888A08"/>
    <w:multiLevelType w:val="hybridMultilevel"/>
    <w:lvl w:ilvl="0">
      <w:lvlJc w:val="left"/>
      <w:lvlText w:val="%1."/>
      <w:numFmt w:val="decimal"/>
      <w:start w:val="4"/>
    </w:lvl>
  </w:abstractNum>
  <w:abstractNum w:abstractNumId="107">
    <w:nsid w:val="2A082C70"/>
    <w:multiLevelType w:val="hybridMultilevel"/>
    <w:lvl w:ilvl="0">
      <w:lvlJc w:val="left"/>
      <w:lvlText w:val="•"/>
      <w:numFmt w:val="bullet"/>
      <w:start w:val="1"/>
    </w:lvl>
  </w:abstractNum>
  <w:abstractNum w:abstractNumId="108">
    <w:nsid w:val="5EC6AFD4"/>
    <w:multiLevelType w:val="hybridMultilevel"/>
    <w:lvl w:ilvl="0">
      <w:lvlJc w:val="left"/>
      <w:lvlText w:val="•"/>
      <w:numFmt w:val="bullet"/>
      <w:start w:val="1"/>
    </w:lvl>
  </w:abstractNum>
  <w:abstractNum w:abstractNumId="109">
    <w:nsid w:val="19E21BB2"/>
    <w:multiLevelType w:val="hybridMultilevel"/>
    <w:lvl w:ilvl="0">
      <w:lvlJc w:val="left"/>
      <w:lvlText w:val="•"/>
      <w:numFmt w:val="bullet"/>
      <w:start w:val="1"/>
    </w:lvl>
    <w:lvl w:ilvl="1">
      <w:lvlJc w:val="left"/>
      <w:lvlText w:val="•"/>
      <w:numFmt w:val="bullet"/>
      <w:start w:val="1"/>
    </w:lvl>
  </w:abstractNum>
  <w:abstractNum w:abstractNumId="110">
    <w:nsid w:val="75E0858A"/>
    <w:multiLevelType w:val="hybridMultilevel"/>
    <w:lvl w:ilvl="0">
      <w:lvlJc w:val="left"/>
      <w:lvlText w:val="•"/>
      <w:numFmt w:val="bullet"/>
      <w:start w:val="1"/>
    </w:lvl>
  </w:abstractNum>
  <w:abstractNum w:abstractNumId="111">
    <w:nsid w:val="57A61A29"/>
    <w:multiLevelType w:val="hybridMultilevel"/>
    <w:lvl w:ilvl="0">
      <w:lvlJc w:val="left"/>
      <w:lvlText w:val="8"/>
      <w:numFmt w:val="bullet"/>
      <w:start w:val="1"/>
    </w:lvl>
  </w:abstractNum>
  <w:abstractNum w:abstractNumId="112">
    <w:nsid w:val="5399C654"/>
    <w:multiLevelType w:val="hybridMultilevel"/>
    <w:lvl w:ilvl="0">
      <w:lvlJc w:val="left"/>
      <w:lvlText w:val=")"/>
      <w:numFmt w:val="bullet"/>
      <w:start w:val="1"/>
    </w:lvl>
  </w:abstractNum>
  <w:abstractNum w:abstractNumId="113">
    <w:nsid w:val="20EE1348"/>
    <w:multiLevelType w:val="hybridMultilevel"/>
    <w:lvl w:ilvl="0">
      <w:lvlJc w:val="left"/>
      <w:lvlText w:val="*"/>
      <w:numFmt w:val="bullet"/>
      <w:start w:val="1"/>
    </w:lvl>
  </w:abstractNum>
  <w:abstractNum w:abstractNumId="114">
    <w:nsid w:val="4427069A"/>
    <w:multiLevelType w:val="hybridMultilevel"/>
    <w:lvl w:ilvl="0">
      <w:lvlJc w:val="left"/>
      <w:lvlText w:val="•"/>
      <w:numFmt w:val="bullet"/>
      <w:start w:val="1"/>
    </w:lvl>
  </w:abstractNum>
  <w:abstractNum w:abstractNumId="115">
    <w:nsid w:val="B37E80A"/>
    <w:multiLevelType w:val="hybridMultilevel"/>
    <w:lvl w:ilvl="0">
      <w:lvlJc w:val="left"/>
      <w:lvlText w:val="•"/>
      <w:numFmt w:val="bullet"/>
      <w:start w:val="1"/>
    </w:lvl>
  </w:abstractNum>
  <w:abstractNum w:abstractNumId="116">
    <w:nsid w:val="2157F6BC"/>
    <w:multiLevelType w:val="hybridMultilevel"/>
    <w:lvl w:ilvl="0">
      <w:lvlJc w:val="left"/>
      <w:lvlText w:val="•"/>
      <w:numFmt w:val="bullet"/>
      <w:start w:val="1"/>
    </w:lvl>
  </w:abstractNum>
  <w:abstractNum w:abstractNumId="117">
    <w:nsid w:val="704E1DD5"/>
    <w:multiLevelType w:val="hybridMultilevel"/>
    <w:lvl w:ilvl="0">
      <w:lvlJc w:val="left"/>
      <w:lvlText w:val="•"/>
      <w:numFmt w:val="bullet"/>
      <w:start w:val="1"/>
    </w:lvl>
  </w:abstractNum>
  <w:abstractNum w:abstractNumId="118">
    <w:nsid w:val="57D2F10E"/>
    <w:multiLevelType w:val="hybridMultilevel"/>
    <w:lvl w:ilvl="0">
      <w:lvlJc w:val="left"/>
      <w:lvlText w:val="•"/>
      <w:numFmt w:val="bullet"/>
      <w:start w:val="1"/>
    </w:lvl>
  </w:abstractNum>
  <w:abstractNum w:abstractNumId="119">
    <w:nsid w:val="BFFAE18"/>
    <w:multiLevelType w:val="hybridMultilevel"/>
    <w:lvl w:ilvl="0">
      <w:lvlJc w:val="left"/>
      <w:lvlText w:val="%1."/>
      <w:numFmt w:val="decimal"/>
      <w:start w:val="9"/>
    </w:lvl>
    <w:lvl w:ilvl="1">
      <w:lvlJc w:val="left"/>
      <w:lvlText w:val="(%2)"/>
      <w:numFmt w:val="lowerLetter"/>
      <w:start w:val="1"/>
    </w:lvl>
  </w:abstractNum>
  <w:abstractNum w:abstractNumId="120">
    <w:nsid w:val="E3E47A8"/>
    <w:multiLevelType w:val="hybridMultilevel"/>
    <w:lvl w:ilvl="0">
      <w:lvlJc w:val="left"/>
      <w:lvlText w:val="%1."/>
      <w:numFmt w:val="decimal"/>
      <w:start w:val="13"/>
    </w:lvl>
  </w:abstractNum>
  <w:abstractNum w:abstractNumId="121">
    <w:nsid w:val="2E48F044"/>
    <w:multiLevelType w:val="hybridMultilevel"/>
    <w:lvl w:ilvl="0">
      <w:lvlJc w:val="left"/>
      <w:lvlText w:val="(%1)"/>
      <w:numFmt w:val="lowerLetter"/>
      <w:start w:val="1"/>
    </w:lvl>
    <w:lvl w:ilvl="1">
      <w:lvlJc w:val="left"/>
      <w:lvlText w:val="(%2)"/>
      <w:numFmt w:val="lowerRoman"/>
      <w:start w:val="1"/>
    </w:lvl>
  </w:abstractNum>
  <w:abstractNum w:abstractNumId="122">
    <w:nsid w:val="49D0FEAC"/>
    <w:multiLevelType w:val="hybridMultilevel"/>
    <w:lvl w:ilvl="0">
      <w:lvlJc w:val="left"/>
      <w:lvlText w:val="%1"/>
      <w:numFmt w:val="lowerLetter"/>
      <w:start w:val="1"/>
    </w:lvl>
    <w:lvl w:ilvl="1">
      <w:lvlJc w:val="left"/>
      <w:lvlText w:val="(%2)"/>
      <w:numFmt w:val="lowerRoman"/>
      <w:start w:val="1"/>
    </w:lvl>
  </w:abstractNum>
  <w:abstractNum w:abstractNumId="123">
    <w:nsid w:val="4BEE5A5B"/>
    <w:multiLevelType w:val="hybridMultilevel"/>
    <w:lvl w:ilvl="0">
      <w:lvlJc w:val="left"/>
      <w:lvlText w:val="(%1)"/>
      <w:numFmt w:val="lowerLetter"/>
      <w:start w:val="2"/>
    </w:lvl>
    <w:lvl w:ilvl="1">
      <w:lvlJc w:val="left"/>
      <w:lvlText w:val="%2"/>
      <w:numFmt w:val="lowerRoman"/>
      <w:start w:val="1"/>
    </w:lvl>
  </w:abstractNum>
  <w:abstractNum w:abstractNumId="124">
    <w:nsid w:val="5551B9F3"/>
    <w:multiLevelType w:val="hybridMultilevel"/>
    <w:lvl w:ilvl="0">
      <w:lvlJc w:val="left"/>
      <w:lvlText w:val="(%1)"/>
      <w:numFmt w:val="lowerRoman"/>
      <w:start w:val="1"/>
    </w:lvl>
  </w:abstractNum>
  <w:abstractNum w:abstractNumId="125">
    <w:nsid w:val="24F6AB8E"/>
    <w:multiLevelType w:val="hybridMultilevel"/>
    <w:lvl w:ilvl="0">
      <w:lvlJc w:val="left"/>
      <w:lvlText w:val="(%1)"/>
      <w:numFmt w:val="lowerRoman"/>
      <w:start w:val="1"/>
    </w:lvl>
    <w:lvl w:ilvl="1">
      <w:lvlJc w:val="left"/>
      <w:lvlText w:val="%2."/>
      <w:numFmt w:val="lowerLetter"/>
      <w:start w:val="1"/>
    </w:lvl>
  </w:abstractNum>
  <w:abstractNum w:abstractNumId="126">
    <w:nsid w:val="634C574C"/>
    <w:multiLevelType w:val="hybridMultilevel"/>
    <w:lvl w:ilvl="0">
      <w:lvlJc w:val="left"/>
      <w:lvlText w:val="(%1)"/>
      <w:numFmt w:val="lowerRoman"/>
      <w:start w:val="1"/>
    </w:lvl>
  </w:abstractNum>
  <w:abstractNum w:abstractNumId="127">
    <w:nsid w:val="24E99DD7"/>
    <w:multiLevelType w:val="hybridMultilevel"/>
    <w:lvl w:ilvl="0">
      <w:lvlJc w:val="left"/>
      <w:lvlText w:val="(%1)"/>
      <w:numFmt w:val="lowerLetter"/>
      <w:start w:val="10"/>
    </w:lvl>
  </w:abstractNum>
  <w:abstractNum w:abstractNumId="128">
    <w:nsid w:val="2A31B62D"/>
    <w:multiLevelType w:val="hybridMultilevel"/>
    <w:lvl w:ilvl="0">
      <w:lvlJc w:val="left"/>
      <w:lvlText w:val="(%1)"/>
      <w:numFmt w:val="lowerLetter"/>
      <w:start w:val="1"/>
    </w:lvl>
  </w:abstractNum>
  <w:abstractNum w:abstractNumId="129">
    <w:nsid w:val="1849C29B"/>
    <w:multiLevelType w:val="hybridMultilevel"/>
    <w:lvl w:ilvl="0">
      <w:lvlJc w:val="left"/>
      <w:lvlText w:val="(%1)"/>
      <w:numFmt w:val="lowerLetter"/>
      <w:start w:val="4"/>
    </w:lvl>
  </w:abstractNum>
  <w:abstractNum w:abstractNumId="130">
    <w:nsid w:val="7DFF9D09"/>
    <w:multiLevelType w:val="hybridMultilevel"/>
    <w:lvl w:ilvl="0">
      <w:lvlJc w:val="left"/>
      <w:lvlText w:val="(%1)"/>
      <w:numFmt w:val="lowerLetter"/>
      <w:start w:val="1"/>
    </w:lvl>
  </w:abstractNum>
  <w:abstractNum w:abstractNumId="131">
    <w:nsid w:val="754342"/>
    <w:multiLevelType w:val="hybridMultilevel"/>
    <w:lvl w:ilvl="0">
      <w:lvlJc w:val="left"/>
      <w:lvlText w:val="(%1)"/>
      <w:numFmt w:val="lowerLetter"/>
      <w:start w:val="11"/>
    </w:lvl>
  </w:abstractNum>
  <w:abstractNum w:abstractNumId="132">
    <w:nsid w:val="69E7F3E5"/>
    <w:multiLevelType w:val="hybridMultilevel"/>
    <w:lvl w:ilvl="0">
      <w:lvlJc w:val="left"/>
      <w:lvlText w:val="%1"/>
      <w:numFmt w:val="lowerRoman"/>
      <w:start w:val="1"/>
    </w:lvl>
    <w:lvl w:ilvl="1">
      <w:lvlJc w:val="left"/>
      <w:lvlText w:val="(%2)"/>
      <w:numFmt w:val="lowerLetter"/>
      <w:start w:val="1"/>
    </w:lvl>
  </w:abstractNum>
  <w:abstractNum w:abstractNumId="133">
    <w:nsid w:val="2A6DE806"/>
    <w:multiLevelType w:val="hybridMultilevel"/>
    <w:lvl w:ilvl="0">
      <w:lvlJc w:val="left"/>
      <w:lvlText w:val="(%1)"/>
      <w:numFmt w:val="lowerRoman"/>
      <w:start w:val="4"/>
    </w:lvl>
    <w:lvl w:ilvl="1">
      <w:lvlJc w:val="left"/>
      <w:lvlText w:val="(%2)"/>
      <w:numFmt w:val="lowerLetter"/>
      <w:start w:val="2"/>
    </w:lvl>
  </w:abstractNum>
  <w:abstractNum w:abstractNumId="134">
    <w:nsid w:val="1816F8C4"/>
    <w:multiLevelType w:val="hybridMultilevel"/>
    <w:lvl w:ilvl="0">
      <w:lvlJc w:val="left"/>
      <w:lvlText w:val="%1"/>
      <w:numFmt w:val="lowerLetter"/>
      <w:start w:val="1"/>
    </w:lvl>
    <w:lvl w:ilvl="1">
      <w:lvlJc w:val="left"/>
      <w:lvlText w:val="(%2)"/>
      <w:numFmt w:val="lowerLetter"/>
      <w:start w:val="1"/>
    </w:lvl>
  </w:abstractNum>
  <w:abstractNum w:abstractNumId="135">
    <w:nsid w:val="37DF2233"/>
    <w:multiLevelType w:val="hybridMultilevel"/>
    <w:lvl w:ilvl="0">
      <w:lvlJc w:val="left"/>
      <w:lvlText w:val="(%1)"/>
      <w:numFmt w:val="lowerLetter"/>
      <w:start w:val="61"/>
    </w:lvl>
    <w:lvl w:ilvl="1">
      <w:lvlJc w:val="left"/>
      <w:lvlText w:val="%2"/>
      <w:numFmt w:val="lowerLetter"/>
      <w:start w:val="1"/>
    </w:lvl>
  </w:abstractNum>
  <w:abstractNum w:abstractNumId="136">
    <w:nsid w:val="7AB49DAF"/>
    <w:multiLevelType w:val="hybridMultilevel"/>
    <w:lvl w:ilvl="0">
      <w:lvlJc w:val="left"/>
      <w:lvlText w:val="(%1)"/>
      <w:numFmt w:val="lowerLetter"/>
      <w:start w:val="4"/>
    </w:lvl>
    <w:lvl w:ilvl="1">
      <w:lvlJc w:val="left"/>
      <w:lvlText w:val="(%2)"/>
      <w:numFmt w:val="lowerRoman"/>
      <w:start w:val="1"/>
    </w:lvl>
  </w:abstractNum>
  <w:abstractNum w:abstractNumId="137">
    <w:nsid w:val="759F82CD"/>
    <w:multiLevelType w:val="hybridMultilevel"/>
    <w:lvl w:ilvl="0">
      <w:lvlJc w:val="left"/>
      <w:lvlText w:val="(%1)"/>
      <w:numFmt w:val="lowerLetter"/>
      <w:start w:val="1"/>
    </w:lvl>
  </w:abstractNum>
  <w:abstractNum w:abstractNumId="138">
    <w:nsid w:val="61E74EA3"/>
    <w:multiLevelType w:val="hybridMultilevel"/>
    <w:lvl w:ilvl="0">
      <w:lvlJc w:val="left"/>
      <w:lvlText w:val="%1"/>
      <w:numFmt w:val="lowerLetter"/>
      <w:start w:val="1"/>
    </w:lvl>
    <w:lvl w:ilvl="1">
      <w:lvlJc w:val="left"/>
      <w:lvlText w:val="(%2)"/>
      <w:numFmt w:val="lowerRoman"/>
      <w:start w:val="1"/>
    </w:lvl>
  </w:abstractNum>
  <w:abstractNum w:abstractNumId="139">
    <w:nsid w:val="597B4D84"/>
    <w:multiLevelType w:val="hybridMultilevel"/>
    <w:lvl w:ilvl="0">
      <w:lvlJc w:val="left"/>
      <w:lvlText w:val="(%1)"/>
      <w:numFmt w:val="lowerLetter"/>
      <w:start w:val="2"/>
    </w:lvl>
    <w:lvl w:ilvl="1">
      <w:lvlJc w:val="left"/>
      <w:lvlText w:val="%2"/>
      <w:numFmt w:val="lowerRoman"/>
      <w:start w:val="1"/>
    </w:lvl>
  </w:abstractNum>
  <w:abstractNum w:abstractNumId="140">
    <w:nsid w:val="F819E7F"/>
    <w:multiLevelType w:val="hybridMultilevel"/>
    <w:lvl w:ilvl="0">
      <w:lvlJc w:val="left"/>
      <w:lvlText w:val="(%1)"/>
      <w:numFmt w:val="lowerLetter"/>
      <w:start w:val="1"/>
    </w:lvl>
  </w:abstractNum>
  <w:abstractNum w:abstractNumId="141">
    <w:nsid w:val="57C7D42D"/>
    <w:multiLevelType w:val="hybridMultilevel"/>
    <w:lvl w:ilvl="0">
      <w:lvlJc w:val="left"/>
      <w:lvlText w:val="(%1)"/>
      <w:numFmt w:val="lowerLetter"/>
      <w:start w:val="1"/>
    </w:lvl>
  </w:abstractNum>
  <w:abstractNum w:abstractNumId="142">
    <w:nsid w:val="312167AD"/>
    <w:multiLevelType w:val="hybridMultilevel"/>
    <w:lvl w:ilvl="0">
      <w:lvlJc w:val="left"/>
      <w:lvlText w:val="(%1)"/>
      <w:numFmt w:val="lowerLetter"/>
      <w:start w:val="4"/>
    </w:lvl>
  </w:abstractNum>
  <w:abstractNum w:abstractNumId="143">
    <w:nsid w:val="631B64D4"/>
    <w:multiLevelType w:val="hybridMultilevel"/>
    <w:lvl w:ilvl="0">
      <w:lvlJc w:val="left"/>
      <w:lvlText w:val="(%1)"/>
      <w:numFmt w:val="lowerLetter"/>
      <w:start w:val="1"/>
    </w:lvl>
  </w:abstractNum>
  <w:abstractNum w:abstractNumId="144">
    <w:nsid w:val="78B5E776"/>
    <w:multiLevelType w:val="hybridMultilevel"/>
    <w:lvl w:ilvl="0">
      <w:lvlJc w:val="left"/>
      <w:lvlText w:val="(%1)"/>
      <w:numFmt w:val="lowerLetter"/>
      <w:start w:val="2"/>
    </w:lvl>
  </w:abstractNum>
  <w:abstractNum w:abstractNumId="145">
    <w:nsid w:val="75486E47"/>
    <w:multiLevelType w:val="hybridMultilevel"/>
    <w:lvl w:ilvl="0">
      <w:lvlJc w:val="left"/>
      <w:lvlText w:val="(%1)"/>
      <w:numFmt w:val="lowerLetter"/>
      <w:start w:val="1"/>
    </w:lvl>
  </w:abstractNum>
  <w:abstractNum w:abstractNumId="146">
    <w:nsid w:val="6E534CDE"/>
    <w:multiLevelType w:val="hybridMultilevel"/>
    <w:lvl w:ilvl="0">
      <w:lvlJc w:val="left"/>
      <w:lvlText w:val="(%1)"/>
      <w:numFmt w:val="lowerLetter"/>
      <w:start w:val="1"/>
    </w:lvl>
  </w:abstractNum>
  <w:abstractNum w:abstractNumId="147">
    <w:nsid w:val="1A0DDE32"/>
    <w:multiLevelType w:val="hybridMultilevel"/>
    <w:lvl w:ilvl="0">
      <w:lvlJc w:val="left"/>
      <w:lvlText w:val="(%1)"/>
      <w:numFmt w:val="lowerLetter"/>
      <w:start w:val="2"/>
    </w:lvl>
    <w:lvl w:ilvl="1">
      <w:lvlJc w:val="left"/>
      <w:lvlText w:val="(%2)"/>
      <w:numFmt w:val="lowerRoman"/>
      <w:start w:val="1"/>
    </w:lvl>
  </w:abstractNum>
  <w:abstractNum w:abstractNumId="148">
    <w:nsid w:val="65968C1C"/>
    <w:multiLevelType w:val="hybridMultilevel"/>
    <w:lvl w:ilvl="0">
      <w:lvlJc w:val="left"/>
      <w:lvlText w:val="(%1)"/>
      <w:numFmt w:val="lowerLetter"/>
      <w:start w:val="1"/>
    </w:lvl>
  </w:abstractNum>
  <w:abstractNum w:abstractNumId="149">
    <w:nsid w:val="46263DEC"/>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jpeg"/><Relationship Id="rId160" Type="http://schemas.openxmlformats.org/officeDocument/2006/relationships/image" Target="media/image153.jpeg"/><Relationship Id="rId161" Type="http://schemas.openxmlformats.org/officeDocument/2006/relationships/image" Target="media/image154.jpeg"/><Relationship Id="rId162" Type="http://schemas.openxmlformats.org/officeDocument/2006/relationships/image" Target="media/image155.jpeg"/><Relationship Id="rId163" Type="http://schemas.openxmlformats.org/officeDocument/2006/relationships/image" Target="media/image156.jpeg"/><Relationship Id="rId164" Type="http://schemas.openxmlformats.org/officeDocument/2006/relationships/image" Target="media/image15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2019-12-05T07:13:20Z</dcterms:created>
  <dcterms:modified xsi:type="dcterms:W3CDTF">2019-12-05T07:13:20Z</dcterms:modified>
</cp:coreProperties>
</file>