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6" w:lineRule="exact"/>
        <w:rPr>
          <w:sz w:val="24"/>
          <w:szCs w:val="24"/>
          <w:color w:val="auto"/>
        </w:rPr>
      </w:pPr>
    </w:p>
    <w:p>
      <w:pPr>
        <w:ind w:left="5320"/>
        <w:spacing w:after="0"/>
        <w:rPr>
          <w:sz w:val="20"/>
          <w:szCs w:val="20"/>
          <w:color w:val="auto"/>
        </w:rPr>
      </w:pPr>
      <w:r>
        <w:rPr>
          <w:rFonts w:ascii="Arial" w:cs="Arial" w:eastAsia="Arial" w:hAnsi="Arial"/>
          <w:sz w:val="16"/>
          <w:szCs w:val="16"/>
          <w:b w:val="1"/>
          <w:bCs w:val="1"/>
          <w:color w:val="auto"/>
        </w:rPr>
        <w:t>Form 10-K</w:t>
      </w:r>
    </w:p>
    <w:p>
      <w:pPr>
        <w:spacing w:after="0" w:line="59"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001-06351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300" w:type="dxa"/>
            <w:vAlign w:val="bottom"/>
          </w:tcPr>
          <w:p>
            <w:pPr>
              <w:spacing w:after="0"/>
              <w:rPr>
                <w:sz w:val="20"/>
                <w:szCs w:val="20"/>
                <w:color w:val="auto"/>
              </w:rPr>
            </w:pPr>
            <w:r>
              <w:rPr>
                <w:rFonts w:ascii="Arial" w:cs="Arial" w:eastAsia="Arial" w:hAnsi="Arial"/>
                <w:sz w:val="14"/>
                <w:szCs w:val="14"/>
                <w:color w:val="auto"/>
              </w:rPr>
              <w:t>An</w:t>
            </w:r>
          </w:p>
        </w:tc>
        <w:tc>
          <w:tcPr>
            <w:tcW w:w="800" w:type="dxa"/>
            <w:vAlign w:val="bottom"/>
          </w:tcPr>
          <w:p>
            <w:pPr>
              <w:ind w:left="120"/>
              <w:spacing w:after="0"/>
              <w:rPr>
                <w:sz w:val="20"/>
                <w:szCs w:val="20"/>
                <w:color w:val="auto"/>
              </w:rPr>
            </w:pPr>
            <w:r>
              <w:rPr>
                <w:rFonts w:ascii="Arial" w:cs="Arial" w:eastAsia="Arial" w:hAnsi="Arial"/>
                <w:sz w:val="14"/>
                <w:szCs w:val="14"/>
                <w:color w:val="auto"/>
              </w:rPr>
              <w:t>Indiana</w:t>
            </w:r>
          </w:p>
        </w:tc>
        <w:tc>
          <w:tcPr>
            <w:tcW w:w="3040" w:type="dxa"/>
            <w:vAlign w:val="bottom"/>
          </w:tcPr>
          <w:p>
            <w:pPr>
              <w:ind w:left="180"/>
              <w:spacing w:after="0"/>
              <w:rPr>
                <w:sz w:val="20"/>
                <w:szCs w:val="20"/>
                <w:color w:val="auto"/>
              </w:rPr>
            </w:pPr>
            <w:r>
              <w:rPr>
                <w:rFonts w:ascii="Arial" w:cs="Arial" w:eastAsia="Arial" w:hAnsi="Arial"/>
                <w:sz w:val="14"/>
                <w:szCs w:val="14"/>
                <w:color w:val="auto"/>
              </w:rPr>
              <w:t>corporation</w:t>
            </w:r>
          </w:p>
        </w:tc>
        <w:tc>
          <w:tcPr>
            <w:tcW w:w="4700" w:type="dxa"/>
            <w:vAlign w:val="bottom"/>
          </w:tcPr>
          <w:p>
            <w:pPr>
              <w:ind w:left="2140"/>
              <w:spacing w:after="0"/>
              <w:rPr>
                <w:sz w:val="20"/>
                <w:szCs w:val="20"/>
                <w:color w:val="auto"/>
              </w:rPr>
            </w:pPr>
            <w:r>
              <w:rPr>
                <w:rFonts w:ascii="Arial" w:cs="Arial" w:eastAsia="Arial" w:hAnsi="Arial"/>
                <w:sz w:val="14"/>
                <w:szCs w:val="14"/>
                <w:color w:val="auto"/>
              </w:rPr>
              <w:t>I.R.S. employer identification no.</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35-0470950</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Lilly Corporate Center, Indianapolis, Indiana 46285 (317) 276-2000</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Exchange Act:</w:t>
      </w:r>
    </w:p>
    <w:p>
      <w:pPr>
        <w:spacing w:after="0" w:line="172" w:lineRule="exact"/>
        <w:rPr>
          <w:sz w:val="24"/>
          <w:szCs w:val="24"/>
          <w:color w:val="auto"/>
        </w:rPr>
      </w:pPr>
    </w:p>
    <w:tbl>
      <w:tblPr>
        <w:tblLayout w:type="fixed"/>
        <w:tblInd w:w="40" w:type="dxa"/>
        <w:tblCellMar>
          <w:top w:w="0" w:type="dxa"/>
          <w:left w:w="0" w:type="dxa"/>
          <w:bottom w:w="0" w:type="dxa"/>
          <w:right w:w="0" w:type="dxa"/>
        </w:tblCellMar>
      </w:tblPr>
      <w:tr>
        <w:trPr>
          <w:trHeight w:val="162"/>
        </w:trPr>
        <w:tc>
          <w:tcPr>
            <w:tcW w:w="128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284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Trading Symbol(s)</w:t>
            </w:r>
          </w:p>
        </w:tc>
        <w:tc>
          <w:tcPr>
            <w:tcW w:w="3160" w:type="dxa"/>
            <w:vAlign w:val="bottom"/>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25"/>
        </w:trPr>
        <w:tc>
          <w:tcPr>
            <w:tcW w:w="412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2960" w:type="dxa"/>
            <w:vAlign w:val="bottom"/>
            <w:gridSpan w:val="2"/>
          </w:tcPr>
          <w:p>
            <w:pPr>
              <w:spacing w:after="0"/>
              <w:rPr>
                <w:sz w:val="20"/>
                <w:szCs w:val="20"/>
                <w:color w:val="auto"/>
              </w:rPr>
            </w:pPr>
            <w:r>
              <w:rPr>
                <w:rFonts w:ascii="Arial" w:cs="Arial" w:eastAsia="Arial" w:hAnsi="Arial"/>
                <w:sz w:val="14"/>
                <w:szCs w:val="14"/>
                <w:color w:val="auto"/>
              </w:rPr>
              <w:t>LLY</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color w:val="auto"/>
              </w:rPr>
              <w:t>1.000% Notes due 2022</w:t>
            </w:r>
          </w:p>
        </w:tc>
        <w:tc>
          <w:tcPr>
            <w:tcW w:w="2960" w:type="dxa"/>
            <w:vAlign w:val="bottom"/>
            <w:gridSpan w:val="2"/>
          </w:tcPr>
          <w:p>
            <w:pPr>
              <w:spacing w:after="0"/>
              <w:rPr>
                <w:sz w:val="20"/>
                <w:szCs w:val="20"/>
                <w:color w:val="auto"/>
              </w:rPr>
            </w:pPr>
            <w:r>
              <w:rPr>
                <w:rFonts w:ascii="Arial" w:cs="Arial" w:eastAsia="Arial" w:hAnsi="Arial"/>
                <w:sz w:val="14"/>
                <w:szCs w:val="14"/>
                <w:color w:val="auto"/>
              </w:rPr>
              <w:t>LLY22</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2960" w:type="dxa"/>
            <w:vAlign w:val="bottom"/>
            <w:gridSpan w:val="2"/>
          </w:tcPr>
          <w:p>
            <w:pPr>
              <w:spacing w:after="0"/>
              <w:rPr>
                <w:sz w:val="20"/>
                <w:szCs w:val="20"/>
                <w:color w:val="auto"/>
              </w:rPr>
            </w:pPr>
            <w:r>
              <w:rPr>
                <w:rFonts w:ascii="Arial" w:cs="Arial" w:eastAsia="Arial" w:hAnsi="Arial"/>
                <w:sz w:val="14"/>
                <w:szCs w:val="14"/>
                <w:color w:val="auto"/>
              </w:rPr>
              <w:t>LLY25</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2960" w:type="dxa"/>
            <w:vAlign w:val="bottom"/>
            <w:gridSpan w:val="2"/>
          </w:tcPr>
          <w:p>
            <w:pPr>
              <w:spacing w:after="0"/>
              <w:rPr>
                <w:sz w:val="20"/>
                <w:szCs w:val="20"/>
                <w:color w:val="auto"/>
              </w:rPr>
            </w:pPr>
            <w:r>
              <w:rPr>
                <w:rFonts w:ascii="Arial" w:cs="Arial" w:eastAsia="Arial" w:hAnsi="Arial"/>
                <w:sz w:val="14"/>
                <w:szCs w:val="14"/>
                <w:color w:val="auto"/>
              </w:rPr>
              <w:t>LLY26</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2960" w:type="dxa"/>
            <w:vAlign w:val="bottom"/>
            <w:gridSpan w:val="2"/>
          </w:tcPr>
          <w:p>
            <w:pPr>
              <w:spacing w:after="0"/>
              <w:rPr>
                <w:sz w:val="20"/>
                <w:szCs w:val="20"/>
                <w:color w:val="auto"/>
              </w:rPr>
            </w:pPr>
            <w:r>
              <w:rPr>
                <w:rFonts w:ascii="Arial" w:cs="Arial" w:eastAsia="Arial" w:hAnsi="Arial"/>
                <w:sz w:val="14"/>
                <w:szCs w:val="14"/>
                <w:color w:val="auto"/>
              </w:rPr>
              <w:t>LLY30</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2960" w:type="dxa"/>
            <w:vAlign w:val="bottom"/>
            <w:gridSpan w:val="2"/>
          </w:tcPr>
          <w:p>
            <w:pPr>
              <w:spacing w:after="0"/>
              <w:rPr>
                <w:sz w:val="20"/>
                <w:szCs w:val="20"/>
                <w:color w:val="auto"/>
              </w:rPr>
            </w:pPr>
            <w:r>
              <w:rPr>
                <w:rFonts w:ascii="Arial" w:cs="Arial" w:eastAsia="Arial" w:hAnsi="Arial"/>
                <w:sz w:val="14"/>
                <w:szCs w:val="14"/>
                <w:color w:val="auto"/>
              </w:rPr>
              <w:t>LLY31</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2960" w:type="dxa"/>
            <w:vAlign w:val="bottom"/>
            <w:gridSpan w:val="2"/>
          </w:tcPr>
          <w:p>
            <w:pPr>
              <w:spacing w:after="0"/>
              <w:rPr>
                <w:sz w:val="20"/>
                <w:szCs w:val="20"/>
                <w:color w:val="auto"/>
              </w:rPr>
            </w:pPr>
            <w:r>
              <w:rPr>
                <w:rFonts w:ascii="Arial" w:cs="Arial" w:eastAsia="Arial" w:hAnsi="Arial"/>
                <w:sz w:val="14"/>
                <w:szCs w:val="14"/>
                <w:color w:val="auto"/>
              </w:rPr>
              <w:t>LLY36</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12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2960" w:type="dxa"/>
            <w:vAlign w:val="bottom"/>
            <w:gridSpan w:val="2"/>
          </w:tcPr>
          <w:p>
            <w:pPr>
              <w:spacing w:after="0"/>
              <w:rPr>
                <w:sz w:val="20"/>
                <w:szCs w:val="20"/>
                <w:color w:val="auto"/>
              </w:rPr>
            </w:pPr>
            <w:r>
              <w:rPr>
                <w:rFonts w:ascii="Arial" w:cs="Arial" w:eastAsia="Arial" w:hAnsi="Arial"/>
                <w:sz w:val="14"/>
                <w:szCs w:val="14"/>
                <w:color w:val="auto"/>
              </w:rPr>
              <w:t>LLY49A</w:t>
            </w:r>
          </w:p>
        </w:tc>
        <w:tc>
          <w:tcPr>
            <w:tcW w:w="3160" w:type="dxa"/>
            <w:vAlign w:val="bottom"/>
          </w:tcPr>
          <w:p>
            <w:pPr>
              <w:spacing w:after="0"/>
              <w:rPr>
                <w:sz w:val="20"/>
                <w:szCs w:val="20"/>
                <w:color w:val="auto"/>
              </w:rPr>
            </w:pPr>
            <w:r>
              <w:rPr>
                <w:rFonts w:ascii="Arial" w:cs="Arial" w:eastAsia="Arial" w:hAnsi="Arial"/>
                <w:sz w:val="14"/>
                <w:szCs w:val="14"/>
                <w:color w:val="auto"/>
              </w:rPr>
              <w:t>New York Stock Exchange</w:t>
            </w:r>
          </w:p>
        </w:tc>
      </w:tr>
    </w:tbl>
    <w:p>
      <w:pPr>
        <w:spacing w:after="0" w:line="26" w:lineRule="exact"/>
        <w:rPr>
          <w:sz w:val="24"/>
          <w:szCs w:val="24"/>
          <w:color w:val="auto"/>
        </w:rPr>
      </w:pPr>
    </w:p>
    <w:p>
      <w:pPr>
        <w:ind w:right="1820"/>
        <w:spacing w:after="0" w:line="24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under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15(d) of the Exchange Act. Yes o No </w:t>
      </w:r>
      <w:r>
        <w:rPr>
          <w:rFonts w:ascii="MS PGothic" w:cs="MS PGothic" w:eastAsia="MS PGothic" w:hAnsi="MS PGothic"/>
          <w:sz w:val="16"/>
          <w:szCs w:val="16"/>
          <w:color w:val="auto"/>
        </w:rPr>
        <w:t>☑</w:t>
      </w:r>
    </w:p>
    <w:p>
      <w:pPr>
        <w:spacing w:after="0" w:line="31"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30" w:lineRule="exact"/>
        <w:rPr>
          <w:sz w:val="24"/>
          <w:szCs w:val="24"/>
          <w:color w:val="auto"/>
        </w:rPr>
      </w:pPr>
    </w:p>
    <w:p>
      <w:pPr>
        <w:ind w:right="3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32"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ectPr>
          <w:pgSz w:w="11900" w:h="16838" w:orient="portrait"/>
          <w:cols w:equalWidth="0" w:num="1">
            <w:col w:w="11420"/>
          </w:cols>
          <w:pgMar w:left="240" w:top="913" w:right="239" w:bottom="1440" w:gutter="0" w:footer="0" w:header="0"/>
        </w:sectPr>
      </w:pPr>
    </w:p>
    <w:p>
      <w:pPr>
        <w:spacing w:after="0" w:line="154" w:lineRule="exact"/>
        <w:rPr>
          <w:sz w:val="24"/>
          <w:szCs w:val="24"/>
          <w:color w:val="auto"/>
        </w:rPr>
      </w:pPr>
    </w:p>
    <w:p>
      <w:pPr>
        <w:ind w:left="860"/>
        <w:spacing w:after="0" w:line="161" w:lineRule="exact"/>
        <w:tabs>
          <w:tab w:leader="none" w:pos="100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p>
    <w:p>
      <w:pPr>
        <w:spacing w:after="0" w:line="150" w:lineRule="exact"/>
        <w:rPr>
          <w:sz w:val="24"/>
          <w:szCs w:val="24"/>
          <w:color w:val="auto"/>
        </w:rPr>
      </w:pPr>
    </w:p>
    <w:p>
      <w:pPr>
        <w:ind w:left="940"/>
        <w:spacing w:after="0"/>
        <w:tabs>
          <w:tab w:leader="none" w:pos="9320" w:val="left"/>
        </w:tabs>
        <w:rPr>
          <w:sz w:val="20"/>
          <w:szCs w:val="20"/>
          <w:color w:val="auto"/>
        </w:rPr>
      </w:pP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w:t>
      </w:r>
    </w:p>
    <w:p>
      <w:pPr>
        <w:spacing w:after="0" w:line="119" w:lineRule="exact"/>
        <w:rPr>
          <w:sz w:val="24"/>
          <w:szCs w:val="24"/>
          <w:color w:val="auto"/>
        </w:rPr>
      </w:pPr>
    </w:p>
    <w:p>
      <w:pPr>
        <w:ind w:left="9340"/>
        <w:spacing w:after="0"/>
        <w:rPr>
          <w:sz w:val="20"/>
          <w:szCs w:val="20"/>
          <w:color w:val="auto"/>
        </w:rPr>
      </w:pPr>
      <w:r>
        <w:rPr>
          <w:rFonts w:ascii="Arial" w:cs="Arial" w:eastAsia="Arial" w:hAnsi="Arial"/>
          <w:sz w:val="14"/>
          <w:szCs w:val="14"/>
          <w:color w:val="auto"/>
        </w:rPr>
        <w:t>Emerging growth company</w:t>
      </w:r>
    </w:p>
    <w:p>
      <w:pPr>
        <w:spacing w:after="0" w:line="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1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right"/>
        <w:ind w:right="20"/>
        <w:spacing w:after="0"/>
        <w:rPr>
          <w:sz w:val="20"/>
          <w:szCs w:val="20"/>
          <w:color w:val="auto"/>
        </w:rPr>
      </w:pPr>
      <w:r>
        <w:rPr>
          <w:rFonts w:ascii="Arial" w:cs="Arial" w:eastAsia="Arial" w:hAnsi="Arial"/>
          <w:sz w:val="14"/>
          <w:szCs w:val="14"/>
          <w:color w:val="auto"/>
        </w:rPr>
        <w:t>o</w:t>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7" w:lineRule="exact"/>
        <w:rPr>
          <w:sz w:val="24"/>
          <w:szCs w:val="24"/>
          <w:color w:val="auto"/>
        </w:rPr>
      </w:pPr>
    </w:p>
    <w:p>
      <w:pPr>
        <w:sectPr>
          <w:pgSz w:w="11900" w:h="16838" w:orient="portrait"/>
          <w:cols w:equalWidth="0" w:num="2">
            <w:col w:w="11120" w:space="120"/>
            <w:col w:w="180"/>
          </w:cols>
          <w:pgMar w:left="240" w:top="913" w:right="239" w:bottom="1440" w:gutter="0" w:footer="0" w:header="0"/>
          <w:type w:val="continuous"/>
        </w:sectPr>
      </w:pPr>
    </w:p>
    <w:p>
      <w:pPr>
        <w:ind w:right="20"/>
        <w:spacing w:after="0" w:line="260" w:lineRule="auto"/>
        <w:rPr>
          <w:sz w:val="20"/>
          <w:szCs w:val="20"/>
          <w:color w:val="auto"/>
        </w:rPr>
      </w:pPr>
      <w:r>
        <w:rPr>
          <w:rFonts w:ascii="Arial" w:cs="Arial" w:eastAsia="Arial" w:hAnsi="Arial"/>
          <w:sz w:val="16"/>
          <w:szCs w:val="16"/>
          <w:color w:val="auto"/>
        </w:rPr>
        <w:t>Aggregate market value of the common equity held by non-affiliates computed by reference to the price at which the common equity was last sold as of the last business day of the Registrant’s most recently completed second fiscal quarter (Common Stock): approximately $93,167,000,000.</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common stock outstanding as of February 13, 2020: 956,382,203</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Proxy Statement to be filed on or about March 20, 2020 have been incorporated by reference into Part III of this report.</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4" w:lineRule="exact"/>
        <w:rPr>
          <w:sz w:val="24"/>
          <w:szCs w:val="24"/>
          <w:color w:val="auto"/>
        </w:rPr>
      </w:pPr>
    </w:p>
    <w:p>
      <w:pPr>
        <w:jc w:val="right"/>
        <w:spacing w:after="0"/>
        <w:rPr>
          <w:sz w:val="20"/>
          <w:szCs w:val="20"/>
          <w:color w:val="auto"/>
        </w:rPr>
      </w:pPr>
      <w:r>
        <w:rPr>
          <w:rFonts w:ascii="Arial" w:cs="Arial" w:eastAsia="Arial" w:hAnsi="Arial"/>
          <w:sz w:val="18"/>
          <w:szCs w:val="18"/>
          <w:b w:val="1"/>
          <w:bCs w:val="1"/>
          <w:i w:val="1"/>
          <w:iCs w:val="1"/>
          <w:color w:val="auto"/>
        </w:rPr>
        <w:t>1</w:t>
      </w:r>
    </w:p>
    <w:p>
      <w:pPr>
        <w:sectPr>
          <w:pgSz w:w="11900" w:h="16838" w:orient="portrait"/>
          <w:cols w:equalWidth="0" w:num="1">
            <w:col w:w="11420"/>
          </w:cols>
          <w:pgMar w:left="240" w:top="91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99"/>
              </w:rPr>
              <w:t>Eli Lilly and Company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rPr>
              <w:t>Form 10-K</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40" w:type="dxa"/>
            <w:vAlign w:val="bottom"/>
            <w:gridSpan w:val="11"/>
          </w:tcPr>
          <w:p>
            <w:pPr>
              <w:jc w:val="center"/>
              <w:ind w:right="2840"/>
              <w:spacing w:after="0"/>
              <w:rPr>
                <w:sz w:val="20"/>
                <w:szCs w:val="20"/>
                <w:color w:val="auto"/>
              </w:rPr>
            </w:pPr>
            <w:r>
              <w:rPr>
                <w:rFonts w:ascii="Arial" w:cs="Arial" w:eastAsia="Arial" w:hAnsi="Arial"/>
                <w:sz w:val="18"/>
                <w:szCs w:val="18"/>
                <w:b w:val="1"/>
                <w:bCs w:val="1"/>
                <w:color w:val="auto"/>
                <w:w w:val="99"/>
              </w:rPr>
              <w:t>For the Year Ended December 31, 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jc w:val="center"/>
              <w:ind w:right="4100"/>
              <w:spacing w:after="0"/>
              <w:rPr>
                <w:sz w:val="20"/>
                <w:szCs w:val="20"/>
                <w:color w:val="auto"/>
              </w:rPr>
            </w:pPr>
            <w:r>
              <w:rPr>
                <w:rFonts w:ascii="Arial" w:cs="Arial" w:eastAsia="Arial" w:hAnsi="Arial"/>
                <w:sz w:val="18"/>
                <w:szCs w:val="18"/>
                <w:b w:val="1"/>
                <w:bCs w:val="1"/>
                <w:color w:val="auto"/>
                <w:w w:val="98"/>
              </w:rPr>
              <w:t>Table of Contents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Page</w:t>
            </w: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560" w:type="dxa"/>
            <w:vAlign w:val="bottom"/>
            <w:gridSpan w:val="4"/>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Item 1.</w:t>
              </w:r>
            </w:hyperlink>
          </w:p>
        </w:tc>
        <w:tc>
          <w:tcPr>
            <w:tcW w:w="700" w:type="dxa"/>
            <w:vAlign w:val="bottom"/>
            <w:gridSpan w:val="2"/>
          </w:tcPr>
          <w:p>
            <w:pPr>
              <w:spacing w:after="0"/>
              <w:rPr>
                <w:sz w:val="24"/>
                <w:szCs w:val="24"/>
                <w:color w:val="auto"/>
              </w:rPr>
            </w:pPr>
          </w:p>
        </w:tc>
        <w:tc>
          <w:tcPr>
            <w:tcW w:w="740" w:type="dxa"/>
            <w:vAlign w:val="bottom"/>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8660" w:type="dxa"/>
            <w:vAlign w:val="bottom"/>
            <w:gridSpan w:val="20"/>
          </w:tcPr>
          <w:p>
            <w:pPr>
              <w:spacing w:after="0"/>
              <w:rPr>
                <w:sz w:val="24"/>
                <w:szCs w:val="24"/>
                <w:color w:val="auto"/>
              </w:rPr>
            </w:pPr>
          </w:p>
        </w:tc>
        <w:tc>
          <w:tcPr>
            <w:tcW w:w="300" w:type="dxa"/>
            <w:vAlign w:val="bottom"/>
            <w:gridSpan w:val="3"/>
          </w:tcPr>
          <w:p>
            <w:pPr>
              <w:jc w:val="center"/>
              <w:ind w:left="3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1A.</w:t>
              </w:r>
            </w:hyperlink>
          </w:p>
        </w:tc>
        <w:tc>
          <w:tcPr>
            <w:tcW w:w="620" w:type="dxa"/>
            <w:vAlign w:val="bottom"/>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17</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1B.</w:t>
              </w:r>
            </w:hyperlink>
          </w:p>
        </w:tc>
        <w:tc>
          <w:tcPr>
            <w:tcW w:w="620" w:type="dxa"/>
            <w:vAlign w:val="bottom"/>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22</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2.</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60" w:type="dxa"/>
            <w:vAlign w:val="bottom"/>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140" w:type="dxa"/>
            <w:vAlign w:val="bottom"/>
            <w:gridSpan w:val="11"/>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3.</w:t>
              </w:r>
            </w:hyperlink>
          </w:p>
        </w:tc>
        <w:tc>
          <w:tcPr>
            <w:tcW w:w="700" w:type="dxa"/>
            <w:vAlign w:val="bottom"/>
            <w:gridSpan w:val="2"/>
          </w:tcPr>
          <w:p>
            <w:pPr>
              <w:spacing w:after="0"/>
              <w:rPr>
                <w:sz w:val="21"/>
                <w:szCs w:val="21"/>
                <w:color w:val="auto"/>
              </w:rPr>
            </w:pPr>
          </w:p>
        </w:tc>
        <w:tc>
          <w:tcPr>
            <w:tcW w:w="1500" w:type="dxa"/>
            <w:vAlign w:val="bottom"/>
            <w:gridSpan w:val="5"/>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Legal Proceedings</w:t>
              </w:r>
            </w:hyperlink>
          </w:p>
        </w:tc>
        <w:tc>
          <w:tcPr>
            <w:tcW w:w="7900" w:type="dxa"/>
            <w:vAlign w:val="bottom"/>
            <w:gridSpan w:val="16"/>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Item 4.</w:t>
              </w:r>
            </w:hyperlink>
          </w:p>
        </w:tc>
        <w:tc>
          <w:tcPr>
            <w:tcW w:w="700" w:type="dxa"/>
            <w:vAlign w:val="bottom"/>
            <w:gridSpan w:val="2"/>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25</w:t>
              </w:r>
            </w:hyperlink>
          </w:p>
        </w:tc>
        <w:tc>
          <w:tcPr>
            <w:tcW w:w="120" w:type="dxa"/>
            <w:vAlign w:val="bottom"/>
          </w:tcPr>
          <w:p>
            <w:pPr>
              <w:spacing w:after="0"/>
              <w:rPr>
                <w:sz w:val="21"/>
                <w:szCs w:val="21"/>
                <w:color w:val="auto"/>
              </w:rPr>
            </w:pPr>
          </w:p>
        </w:tc>
      </w:tr>
      <w:tr>
        <w:trPr>
          <w:trHeight w:val="574"/>
        </w:trPr>
        <w:tc>
          <w:tcPr>
            <w:tcW w:w="40" w:type="dxa"/>
            <w:vAlign w:val="bottom"/>
          </w:tcPr>
          <w:p>
            <w:pPr>
              <w:spacing w:after="0"/>
              <w:rPr>
                <w:sz w:val="24"/>
                <w:szCs w:val="24"/>
                <w:color w:val="auto"/>
              </w:rPr>
            </w:pPr>
          </w:p>
        </w:tc>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w:t>
              </w:r>
            </w:hyperlink>
          </w:p>
        </w:tc>
        <w:tc>
          <w:tcPr>
            <w:tcW w:w="80" w:type="dxa"/>
            <w:vAlign w:val="bottom"/>
            <w:tcBorders>
              <w:top w:val="single" w:sz="8" w:color="0000EE"/>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940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the Registrant's Common Equity, Related Stockholder Matters, and Issuer Purchases of Equity</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26</w:t>
              </w:r>
            </w:hyperlink>
          </w:p>
        </w:tc>
        <w:tc>
          <w:tcPr>
            <w:tcW w:w="12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Securities</w:t>
              </w:r>
            </w:hyperlink>
          </w:p>
        </w:tc>
        <w:tc>
          <w:tcPr>
            <w:tcW w:w="7560" w:type="dxa"/>
            <w:vAlign w:val="bottom"/>
            <w:tcBorders>
              <w:top w:val="single" w:sz="8" w:color="0000EE"/>
            </w:tcBorders>
            <w:gridSpan w:val="18"/>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6.</w:t>
              </w:r>
            </w:hyperlink>
          </w:p>
        </w:tc>
        <w:tc>
          <w:tcPr>
            <w:tcW w:w="700" w:type="dxa"/>
            <w:vAlign w:val="bottom"/>
            <w:gridSpan w:val="2"/>
          </w:tcPr>
          <w:p>
            <w:pPr>
              <w:spacing w:after="0"/>
              <w:rPr>
                <w:sz w:val="20"/>
                <w:szCs w:val="20"/>
                <w:color w:val="auto"/>
              </w:rPr>
            </w:pPr>
          </w:p>
        </w:tc>
        <w:tc>
          <w:tcPr>
            <w:tcW w:w="940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60" w:type="dxa"/>
            <w:vAlign w:val="bottom"/>
          </w:tcPr>
          <w:p>
            <w:pPr>
              <w:spacing w:after="0"/>
              <w:rPr>
                <w:sz w:val="20"/>
                <w:szCs w:val="20"/>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28</w:t>
              </w:r>
            </w:hyperlink>
          </w:p>
        </w:tc>
        <w:tc>
          <w:tcPr>
            <w:tcW w:w="1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Borders>
              <w:bottom w:val="single" w:sz="8" w:color="0000EE"/>
            </w:tcBorders>
            <w:gridSpan w:val="4"/>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7.</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Results of Operations and Financial Condition</w:t>
              </w:r>
            </w:hyperlink>
          </w:p>
        </w:tc>
        <w:tc>
          <w:tcPr>
            <w:tcW w:w="160" w:type="dxa"/>
            <w:vAlign w:val="bottom"/>
          </w:tcPr>
          <w:p>
            <w:pPr>
              <w:spacing w:after="0"/>
              <w:rPr>
                <w:sz w:val="20"/>
                <w:szCs w:val="20"/>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29</w:t>
              </w:r>
            </w:hyperlink>
          </w:p>
        </w:tc>
        <w:tc>
          <w:tcPr>
            <w:tcW w:w="1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320" w:type="dxa"/>
            <w:vAlign w:val="bottom"/>
            <w:gridSpan w:val="3"/>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260" w:type="dxa"/>
            <w:vAlign w:val="bottom"/>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7A.</w:t>
              </w:r>
            </w:hyperlink>
          </w:p>
        </w:tc>
        <w:tc>
          <w:tcPr>
            <w:tcW w:w="9400" w:type="dxa"/>
            <w:vAlign w:val="bottom"/>
            <w:gridSpan w:val="2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c>
          <w:tcPr>
            <w:tcW w:w="1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Item 8.</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2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4680" w:type="dxa"/>
            <w:vAlign w:val="bottom"/>
            <w:gridSpan w:val="6"/>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51">
              <w:r>
                <w:rPr>
                  <w:rFonts w:ascii="Arial" w:cs="Arial" w:eastAsia="Arial" w:hAnsi="Arial"/>
                  <w:sz w:val="17"/>
                  <w:szCs w:val="17"/>
                  <w:color w:val="0000EE"/>
                  <w:w w:val="73"/>
                </w:rPr>
                <w:t>51</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109">
              <w:r>
                <w:rPr>
                  <w:rFonts w:ascii="Arial" w:cs="Arial" w:eastAsia="Arial" w:hAnsi="Arial"/>
                  <w:sz w:val="18"/>
                  <w:szCs w:val="18"/>
                  <w:color w:val="0000EE"/>
                  <w:w w:val="94"/>
                </w:rPr>
                <w:t>Item 9.</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40" w:type="dxa"/>
            <w:vAlign w:val="bottom"/>
            <w:gridSpan w:val="18"/>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Changes in and Disagreements with Accountants on Accounting and Financial Disclosure</w:t>
              </w:r>
            </w:hyperlink>
          </w:p>
        </w:tc>
        <w:tc>
          <w:tcPr>
            <w:tcW w:w="2260" w:type="dxa"/>
            <w:vAlign w:val="bottom"/>
            <w:gridSpan w:val="3"/>
          </w:tcPr>
          <w:p>
            <w:pPr>
              <w:spacing w:after="0"/>
              <w:rPr>
                <w:sz w:val="20"/>
                <w:szCs w:val="20"/>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r>
      <w:tr>
        <w:trPr>
          <w:trHeight w:val="27"/>
        </w:trPr>
        <w:tc>
          <w:tcPr>
            <w:tcW w:w="40" w:type="dxa"/>
            <w:vAlign w:val="bottom"/>
          </w:tcPr>
          <w:p>
            <w:pPr>
              <w:spacing w:after="0"/>
              <w:rPr>
                <w:sz w:val="2"/>
                <w:szCs w:val="2"/>
                <w:color w:val="auto"/>
              </w:rPr>
            </w:pPr>
          </w:p>
        </w:tc>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320" w:type="dxa"/>
            <w:vAlign w:val="bottom"/>
            <w:gridSpan w:val="3"/>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40" w:type="dxa"/>
            <w:vAlign w:val="bottom"/>
            <w:gridSpan w:val="2"/>
            <w:shd w:val="clear" w:color="auto" w:fill="0000EE"/>
          </w:tcPr>
          <w:p>
            <w:pPr>
              <w:spacing w:after="0"/>
              <w:rPr>
                <w:sz w:val="2"/>
                <w:szCs w:val="2"/>
                <w:color w:val="auto"/>
              </w:rPr>
            </w:pPr>
          </w:p>
        </w:tc>
        <w:tc>
          <w:tcPr>
            <w:tcW w:w="1520" w:type="dxa"/>
            <w:vAlign w:val="bottom"/>
            <w:gridSpan w:val="2"/>
            <w:shd w:val="clear" w:color="auto" w:fill="0000EE"/>
          </w:tcPr>
          <w:p>
            <w:pPr>
              <w:spacing w:after="0"/>
              <w:rPr>
                <w:sz w:val="2"/>
                <w:szCs w:val="2"/>
                <w:color w:val="auto"/>
              </w:rPr>
            </w:pPr>
          </w:p>
        </w:tc>
        <w:tc>
          <w:tcPr>
            <w:tcW w:w="1060" w:type="dxa"/>
            <w:vAlign w:val="bottom"/>
            <w:gridSpan w:val="2"/>
            <w:shd w:val="clear" w:color="auto" w:fill="0000EE"/>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640" w:type="dxa"/>
            <w:vAlign w:val="bottom"/>
            <w:gridSpan w:val="5"/>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Item 9A.</w:t>
              </w:r>
            </w:hyperlink>
          </w:p>
        </w:tc>
        <w:tc>
          <w:tcPr>
            <w:tcW w:w="620" w:type="dxa"/>
            <w:vAlign w:val="bottom"/>
          </w:tcPr>
          <w:p>
            <w:pPr>
              <w:spacing w:after="0"/>
              <w:rPr>
                <w:sz w:val="22"/>
                <w:szCs w:val="22"/>
                <w:color w:val="auto"/>
              </w:rPr>
            </w:pPr>
          </w:p>
        </w:tc>
        <w:tc>
          <w:tcPr>
            <w:tcW w:w="2000" w:type="dxa"/>
            <w:vAlign w:val="bottom"/>
            <w:gridSpan w:val="9"/>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Controls and Procedures</w:t>
              </w:r>
            </w:hyperlink>
          </w:p>
        </w:tc>
        <w:tc>
          <w:tcPr>
            <w:tcW w:w="7400" w:type="dxa"/>
            <w:vAlign w:val="bottom"/>
            <w:gridSpan w:val="12"/>
          </w:tcPr>
          <w:p>
            <w:pPr>
              <w:spacing w:after="0"/>
              <w:rPr>
                <w:sz w:val="22"/>
                <w:szCs w:val="22"/>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Item 9B.</w:t>
              </w:r>
            </w:hyperlink>
          </w:p>
        </w:tc>
        <w:tc>
          <w:tcPr>
            <w:tcW w:w="620" w:type="dxa"/>
            <w:vAlign w:val="bottom"/>
          </w:tcPr>
          <w:p>
            <w:pPr>
              <w:spacing w:after="0"/>
              <w:rPr>
                <w:sz w:val="21"/>
                <w:szCs w:val="21"/>
                <w:color w:val="auto"/>
              </w:rPr>
            </w:pPr>
          </w:p>
        </w:tc>
        <w:tc>
          <w:tcPr>
            <w:tcW w:w="2000" w:type="dxa"/>
            <w:vAlign w:val="bottom"/>
            <w:gridSpan w:val="9"/>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7400" w:type="dxa"/>
            <w:vAlign w:val="bottom"/>
            <w:gridSpan w:val="12"/>
          </w:tcPr>
          <w:p>
            <w:pPr>
              <w:spacing w:after="0"/>
              <w:rPr>
                <w:sz w:val="21"/>
                <w:szCs w:val="21"/>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r>
      <w:tr>
        <w:trPr>
          <w:trHeight w:val="574"/>
        </w:trPr>
        <w:tc>
          <w:tcPr>
            <w:tcW w:w="40" w:type="dxa"/>
            <w:vAlign w:val="bottom"/>
          </w:tcPr>
          <w:p>
            <w:pPr>
              <w:spacing w:after="0"/>
              <w:rPr>
                <w:sz w:val="24"/>
                <w:szCs w:val="24"/>
                <w:color w:val="auto"/>
              </w:rPr>
            </w:pPr>
          </w:p>
        </w:tc>
        <w:tc>
          <w:tcPr>
            <w:tcW w:w="640" w:type="dxa"/>
            <w:vAlign w:val="bottom"/>
            <w:tcBorders>
              <w:top w:val="single" w:sz="8" w:color="0000EE"/>
            </w:tcBorders>
            <w:gridSpan w:val="5"/>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Part III</w:t>
              </w:r>
            </w:hyperlink>
          </w:p>
        </w:tc>
        <w:tc>
          <w:tcPr>
            <w:tcW w:w="6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10.</w:t>
              </w:r>
            </w:hyperlink>
          </w:p>
        </w:tc>
        <w:tc>
          <w:tcPr>
            <w:tcW w:w="940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Directors, Executive Officers, and Corporate Governance</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110</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11.</w:t>
              </w:r>
            </w:hyperlink>
          </w:p>
        </w:tc>
        <w:tc>
          <w:tcPr>
            <w:tcW w:w="940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Executive Compensation</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110</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6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12.</w:t>
              </w:r>
            </w:hyperlink>
          </w:p>
        </w:tc>
        <w:tc>
          <w:tcPr>
            <w:tcW w:w="940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Security Ownership of Certain Beneficial Owners and Management and Related Stockholder Matters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111</w:t>
              </w:r>
            </w:hyperlink>
          </w:p>
        </w:tc>
      </w:tr>
      <w:tr>
        <w:trPr>
          <w:trHeight w:val="27"/>
        </w:trPr>
        <w:tc>
          <w:tcPr>
            <w:tcW w:w="40" w:type="dxa"/>
            <w:vAlign w:val="bottom"/>
          </w:tcPr>
          <w:p>
            <w:pPr>
              <w:spacing w:after="0"/>
              <w:rPr>
                <w:sz w:val="2"/>
                <w:szCs w:val="2"/>
                <w:color w:val="auto"/>
              </w:rPr>
            </w:pPr>
          </w:p>
        </w:tc>
        <w:tc>
          <w:tcPr>
            <w:tcW w:w="640" w:type="dxa"/>
            <w:vAlign w:val="bottom"/>
            <w:gridSpan w:val="5"/>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680" w:type="dxa"/>
            <w:vAlign w:val="bottom"/>
            <w:gridSpan w:val="6"/>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560" w:type="dxa"/>
            <w:vAlign w:val="bottom"/>
            <w:gridSpan w:val="4"/>
            <w:shd w:val="clear" w:color="auto" w:fill="0000EE"/>
          </w:tcPr>
          <w:p>
            <w:pPr>
              <w:spacing w:after="0"/>
              <w:rPr>
                <w:sz w:val="2"/>
                <w:szCs w:val="2"/>
                <w:color w:val="auto"/>
              </w:rPr>
            </w:pPr>
          </w:p>
        </w:tc>
        <w:tc>
          <w:tcPr>
            <w:tcW w:w="1940" w:type="dxa"/>
            <w:vAlign w:val="bottom"/>
            <w:gridSpan w:val="3"/>
            <w:shd w:val="clear" w:color="auto" w:fill="0000EE"/>
          </w:tcPr>
          <w:p>
            <w:pPr>
              <w:spacing w:after="0"/>
              <w:rPr>
                <w:sz w:val="2"/>
                <w:szCs w:val="2"/>
                <w:color w:val="auto"/>
              </w:rPr>
            </w:pPr>
          </w:p>
        </w:tc>
        <w:tc>
          <w:tcPr>
            <w:tcW w:w="1380" w:type="dxa"/>
            <w:vAlign w:val="bottom"/>
            <w:gridSpan w:val="2"/>
          </w:tcPr>
          <w:p>
            <w:pPr>
              <w:spacing w:after="0"/>
              <w:rPr>
                <w:sz w:val="2"/>
                <w:szCs w:val="2"/>
                <w:color w:val="auto"/>
              </w:rPr>
            </w:pPr>
          </w:p>
        </w:tc>
        <w:tc>
          <w:tcPr>
            <w:tcW w:w="420" w:type="dxa"/>
            <w:vAlign w:val="bottom"/>
            <w:gridSpan w:val="4"/>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26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13.</w:t>
              </w:r>
            </w:hyperlink>
          </w:p>
        </w:tc>
        <w:tc>
          <w:tcPr>
            <w:tcW w:w="940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Certain Relationships and Related Transactions, and Director Independence</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111</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14.</w:t>
              </w:r>
            </w:hyperlink>
          </w:p>
        </w:tc>
        <w:tc>
          <w:tcPr>
            <w:tcW w:w="940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Principal Accountant Fees and Services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111</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15.</w:t>
              </w:r>
            </w:hyperlink>
          </w:p>
        </w:tc>
        <w:tc>
          <w:tcPr>
            <w:tcW w:w="9400" w:type="dxa"/>
            <w:vAlign w:val="bottom"/>
            <w:gridSpan w:val="21"/>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Exhibits and Financial Statement Schedules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112</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16.</w:t>
              </w:r>
            </w:hyperlink>
          </w:p>
        </w:tc>
        <w:tc>
          <w:tcPr>
            <w:tcW w:w="9400" w:type="dxa"/>
            <w:vAlign w:val="bottom"/>
            <w:gridSpan w:val="21"/>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Form 10-K Summary</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113</w:t>
              </w:r>
            </w:hyperlink>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682"/>
        </w:trPr>
        <w:tc>
          <w:tcPr>
            <w:tcW w:w="460" w:type="dxa"/>
            <w:vAlign w:val="bottom"/>
            <w:gridSpan w:val="2"/>
          </w:tcPr>
          <w:p>
            <w:pPr>
              <w:jc w:val="right"/>
              <w:ind w:right="270"/>
              <w:spacing w:after="0"/>
              <w:rPr>
                <w:sz w:val="20"/>
                <w:szCs w:val="20"/>
                <w:color w:val="auto"/>
              </w:rPr>
            </w:pPr>
            <w:r>
              <w:rPr>
                <w:rFonts w:ascii="Arial" w:cs="Arial" w:eastAsia="Arial" w:hAnsi="Arial"/>
                <w:sz w:val="18"/>
                <w:szCs w:val="18"/>
                <w:b w:val="1"/>
                <w:bCs w:val="1"/>
                <w:i w:val="1"/>
                <w:iCs w:val="1"/>
                <w:color w:val="auto"/>
                <w:w w:val="79"/>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240" w:top="549" w:right="5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CC0000"/>
        </w:rPr>
        <w:t>Forward-Looking Statements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Annual Report on Form 10-K includes forward-looking statements within the meaning of Section 27A of the Securities Act of 1933, Section</w:t>
      </w:r>
      <w:r>
        <w:rPr>
          <w:rFonts w:ascii="Arial" w:cs="Arial" w:eastAsia="Arial" w:hAnsi="Arial"/>
          <w:sz w:val="20"/>
          <w:szCs w:val="20"/>
          <w:color w:val="auto"/>
        </w:rPr>
        <w:t xml:space="preserve"> </w:t>
      </w:r>
      <w:r>
        <w:rPr>
          <w:rFonts w:ascii="Arial" w:cs="Arial" w:eastAsia="Arial" w:hAnsi="Arial"/>
          <w:sz w:val="18"/>
          <w:szCs w:val="18"/>
          <w:color w:val="auto"/>
        </w:rPr>
        <w:t>21E of the Securities Exchange Act of 1934 (Exchange Act), and the Private Securities Litigation Reform Act of 1995.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“Business,” “Risk Factors,” and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1300" w:right="30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in the pharmaceutical research and development process, including with respect to the timing of anticipated regulatory approvals and launches of new products;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1300" w:right="52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34" w:lineRule="exact"/>
        <w:rPr>
          <w:rFonts w:ascii="Arial" w:cs="Arial" w:eastAsia="Arial" w:hAnsi="Arial"/>
          <w:sz w:val="18"/>
          <w:szCs w:val="18"/>
          <w:color w:val="auto"/>
        </w:rPr>
      </w:pPr>
    </w:p>
    <w:p>
      <w:pPr>
        <w:ind w:left="1300" w:right="6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misappropriation, or compromise of trade secrets or other confidential data stored in our information systems, networks, and facilities, or those of third parties with whom we share our data;</w:t>
      </w:r>
    </w:p>
    <w:p>
      <w:pPr>
        <w:spacing w:after="0" w:line="34" w:lineRule="exact"/>
        <w:rPr>
          <w:rFonts w:ascii="Arial" w:cs="Arial" w:eastAsia="Arial" w:hAnsi="Arial"/>
          <w:sz w:val="18"/>
          <w:szCs w:val="18"/>
          <w:color w:val="auto"/>
        </w:rPr>
      </w:pPr>
    </w:p>
    <w:p>
      <w:pPr>
        <w:ind w:left="1300" w:right="36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including the impact of United States tax reform legislation enacted in December 2017 and related guidance, or events that differ from our assumptions related to tax positions;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48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Investors should not place undue reliance on forward-looking statements. You should carefully read the factors described in the “Risk Factors” section of this Annual Report on Form 10-K for a description of certain risks that could, among other things, cause our actual results to differ from these forward-looking statements.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w:t>
      </w:r>
    </w:p>
    <w:p>
      <w:pPr>
        <w:sectPr>
          <w:pgSz w:w="11900" w:h="16838" w:orient="portrait"/>
          <w:cols w:equalWidth="0" w:num="1">
            <w:col w:w="11420"/>
          </w:cols>
          <w:pgMar w:left="240" w:top="535" w:right="239" w:bottom="1440" w:gutter="0" w:footer="0" w:header="0"/>
        </w:sectPr>
      </w:pPr>
    </w:p>
    <w:bookmarkStart w:id="3" w:name="page4"/>
    <w:bookmarkEnd w:id="3"/>
    <w:p>
      <w:pPr>
        <w:spacing w:after="0" w:line="256"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this report. Except as is required by law, we expressly disclaim any obligation to publicly release any revisions to forward-looking statements to reflect events after the date of this report.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p>
    <w:p>
      <w:pPr>
        <w:sectPr>
          <w:pgSz w:w="11900" w:h="16838" w:orient="portrait"/>
          <w:cols w:equalWidth="0" w:num="1">
            <w:col w:w="11300"/>
          </w:cols>
          <w:pgMar w:left="240" w:top="679" w:right="35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auto"/>
        </w:rPr>
        <w:t>Part 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  Business</w:t>
      </w:r>
    </w:p>
    <w:p>
      <w:pPr>
        <w:spacing w:after="0" w:line="20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Eli Lilly and Company (the “company” or “registrant” or "Lilly") was incorporated in 1901 in Indiana to succeed to the drug manufacturing business founded in Indianapolis, Indiana, in 1876 by Colonel Eli Lilly. We discover, develop, manufacture, and market products in a single business segment—human pharmaceutical products.</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Most of the products we sell today were discovered or developed by our own scientists, and our success depends to a great extent on our ability to continue to discover or acquire, develop, and bring to market innovative new medicines.</w:t>
      </w:r>
    </w:p>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September 2018 Elanco Animal Health Incorporated (Elanco), an animal health business previously wholly owned by the company, completed an initial public offering of its common stock, which trades on the New York Stock Exchange, and in March 2019, we completed the disposition of our remaining ownership of Elanco common stock. For more information on the exchange offer, see Item 7, “Management’s Discussion and Analysis - Results of Operations - Executive Overview”.</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manufacture and distribute our products through facilities in the United States (U.S.), Puerto Rico, and 8 other countries. Our products are sold in approximately 120 countries.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include: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and other endocrinology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260" w:hanging="328"/>
        <w:spacing w:after="0" w:line="24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Baqsimi</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(glucagon), a nasal powder formulation for the treatment of severe hypoglycemia in patients with diabetes (approved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and Europe in 2019)</w:t>
      </w:r>
    </w:p>
    <w:p>
      <w:pPr>
        <w:spacing w:after="0" w:line="88" w:lineRule="exact"/>
        <w:rPr>
          <w:rFonts w:ascii="Arial" w:cs="Arial" w:eastAsia="Arial" w:hAnsi="Arial"/>
          <w:sz w:val="18"/>
          <w:szCs w:val="18"/>
          <w:color w:val="auto"/>
        </w:rPr>
      </w:pPr>
    </w:p>
    <w:p>
      <w:pPr>
        <w:ind w:left="660" w:right="160" w:hanging="328"/>
        <w:spacing w:after="0" w:line="265"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Basaglar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(insulin glargine injection), a long-acting human insulin analog for the treatment of diabetes (launched in Japan and Europe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trade name Abasaglar</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p>
    <w:p>
      <w:pPr>
        <w:spacing w:after="0" w:line="6" w:lineRule="exact"/>
        <w:rPr>
          <w:rFonts w:ascii="Arial" w:cs="Arial" w:eastAsia="Arial" w:hAnsi="Arial"/>
          <w:sz w:val="18"/>
          <w:szCs w:val="18"/>
          <w:i w:val="1"/>
          <w:iCs w:val="1"/>
          <w:color w:val="auto"/>
        </w:rPr>
      </w:pPr>
    </w:p>
    <w:p>
      <w:pPr>
        <w:ind w:left="660" w:right="240" w:hanging="328"/>
        <w:spacing w:after="0" w:line="24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osteoporosis in postmenopausal women and men at high risk for fracture and for glucocorticoid-induced</w:t>
      </w:r>
      <w:r>
        <w:rPr>
          <w:rFonts w:ascii="Arial" w:cs="Arial" w:eastAsia="Arial" w:hAnsi="Arial"/>
          <w:sz w:val="18"/>
          <w:szCs w:val="18"/>
          <w:i w:val="1"/>
          <w:iCs w:val="1"/>
          <w:color w:val="auto"/>
        </w:rPr>
        <w:t xml:space="preserve"> </w:t>
      </w:r>
      <w:r>
        <w:rPr>
          <w:rFonts w:ascii="Arial" w:cs="Arial" w:eastAsia="Arial" w:hAnsi="Arial"/>
          <w:sz w:val="18"/>
          <w:szCs w:val="18"/>
          <w:color w:val="auto"/>
        </w:rPr>
        <w:t>osteoporosis in men and postmenopausal women</w:t>
      </w:r>
    </w:p>
    <w:p>
      <w:pPr>
        <w:spacing w:after="0" w:line="88" w:lineRule="exact"/>
        <w:rPr>
          <w:rFonts w:ascii="Arial" w:cs="Arial" w:eastAsia="Arial" w:hAnsi="Arial"/>
          <w:sz w:val="18"/>
          <w:szCs w:val="18"/>
          <w:color w:val="auto"/>
        </w:rPr>
      </w:pPr>
    </w:p>
    <w:p>
      <w:pPr>
        <w:ind w:left="660" w:right="680" w:hanging="328"/>
        <w:spacing w:after="0" w:line="242"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Humalog Mix 75/25, Humalog U-100, Humalog U-200, Humalog Mix 50/50</w:t>
      </w:r>
      <w:r>
        <w:rPr>
          <w:rFonts w:ascii="Arial" w:cs="Arial" w:eastAsia="Arial" w:hAnsi="Arial"/>
          <w:sz w:val="18"/>
          <w:szCs w:val="18"/>
          <w:color w:val="auto"/>
        </w:rPr>
        <w:t>, and</w:t>
      </w:r>
      <w:r>
        <w:rPr>
          <w:rFonts w:ascii="Arial" w:cs="Arial" w:eastAsia="Arial" w:hAnsi="Arial"/>
          <w:sz w:val="18"/>
          <w:szCs w:val="18"/>
          <w:i w:val="1"/>
          <w:iCs w:val="1"/>
          <w:color w:val="auto"/>
        </w:rPr>
        <w:t xml:space="preserve"> insulin lispro, </w:t>
      </w:r>
      <w:r>
        <w:rPr>
          <w:rFonts w:ascii="Arial" w:cs="Arial" w:eastAsia="Arial" w:hAnsi="Arial"/>
          <w:sz w:val="18"/>
          <w:szCs w:val="18"/>
          <w:color w:val="auto"/>
        </w:rPr>
        <w:t>insulin analogs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diabetes</w:t>
      </w:r>
    </w:p>
    <w:p>
      <w:pPr>
        <w:spacing w:after="0" w:line="88"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Humatrope</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human growth hormone deficiency and certain pediatric growth conditions</w:t>
      </w:r>
    </w:p>
    <w:p>
      <w:pPr>
        <w:spacing w:after="0" w:line="82" w:lineRule="exact"/>
        <w:rPr>
          <w:rFonts w:ascii="Arial" w:cs="Arial" w:eastAsia="Arial" w:hAnsi="Arial"/>
          <w:sz w:val="18"/>
          <w:szCs w:val="18"/>
          <w:color w:val="auto"/>
        </w:rPr>
      </w:pPr>
    </w:p>
    <w:p>
      <w:pPr>
        <w:ind w:left="660" w:right="200" w:hanging="328"/>
        <w:spacing w:after="0" w:line="242"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Humulin 70/30, Humulin N, Humulin R, </w:t>
      </w:r>
      <w:r>
        <w:rPr>
          <w:rFonts w:ascii="Arial" w:cs="Arial" w:eastAsia="Arial" w:hAnsi="Arial"/>
          <w:sz w:val="18"/>
          <w:szCs w:val="18"/>
          <w:color w:val="auto"/>
        </w:rPr>
        <w:t>and</w:t>
      </w:r>
      <w:r>
        <w:rPr>
          <w:rFonts w:ascii="Arial" w:cs="Arial" w:eastAsia="Arial" w:hAnsi="Arial"/>
          <w:sz w:val="18"/>
          <w:szCs w:val="18"/>
          <w:i w:val="1"/>
          <w:iCs w:val="1"/>
          <w:color w:val="auto"/>
        </w:rPr>
        <w:t xml:space="preserve"> Humulin U-500, </w:t>
      </w:r>
      <w:r>
        <w:rPr>
          <w:rFonts w:ascii="Arial" w:cs="Arial" w:eastAsia="Arial" w:hAnsi="Arial"/>
          <w:sz w:val="18"/>
          <w:szCs w:val="18"/>
          <w:color w:val="auto"/>
        </w:rPr>
        <w:t>human insulins of recombinant DNA origin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w:t>
      </w:r>
    </w:p>
    <w:p>
      <w:pPr>
        <w:spacing w:after="0" w:line="88" w:lineRule="exact"/>
        <w:rPr>
          <w:rFonts w:ascii="Arial" w:cs="Arial" w:eastAsia="Arial" w:hAnsi="Arial"/>
          <w:sz w:val="18"/>
          <w:szCs w:val="18"/>
          <w:i w:val="1"/>
          <w:iCs w:val="1"/>
          <w:color w:val="auto"/>
        </w:rPr>
      </w:pPr>
    </w:p>
    <w:p>
      <w:pPr>
        <w:ind w:left="660" w:right="20" w:hanging="328"/>
        <w:spacing w:after="0" w:line="24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Jardiance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 and to reduce the risk of cardiovascular death in adult patients with type 2 diabetes and</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cardiovascular disease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Trajenta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type 2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18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Olumiant</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adults with moderately-to-severely active rheumatoid arthritis (approved in Europe and Japan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in the U.S. in 2018)</w:t>
      </w:r>
    </w:p>
    <w:p>
      <w:pPr>
        <w:spacing w:after="0" w:line="88" w:lineRule="exact"/>
        <w:rPr>
          <w:rFonts w:ascii="Arial" w:cs="Arial" w:eastAsia="Arial" w:hAnsi="Arial"/>
          <w:sz w:val="18"/>
          <w:szCs w:val="18"/>
          <w:color w:val="auto"/>
        </w:rPr>
      </w:pPr>
    </w:p>
    <w:p>
      <w:pPr>
        <w:ind w:left="660" w:right="180" w:hanging="328"/>
        <w:spacing w:after="0" w:line="242"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moderate-to-severe plaque psoriasis, active psoriatic arthritis (approved in the U.S. in 2017, and in Europe</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and ankylosing spondylitis (approved in the U.S. in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Neuroscience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840" w:hanging="328"/>
        <w:spacing w:after="0" w:line="24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major depressive disorder, diabetic peripheral neuropathic pain, generalized anxiety disorder,</w:t>
      </w:r>
      <w:r>
        <w:rPr>
          <w:rFonts w:ascii="Arial" w:cs="Arial" w:eastAsia="Arial" w:hAnsi="Arial"/>
          <w:sz w:val="18"/>
          <w:szCs w:val="18"/>
          <w:i w:val="1"/>
          <w:iCs w:val="1"/>
          <w:color w:val="auto"/>
        </w:rPr>
        <w:t xml:space="preserve"> </w:t>
      </w:r>
      <w:r>
        <w:rPr>
          <w:rFonts w:ascii="Arial" w:cs="Arial" w:eastAsia="Arial" w:hAnsi="Arial"/>
          <w:sz w:val="18"/>
          <w:szCs w:val="18"/>
          <w:color w:val="auto"/>
        </w:rPr>
        <w:t>fibromyalgia, and chronic musculoskeletal pain due to chronic low back pain or chronic pain due to osteoarthritis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w:t>
      </w:r>
    </w:p>
    <w:p>
      <w:pPr>
        <w:sectPr>
          <w:pgSz w:w="11900" w:h="16838" w:orient="portrait"/>
          <w:cols w:equalWidth="0" w:num="1">
            <w:col w:w="11420"/>
          </w:cols>
          <w:pgMar w:left="240" w:top="535" w:right="239" w:bottom="1440" w:gutter="0" w:footer="0" w:header="0"/>
        </w:sectPr>
      </w:pPr>
    </w:p>
    <w:bookmarkStart w:id="5" w:name="page6"/>
    <w:bookmarkEnd w:id="5"/>
    <w:p>
      <w:pPr>
        <w:ind w:left="660" w:hanging="328"/>
        <w:spacing w:after="0" w:line="24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Emgality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once-monthly subcutaneously injected calcitonin gene-related peptide (CGRP) antibody for migraine prevention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U.S. and Europe in 2018) and the treatment of episodic cluster headache (approved in the U.S. in 2019)</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Reyvow</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an oral medicine for the acute treatment of migraine (launched in the U.S. in 2020)</w:t>
      </w:r>
    </w:p>
    <w:p>
      <w:pPr>
        <w:spacing w:after="0" w:line="82"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attention-deficit hyperactivity disorder</w:t>
      </w:r>
    </w:p>
    <w:p>
      <w:pPr>
        <w:spacing w:after="0" w:line="82" w:lineRule="exact"/>
        <w:rPr>
          <w:rFonts w:ascii="Arial" w:cs="Arial" w:eastAsia="Arial" w:hAnsi="Arial"/>
          <w:sz w:val="18"/>
          <w:szCs w:val="18"/>
          <w:i w:val="1"/>
          <w:iCs w:val="1"/>
          <w:color w:val="auto"/>
        </w:rPr>
      </w:pPr>
    </w:p>
    <w:p>
      <w:pPr>
        <w:ind w:left="660" w:right="1000" w:hanging="328"/>
        <w:spacing w:after="0" w:line="24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schizophrenia, acute mixed or manic episodes associated with bipolar I disorder, and bipolar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340" w:hanging="328"/>
        <w:spacing w:after="0" w:line="24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Alimta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first-line treatment, in combination with another agent, of advanced non-small cell lung cancer (NSCLC) for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non-squamous cell histology; for the second-line treatment of advanced non-squamous NSCLC; as monotherapy for the maintenance treatment of advanced non-squamous NSCLC in patients whose disease has not progressed immediately following chemotherapy treatment; and in combination with another agent, for the treatment of malignant pleural mesothelioma</w:t>
      </w:r>
    </w:p>
    <w:p>
      <w:pPr>
        <w:spacing w:after="0" w:line="84" w:lineRule="exact"/>
        <w:rPr>
          <w:rFonts w:ascii="Arial" w:cs="Arial" w:eastAsia="Arial" w:hAnsi="Arial"/>
          <w:sz w:val="18"/>
          <w:szCs w:val="18"/>
          <w:color w:val="auto"/>
        </w:rPr>
      </w:pPr>
    </w:p>
    <w:p>
      <w:pPr>
        <w:ind w:left="660" w:right="60" w:hanging="328"/>
        <w:spacing w:after="0" w:line="248"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use as a single agent or in combination with another agent as a second-line treatment of advanced or metastatic gastric</w:t>
      </w:r>
      <w:r>
        <w:rPr>
          <w:rFonts w:ascii="Arial" w:cs="Arial" w:eastAsia="Arial" w:hAnsi="Arial"/>
          <w:sz w:val="18"/>
          <w:szCs w:val="18"/>
          <w:i w:val="1"/>
          <w:iCs w:val="1"/>
          <w:color w:val="auto"/>
        </w:rPr>
        <w:t xml:space="preserve"> </w:t>
      </w:r>
      <w:r>
        <w:rPr>
          <w:rFonts w:ascii="Arial" w:cs="Arial" w:eastAsia="Arial" w:hAnsi="Arial"/>
          <w:sz w:val="18"/>
          <w:szCs w:val="18"/>
          <w:color w:val="auto"/>
        </w:rPr>
        <w:t>cancer or gastro-esophageal junction adenocarcinoma; in combination with another agent as a second-line treatment of metastatic NSCLC; in combination with another agent as a second-line treatment of metastatic colorectal cancer; as a single agent as a second-line treatment of hepatocellular carcinoma (approved in the U.S. in 2019); and in combination with another agent as a first-line treatment of adult patients with metastatic NSCLC with activating epidermal growth factor receptor (EGFR) mutations (approved in Europe in 2020)</w:t>
      </w:r>
    </w:p>
    <w:p>
      <w:pPr>
        <w:spacing w:after="0" w:line="85" w:lineRule="exact"/>
        <w:rPr>
          <w:rFonts w:ascii="Arial" w:cs="Arial" w:eastAsia="Arial" w:hAnsi="Arial"/>
          <w:sz w:val="18"/>
          <w:szCs w:val="18"/>
          <w:i w:val="1"/>
          <w:iCs w:val="1"/>
          <w:color w:val="auto"/>
        </w:rPr>
      </w:pPr>
    </w:p>
    <w:p>
      <w:pPr>
        <w:ind w:left="660" w:right="8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Erbitux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both as a single agent and in combination with another chemotherapy agent for the treatment of certain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colorectal cancers; and as a single agent, in combination with chemotherapy, or in combination with radiation therapy for the treatment of certain types of head and neck cancers</w:t>
      </w:r>
    </w:p>
    <w:p>
      <w:pPr>
        <w:spacing w:after="0" w:line="84" w:lineRule="exact"/>
        <w:rPr>
          <w:rFonts w:ascii="Arial" w:cs="Arial" w:eastAsia="Arial" w:hAnsi="Arial"/>
          <w:sz w:val="18"/>
          <w:szCs w:val="18"/>
          <w:color w:val="auto"/>
        </w:rPr>
      </w:pPr>
    </w:p>
    <w:p>
      <w:pPr>
        <w:ind w:left="660" w:right="160" w:hanging="328"/>
        <w:spacing w:after="0" w:line="24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Verzenio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use as a single agent and in combination with endocrine therapy for the treatment of a certain type of metastatic breast</w:t>
      </w:r>
      <w:r>
        <w:rPr>
          <w:rFonts w:ascii="Arial" w:cs="Arial" w:eastAsia="Arial" w:hAnsi="Arial"/>
          <w:sz w:val="18"/>
          <w:szCs w:val="18"/>
          <w:i w:val="1"/>
          <w:iCs w:val="1"/>
          <w:color w:val="auto"/>
        </w:rPr>
        <w:t xml:space="preserve"> </w:t>
      </w:r>
      <w:r>
        <w:rPr>
          <w:rFonts w:ascii="Arial" w:cs="Arial" w:eastAsia="Arial" w:hAnsi="Arial"/>
          <w:sz w:val="18"/>
          <w:szCs w:val="18"/>
          <w:color w:val="auto"/>
        </w:rPr>
        <w:t>cancer (approved in the U.S. in 2017 and in Europe and Japan in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erectile dysfunction and benign prostatic hyperplasia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Marketing</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U.S., most of our products are distributed through wholesalers that serve pharmacies, physicians and other health care professionals, and hospitals. In 2019, 2018, and 2017, three wholesale distributors in the U.S. - McKesson Corporation, AmerisourceBergen Corporation, and Cardinal Health, Inc. - each accounted for between 14 percent and 21 percent of our consolidated total revenue. No other distributor accounted for more than 10 percent of our consolidated total revenue in any of those years.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promote our major products in the U.S. through sales representatives who call upon physicians and other health care professionals. We also promote to healthcare providers in medical journals and on-line health care channels, distribute literature and samples of certain products to physicians, and exhibit at medical meetings. In addition, we advertise certain products directly to consumers in the U.S., and we maintain websites with information about our major products. We supplement our employee sales force with contract sales organizations to leverage our own resources.</w:t>
      </w:r>
    </w:p>
    <w:p>
      <w:pPr>
        <w:spacing w:after="0" w:line="97"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We maintain special business groups to service wholesalers, pharmacy benefit managers, managed care organizations, group purchasing organizations, government and long-term care institutions, hospitals, and certain retail pharmacies. We enter into arrangements with these organizations providing for discounts or rebates on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w:t>
      </w:r>
    </w:p>
    <w:p>
      <w:pPr>
        <w:sectPr>
          <w:pgSz w:w="11900" w:h="16838" w:orient="portrait"/>
          <w:cols w:equalWidth="0" w:num="1">
            <w:col w:w="11400"/>
          </w:cols>
          <w:pgMar w:left="240" w:top="66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Outside the U.S.</w:t>
      </w:r>
    </w:p>
    <w:p>
      <w:pPr>
        <w:spacing w:after="0" w:line="24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Outside the U.S., we promote our products to healthcare providers primarily through sales representatives and on-line health care channels. While the products marketed vary from country to country, diabetes and other endocrinology products constitute the largest single group in consolidated revenue. Distribution patterns vary from country to country. In most countries in which we operate, we maintain our own sales organizations, but in some smaller countries we market our products through independent distributors.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Collaborations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products are marketed in arrangements with other pharmaceutical companies, including the following:</w:t>
      </w:r>
    </w:p>
    <w:p>
      <w:pPr>
        <w:spacing w:after="0" w:line="117" w:lineRule="exact"/>
        <w:rPr>
          <w:sz w:val="20"/>
          <w:szCs w:val="20"/>
          <w:color w:val="auto"/>
        </w:rPr>
      </w:pPr>
    </w:p>
    <w:p>
      <w:pPr>
        <w:ind w:left="660" w:right="600" w:hanging="328"/>
        <w:spacing w:after="0" w:line="28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Boehringer Ingelheim have a global agreement to develop and commercialize a portfolio of diabetes products, including Trajenta,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 Glyxambi</w:t>
      </w:r>
      <w:r>
        <w:rPr>
          <w:rFonts w:ascii="Arial" w:cs="Arial" w:eastAsia="Arial" w:hAnsi="Arial"/>
          <w:sz w:val="21"/>
          <w:szCs w:val="21"/>
          <w:color w:val="auto"/>
          <w:vertAlign w:val="superscript"/>
        </w:rPr>
        <w:t>®</w:t>
      </w:r>
      <w:r>
        <w:rPr>
          <w:rFonts w:ascii="Arial" w:cs="Arial" w:eastAsia="Arial" w:hAnsi="Arial"/>
          <w:sz w:val="18"/>
          <w:szCs w:val="18"/>
          <w:color w:val="auto"/>
        </w:rPr>
        <w:t>, Synjardy</w:t>
      </w:r>
      <w:r>
        <w:rPr>
          <w:rFonts w:ascii="Arial" w:cs="Arial" w:eastAsia="Arial" w:hAnsi="Arial"/>
          <w:sz w:val="21"/>
          <w:szCs w:val="21"/>
          <w:color w:val="auto"/>
          <w:vertAlign w:val="superscript"/>
        </w:rPr>
        <w:t>®</w:t>
      </w:r>
      <w:r>
        <w:rPr>
          <w:rFonts w:ascii="Arial" w:cs="Arial" w:eastAsia="Arial" w:hAnsi="Arial"/>
          <w:sz w:val="18"/>
          <w:szCs w:val="18"/>
          <w:color w:val="auto"/>
        </w:rPr>
        <w:t>, Trijardy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XR, and Basaglar.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additional information, see Item 8, "Financial Statements and Supplementary Data - Note 4, Collaborations and Other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Competition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products compete globally with products of many other companies in highly competitive markets.</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Important competitive factors include effectiveness, safety, and ease of use; price and demonstrated cost-effectiveness; marketing effectiveness; and research and development of new products, processes, and uses. Most new products that we introduce must compete with other branded or generic products already on the market or products that are later developed by competitors. If competitors introduce new products or delivery systems with therapeutic or cost advantages, our products can be subject to decreased sales, progressive price reductions, or both.</w:t>
      </w:r>
    </w:p>
    <w:p>
      <w:pPr>
        <w:spacing w:after="0" w:line="9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believe our long-term competitive success depends upon discovering and developing (either alone or in collaboration with others) or acquiring innovative, cost-effective products that provide improved outcomes and deliver value to payers, and continuously improving the productivity of our operations in a highly competitive environment. There can be no assurance that our efforts will result in commercially successful products, and it is possible that our products will be, or become, uncompetitive from time to time as a result of products developed by our competitors.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One of the biggest competitive challenges we face is from generic pharmaceuticals. In the U.S. and Europe, the regulatory approval process for pharmaceuticals (other than biological products (biologics)) exempts generics from costly and time-consuming clinical trials to demonstrate their safety and efficacy, allowing generic manufacturers to rely on the safety and efficacy of the innovator product. Therefore, generic manufacturers generally invest far less than we do in research and development and can price their products much lower than our branded products. Accordingly, when a branded non-biologic pharmaceutical loses its market exclusivity, it normally faces intense price competition from generic forms of the product. Public and private payers typically encourage the use of generics as alternatives to brand-name drugs in their healthcare programs. Laws in the U.S. generally allow, and in many cases require, pharmacists to substitute generic drugs that have been rated under government procedures to be essentially equivalent to a brand-name drug. Where substitution is mandatory, it must be made unless the prescribing physician expressly forbids it. In many countries outside the U.S., intellectual property protection is weak, and we must compete with generic or counterfeit versions of our products.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Several of our current products, including Cyramza, Emgality, Erbitux, Taltz, and Trulicity and many of the new molecular entities (NMEs) in our research pipeline are biologics. Competition for Lilly’s biologics may be affected by the approval of follow-on biologics, also known as biosimilars. A biosimilar is a subsequent version of an approved innovator biologic that, due to its functional and structural similarity to the innovator biologic, is approved based on an abbreviated data package that relies in part on the full testing required of the innovator biologic. Globally, most governments have developed regulatory pathways to approve biosimilars as alternatives to innovator-developed biologics, but the patent and regulatory exclusivity for the existing innovator biologic must expire in a given market before biosimilars may enter that market. The extent to which a biosimilar, once approved, will be substituted for the innovator biologic in a way that is similar to traditional generic substitution for</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w:t>
      </w:r>
    </w:p>
    <w:p>
      <w:pPr>
        <w:sectPr>
          <w:pgSz w:w="11900" w:h="16838" w:orient="portrait"/>
          <w:cols w:equalWidth="0" w:num="1">
            <w:col w:w="11420"/>
          </w:cols>
          <w:pgMar w:left="240" w:top="65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non-biologic products, is not yet entirely clear, and will depend on a number of regulatory and marketplace factors that are still developing.</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Biosimilars may present both competitive challenges and opportunities. For example, a competitor company has developed a version of insulin lispro which competes with our product Humalog. On the other hand, with our partner Boehringer Ingelheim, we developed Basaglar, a new insulin glargine product, which has the same amino acid sequence as a product currently marketed by a competitor and has launched as a follow-on biologic in the U.S., and as a biosimilar in Europe and Japan. In March 2020, the U.S. regulatory status of all of our insulin products will transition to become regulated as “biologics” rather than “drugs.” Based on recent U.S. Food and Drug Administration (FDA) draft guidance, this change may lower the requirements for competitor biosimilar products to enter the market, some of which could be designated as interchangeable and therefore substituted for our insulin products at U.S. pharmacies.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Dynamics</w:t>
      </w:r>
    </w:p>
    <w:p>
      <w:pPr>
        <w:spacing w:after="0" w:line="13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 the U.S. private sector, consolidation and integration among healthcare providers is also a major factor in the competitive marketplace for pharmaceuticals. Health plans and pharmacy benefit managers have been consolidating into fewer, larger entities, thus enhancing their purchasing strength and importance. For example, in 2018 CVS Health, a large pharmacy benefit manager and pharmacy chain, acquired Aetna, a large national insurer, and Cigna Corporation acquired Express Scripts in a similar transaction. More recently, in December 2019, Express Scripts signed a three-year partnership agreement with another pharmacy benefit manager, Prime Therapeutics.</w:t>
      </w:r>
    </w:p>
    <w:p>
      <w:pPr>
        <w:spacing w:after="0" w:line="9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efficacy, safety profile, or patient ease of use, but also by providing rebates. Value-based agreements, where pricing is based on achievement, or not, of specified outcomes,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are expected to continue to negatively affect our future consolidated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We own, have applied for, or are licensed under, a large number of patents in the U.S. and many other countries relating to products, product uses, formulations, and manufacturing processes. In addition, as discussed below, for some products we have effective intellectual property protection in the form of data protection under pharmaceutical regulatory laws.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patent protection anticipated to be of most relevance to pharmaceuticals is provided by national patents claiming the active ingredient (the compound patent), particularly those in major markets such as the U.S., various European countries, and Japan. These patents may be issued based upon the filing of international patent applications, usually filed under the Patent Cooperation Treaty (PCT). Patent applications covering compounds are generally filed during the Discovery Phase of the drug discovery process, which is described in the “Research and Development” section below. In general, national patents in each relevant country are available for a period of 20 years from the filing date of the PCT application, which is often years prior to the launch of a commercial product. Further patent term adjustments and restorations may extend the original patent term:</w:t>
      </w:r>
    </w:p>
    <w:p>
      <w:pPr>
        <w:spacing w:after="0" w:line="99" w:lineRule="exact"/>
        <w:rPr>
          <w:sz w:val="20"/>
          <w:szCs w:val="20"/>
          <w:color w:val="auto"/>
        </w:rPr>
      </w:pPr>
    </w:p>
    <w:p>
      <w:pPr>
        <w:ind w:left="660" w:right="4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 term adjustment is a statutory right available to all U.S. patent applicants to provide relief in the event that a patent grant is delayed during examination by the United States Patent and Trademark Office (USPTO).</w:t>
      </w:r>
    </w:p>
    <w:p>
      <w:pPr>
        <w:spacing w:after="0" w:line="88"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 term restoration is a statutory right provided to U.S. patent holders that claim inventions subject to review by the FDA. To make up for a portion of the time invested in clinical trials and the FDA review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p>
    <w:p>
      <w:pPr>
        <w:sectPr>
          <w:pgSz w:w="11900" w:h="16838" w:orient="portrait"/>
          <w:cols w:equalWidth="0" w:num="1">
            <w:col w:w="11400"/>
          </w:cols>
          <w:pgMar w:left="240" w:top="679" w:right="259" w:bottom="1440" w:gutter="0" w:footer="0" w:header="0"/>
        </w:sectPr>
      </w:pPr>
    </w:p>
    <w:bookmarkStart w:id="8" w:name="page9"/>
    <w:bookmarkEnd w:id="8"/>
    <w:p>
      <w:pPr>
        <w:ind w:left="660" w:right="40"/>
        <w:spacing w:after="0" w:line="252" w:lineRule="auto"/>
        <w:rPr>
          <w:sz w:val="20"/>
          <w:szCs w:val="20"/>
          <w:color w:val="auto"/>
        </w:rPr>
      </w:pPr>
      <w:r>
        <w:rPr>
          <w:rFonts w:ascii="Arial" w:cs="Arial" w:eastAsia="Arial" w:hAnsi="Arial"/>
          <w:sz w:val="18"/>
          <w:szCs w:val="18"/>
          <w:color w:val="auto"/>
        </w:rPr>
        <w:t>process, a single patent for a pharmaceutical product may be eligible for patent term restoration. Patent term restoration is limited by a formula and cannot be calculated until product approval due to uncertainty about the duration of clinical trials and the time it takes the FDA to review an application. There is a five-year cap on any restoration, and no patent's expiration date may be extended beyond 14 years from FDA approval. Some countries outside the U.S. also offer forms of patent term restoration. For example, Supplementary Protection Certificates are available to extend the life of a European patent up to an additional five years (subject to a 15-year cap from European Medicines Agency (EMA) approval). Similarly, in Japan, South Korea, and Australia, patent terms can be extended up to five years, depending on the length of regulatory review and other factors.</w:t>
      </w:r>
    </w:p>
    <w:p>
      <w:pPr>
        <w:spacing w:after="0" w:line="9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Loss of effective patent protection for pharmaceuticals, especially for non-biologic products, typically results in the loss of effective market exclusivity for the product, which often results in severe and rapid decline in revenues for the product. However, in some cases the innovator company may be protected from approval of generic, biosimilar, or other follow-on versions of a new medicine beyond the expiration of the compound patent through manufacturing trade secrets, later-expiring patents on manufacturing processes, methods of use or formulations, or data protection that may be available under pharmaceutical regulatory laws. Changes to the laws and regulations governing these protections could result in earlier loss of effective market exclusivity. The primary forms of data protection are as follows:</w:t>
      </w:r>
    </w:p>
    <w:p>
      <w:pPr>
        <w:spacing w:after="0" w:line="101" w:lineRule="exact"/>
        <w:rPr>
          <w:sz w:val="20"/>
          <w:szCs w:val="20"/>
          <w:color w:val="auto"/>
        </w:rPr>
      </w:pPr>
    </w:p>
    <w:p>
      <w:pPr>
        <w:ind w:left="660" w:right="200" w:hanging="328"/>
        <w:spacing w:after="0" w:line="25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in major markets generally grant data package protection for a period of years following new drug approvals in recognition of the substantial investment required to complete clinical trials. Data package protection prohibits other manufacturers from submitting regulatory applications for marketing approval based on the innovator company’s regulatory submission data for the drug. The base period of data package protection depends on the country. For example, the period is generally five years in the U.S. (12 years for new biologics as described below), effectively 10 years in Europe, and eight years in Japan. The period begins on the date of product approval and runs concurrently with the patent term for any relevant patent.</w:t>
      </w:r>
    </w:p>
    <w:p>
      <w:pPr>
        <w:spacing w:after="0" w:line="100" w:lineRule="exact"/>
        <w:rPr>
          <w:rFonts w:ascii="Arial" w:cs="Arial" w:eastAsia="Arial" w:hAnsi="Arial"/>
          <w:sz w:val="18"/>
          <w:szCs w:val="18"/>
          <w:color w:val="auto"/>
        </w:rPr>
      </w:pPr>
    </w:p>
    <w:p>
      <w:pPr>
        <w:ind w:left="660" w:right="180" w:hanging="328"/>
        <w:spacing w:after="0" w:line="25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the Biologics Price Competition and Innovation Act of 2009 (the BPCI Act), the FDA has the authority to approve biosimilars. A competitor seeking approval of a biosimilar must file an application to show its molecule is highly similar to an approved innovator biologic and include a certain amount of safety and efficacy data that the FDA will consider on a case-by-case basis. Under the data protection provisions of this law, the FDA cannot approve a biosimilar application until 12 years after initial marketing approval of the innovator biologic, subject to certain conditions. The BPCI Act is part of the Affordable Care Act, the constitutionality of which is currently being litigated.</w:t>
      </w:r>
    </w:p>
    <w:p>
      <w:pPr>
        <w:spacing w:after="0" w:line="100" w:lineRule="exact"/>
        <w:rPr>
          <w:rFonts w:ascii="Arial" w:cs="Arial" w:eastAsia="Arial" w:hAnsi="Arial"/>
          <w:sz w:val="18"/>
          <w:szCs w:val="18"/>
          <w:color w:val="auto"/>
        </w:rPr>
      </w:pPr>
    </w:p>
    <w:p>
      <w:pPr>
        <w:ind w:left="66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or adolescent populations within a specified time period. If granted, this “pediatric exclusivity” provides an additional six months of exclusivity, which is added to the term of data protection as well as to the term of any relevant patents, to the extent these protections have not already expired. While the term of the pediatric exclusivity attaches to the term of any relevant patent, pediatric exclusivity is a regulatory exclusivity, a bar to generic approval, not a patent right.</w:t>
      </w:r>
    </w:p>
    <w:p>
      <w:pPr>
        <w:spacing w:after="0" w:line="97" w:lineRule="exact"/>
        <w:rPr>
          <w:rFonts w:ascii="Arial" w:cs="Arial" w:eastAsia="Arial" w:hAnsi="Arial"/>
          <w:sz w:val="18"/>
          <w:szCs w:val="18"/>
          <w:color w:val="auto"/>
        </w:rPr>
      </w:pPr>
    </w:p>
    <w:p>
      <w:pPr>
        <w:ind w:left="660" w:right="100" w:hanging="328"/>
        <w:spacing w:after="0" w:line="25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the U.S. orphan drug law, a specific use of a drug or biologic can receive "orphan" designation if it is intended to treat a disease or condition affecting fewer than 200,000 people in the U.S., or affecting more than 200,000 people but not reasonably expected to recover its development and marketing costs through U.S. sales. Among other benefits, orphan designation entitles the particular use of the drug to seven years of market exclusivity, meaning that the FDA cannot (with limited exceptions) approve another marketing application for the same drug for the same indication until expiration of the seven-year period. Unlike pediatric exclusivity, the orphan exclusivity period is independent of and runs in parallel with any applicable patents.</w:t>
      </w:r>
    </w:p>
    <w:p>
      <w:pPr>
        <w:spacing w:after="0" w:line="10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Outside the major markets, the adequacy and effectiveness of intellectual property protection for pharmaceuticals varies widely, and in a number of these markets we are unable to patent our products or to enforce the patents we receive for our products. Under the Trade-Related Aspects of Intellectual Property Agreement (TRIPs) administered by the World Trade Organization, more than 140 countries have agreed to provide non-discriminatory protection for most pharmaceutical inventions and to assure that adequate and effective rights are available to patent owners. Certain developing countries limit protection for biopharmaceutical products under their interpretation of “flexibilities” allowed under the agreement. Thus, some types of patents, such as those on new uses of compounds or new forms of molecules, are not available in certain developing countries. Further, many developing countries, and some developed countries, do not provide effective data package protection even though it is specified in TRIPs.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w:t>
      </w:r>
    </w:p>
    <w:p>
      <w:pPr>
        <w:sectPr>
          <w:pgSz w:w="11900" w:h="16838" w:orient="portrait"/>
          <w:cols w:equalWidth="0" w:num="1">
            <w:col w:w="11420"/>
          </w:cols>
          <w:pgMar w:left="240" w:top="67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consider intellectual property protection for certain products, processes, uses, and formulations—particularly with respect to those products discussed below—to be important to our operations. In addition to the data protection and patents identified below, we may hold patents on manufacturing processes, formulations, devices, or uses that extend exclusivity beyond the dates shown below.</w:t>
      </w:r>
    </w:p>
    <w:p>
      <w:pPr>
        <w:spacing w:after="0" w:line="94"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most relevant U.S. patent protection or data protection and associated expiry dates for our top-selling or recently launched patent-protected marketed products are as follows:</w:t>
      </w:r>
    </w:p>
    <w:p>
      <w:pPr>
        <w:spacing w:after="0" w:line="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Alimta is protected by a vitamin regimen patent (2021) plus pediatric exclusivity (May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Baqsimi is protected by data protection (July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Cyramza is protected by a compound patent and biologics data protection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Emgality is protected by a compound patent (2033).</w:t>
      </w:r>
    </w:p>
    <w:p>
      <w:pPr>
        <w:spacing w:after="0" w:line="117"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Jardiance, and the related combination products Glyxambi and Synjardy, are protected by a compound patent (2025, not including possible patent extension).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Olumiant is protected by a compound patent (2030, not including possible patent extension).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Reyvow is protected by a compound patent (2025, not including possible patent extension).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Taltz is protected by a compound patent (2026, not including possible patent extension) and by biologics data protection (2028).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Trajenta and Jentadueto are protected by a compound patent (2023, not including possible patent extension).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Trulicity is protected by a compound patent (2027).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Verzenio is protected by a compound patent (2029, not including possible patent extension).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important patent protection or data protection includes:</w:t>
      </w:r>
    </w:p>
    <w:p>
      <w:pPr>
        <w:spacing w:after="0" w:line="117" w:lineRule="exact"/>
        <w:rPr>
          <w:sz w:val="20"/>
          <w:szCs w:val="20"/>
          <w:color w:val="auto"/>
        </w:rPr>
      </w:pPr>
    </w:p>
    <w:p>
      <w:pPr>
        <w:ind w:left="660" w:right="1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Alimta is protected by a vitamin regimen patent in major European countries (June 2021) and by patents covering use to treat cancer concomitantly with vitamins in Japan (June 2021).</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Cyramza is protected by a compound patent in major European countries (2028) and Japan (2026).</w:t>
      </w:r>
    </w:p>
    <w:p>
      <w:pPr>
        <w:spacing w:after="0" w:line="117"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Emgality in is protected by a compound patent in major European countries (2033) and Japan (2031, not including possible patent extension).</w:t>
      </w:r>
    </w:p>
    <w:p>
      <w:pPr>
        <w:spacing w:after="0" w:line="88"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Olumiant is protected by a compound patent in major European countries (2029, not including possible patent extension) and Japan (2033).</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Taltz is protected by a compound patent in major European countries (2031) and Japan (2030).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Trulicity is protected by a compound in major European countries and Japan (2029).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Verzenio is protected by a compound in major European countries and Japan (2029).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Baqsimi has been submitted for regulatory review in Japan, where it is expected to be protected by data protection upon approval (6 years).</w:t>
      </w:r>
    </w:p>
    <w:p>
      <w:pPr>
        <w:spacing w:after="0" w:line="11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Flortaucipir has been submitted for regulatory review in the U.S. for use as a positron emission tomography (PET) imaging agent and is protected by a compound patent (2029, not including possible patent extension).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Selpercatinib has been submitted for regulatory review in the U.S. for the treatment of cancers in certain patients and is protected by a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compound patent (2037, not including possible patent extension).</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Tanezumab has been submitted for regulatory review in the U.S. for the treatment of osteoarthritis pain and is expected to be protected by data protection upon approval (12 years).</w:t>
      </w:r>
    </w:p>
    <w:p>
      <w:pPr>
        <w:spacing w:after="0" w:line="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Worldwide, we sell all of our major products under trademarks for names and unique product appearance (e.g., the appearance of our Trulicity autoinjector) which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 Trademark protection often extends beyond the patent and data protection for a product.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w:t>
      </w:r>
    </w:p>
    <w:p>
      <w:pPr>
        <w:sectPr>
          <w:pgSz w:w="11900" w:h="16838" w:orient="portrait"/>
          <w:cols w:equalWidth="0" w:num="1">
            <w:col w:w="11380"/>
          </w:cols>
          <w:pgMar w:left="240" w:top="657"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Patent Licenses</w:t>
      </w:r>
    </w:p>
    <w:p>
      <w:pPr>
        <w:spacing w:after="0" w:line="1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Most of our major products are not subject to significant license agreements. For information on our license and collaboration agreement with Incyte Corporation related to Olumiant, see Item 8, "Financial Statements and Supplementary Data - Note 4, Collaborations."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pharmaceuticals (other than biologics) when the generic manufacturer has not conducted safety and efficacy studies but files an Abbreviated New Drug Application (ANDA). In an ANDA, the generic manufacturer must demonstrate only “bioequivalence” between the generic version and the New Drug Application (NDA)-approved drug—not safety and efficacy. Establishing bioequivalence is generally straightforward and inexpensive for the generic company.</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Absent a patent challenge, the FDA cannot approve an ANDA until after certain of the innovator’s patents expire. However, after the innovator has marketed its product for four years, a generic manufacturer may file an ANDA alleging that one or more or all of the patents listed in the innovator’s NDA are invalid or not infringed. This allegation is commonly known as a “Paragraph IV certification.” If the innovator responds by filing suit against the generic manufacturer, the FDA is then prohibited from approving the generic company’s application for a 30-month period (which can be shortened or extended by the trial court judge hearing the patent challenge). If one or more of the NDA-listed patents are challenged, the first filer(s) of a Paragraph IV certification may be entitled to a 180-day period of market exclusivity over all other generic manufacturers.</w:t>
      </w:r>
    </w:p>
    <w:p>
      <w:pPr>
        <w:spacing w:after="0" w:line="9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Generic manufacturers use Paragraph IV certifications extensively to challenge patents on innovative pharmaceuticals. In addition, generic companies have shown willingness to launch “at risk,” i.e., after receiving ANDA approval but before final resolution of their patent challenge. We are currently in Hatch-Waxman litigation involving Alimta with five generic manufacturers. For more information on Hatch-Waxman litigation involving the company, see Item 8, “Financial Statements and Supplementary Data - Note 16, Contingencies” and Item 3, "Legal Proceedings."</w:t>
      </w:r>
    </w:p>
    <w:p>
      <w:pPr>
        <w:spacing w:after="0" w:line="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the BPCI Act, the FDA cannot approve a biosimilar application until data protection expires, 12 years after initial marketing approval of the innovator biologic. However, the BPCI Act does provide a mechanism for a competitor to challenge the validity of an innovator’s patents as early as four years after initial marketing approval of the innovator biologic. The patent litigation scheme under the BPCI Act is complex and courts have held that biosimilar applicants are not required to engage in it. Patent holders still have the right to bring suit under normal patent law procedures if a biosimilar applicant attempts to commercialize a product prior to patent expiration.</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there is a procedure in U.S. patent law known as inter partes review (IPR), which allows any member of the public to file a petition with the USPTO seeking the review of any issued U.S. patent for validity. IPRs are conducted before Administrative Patent Judges in the USPTO using a lower standard of proof than used in federal district court. In addition, the challenged patents are not accorded the presumption of validity as they are in federal district court. Generic drug companies and even some investment firms have engaged in the IPR process in attempts to invalidate our patents.</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 For more information on administrative challenges and litigation involving our Alimta patents in Europe and Japan, see Item 8, “Financial Statements and Supplementary Data - Note 16, Contingencies.”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 xml:space="preserve">Government Regulation </w:t>
      </w:r>
      <w:r>
        <w:rPr>
          <w:rFonts w:ascii="Arial" w:cs="Arial" w:eastAsia="Arial" w:hAnsi="Arial"/>
          <w:sz w:val="18"/>
          <w:szCs w:val="18"/>
          <w:b w:val="1"/>
          <w:bCs w:val="1"/>
          <w:color w:val="BF2115"/>
        </w:rPr>
        <w:t>of Our Operations</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operations are regulated extensively by numerous national, state, and local agencies. The lengthy process of laboratory and clinical testing, data analysis, manufacturing development, and regulatory review necessary for governmental approvals is extremely costly and can significantly delay product introductions. Promotion, marketing, manufacturing, and distribution of pharmaceutical products are extensively regulated in all major markets. We conduct extensive post-marketing surveillance of the safety of the products we sell. In addition, our operations are subject to complex federal, state, local, and foreign laws and regulations concerning the environment, occupational health and safety, and privacy. Compliance with the laws and regulations affecting the manufacture and sale of current products and the discovery, development, and introduction of new products will continue to require substantial effort, expense, and capital investment.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w:t>
      </w:r>
    </w:p>
    <w:p>
      <w:pPr>
        <w:sectPr>
          <w:pgSz w:w="11900" w:h="16838" w:orient="portrait"/>
          <w:cols w:equalWidth="0" w:num="1">
            <w:col w:w="11420"/>
          </w:cols>
          <w:pgMar w:left="240" w:top="657" w:right="239" w:bottom="1440" w:gutter="0" w:footer="0" w:header="0"/>
        </w:sectPr>
      </w:pPr>
    </w:p>
    <w:bookmarkStart w:id="11" w:name="page12"/>
    <w:bookmarkEnd w:id="11"/>
    <w:p>
      <w:pPr>
        <w:jc w:val="both"/>
        <w:ind w:right="40"/>
        <w:spacing w:after="0" w:line="256" w:lineRule="auto"/>
        <w:rPr>
          <w:sz w:val="20"/>
          <w:szCs w:val="20"/>
          <w:color w:val="auto"/>
        </w:rPr>
      </w:pPr>
      <w:r>
        <w:rPr>
          <w:rFonts w:ascii="Arial" w:cs="Arial" w:eastAsia="Arial" w:hAnsi="Arial"/>
          <w:sz w:val="18"/>
          <w:szCs w:val="18"/>
          <w:color w:val="auto"/>
        </w:rPr>
        <w:t>Of particular importance to our business is the FDA in the U.S. Pursuant to the Federal Food, Drug, and Cosmetic Act, the FDA has jurisdiction over all of our products and devices in the U.S. and administers requirements covering the testing, safety, effectiveness, manufacturing, quality control, distribution, labeling, marketing, advertising, dissemination of information, and post-marketing surveillance of those products.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FDA extensively regulates all aspects of manufacturing quality for pharmaceuticals under its current Good Manufacturing Practices (cGMP) regulations. Outside the U.S., our products and operations are subject to similar regulatory requirements, notably by the EMA in Europe and the Ministry of Health, Labor and Welfare in Japan. Specific regulatory requirements vary from country to country. We make substantial investments of capital and operating expenses to implement comprehensive, company-wide quality systems in our manufacturing, product development, and process development operations in an effort to ensure sustained compliance with cGMP and similar regulations. However, in the event we fail to adhere to these requirements in the future, we could be subject to interruptions in production, fines and penalties, and delays in new product approvals. Certain of our products are manufactured by third parties, and their failure to comply with these regulations could adversely affect us through failure to supply product to us or delays in new product approvals.</w:t>
      </w:r>
    </w:p>
    <w:p>
      <w:pPr>
        <w:spacing w:after="0" w:line="9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various other U.S. federal and state laws, including the federal anti-kickback statute and the False Claims Act and state laws governing kickbacks, false claims, unfair trade practices, and consumer protection. These laws are administered by, among others, the Department of Justice (DOJ), the Office of Inspector General of the Department of Health and Human Services, the Federal Trade Commission, the Office of Personnel Management, and state attorneys general. Over the past several years, state and federal governments have increased their oversight, enforcement activities, and intra-agency coordination with respect to pharmaceutical companies. Several claims brought by these agencies against us and other companies under these and other laws have resulted in corporate criminal sanctions and very substantial civil settlements.</w:t>
      </w:r>
    </w:p>
    <w:p>
      <w:pPr>
        <w:spacing w:after="0" w:line="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outside the U.S., our business is heavily regulated and therefore involves significant interaction with foreign officials. Additionally, in many countries outside the U.S., the health care providers who prescribe pharmaceuticals are employed by the government and the purchasers of pharmaceuticals are government entities; therefore, our interactions with these prescribers and purchasers are subject to regulation under the FCPA.</w:t>
      </w:r>
    </w:p>
    <w:p>
      <w:pPr>
        <w:spacing w:after="0" w:line="9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including China, Brazil, and the United Kingdom (U.K.), have enhanced their laws and regulations in this area, increased their enforcement activities, and/or increased the level of cross-border coordination and information sharing.</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and could in the future become subject to administrative and legal proceedings and actions, which could include claims for civil penalties (including treble damages under the False Claims Act), criminal sanctions, and administrative remedies, including exclusion from U.S. federal and other health care programs. It is possible that an adverse outcome in future actions could have a material adverse impact on our consolidated results of operations, liquidity, and financial position.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Regulations and Private Payer Actions Affecting Pharmaceutical Pricing, Reimbursement, and Access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U.S., we are required to provide rebates to the federal government and respective state governments on their purchases of our pharmaceuticals under state Medicaid and Medicaid Managed Care programs (minimum of 23.1 percent plus adjustments for price increases over time) and rebates to private payers who cover patients in certain types of health care facilities that serve low-income and uninsured patients (known as 340B facilities). No rebates are required at this time in the Medicare Part B (physician and hospital outpatient) program where reimbursement is set on an "average selling price plus 4.3 percent" formula. Additionally, an annual fee is imposed on pharmaceutical manufacturers and importers that sell branded prescription drugs to specified government programs. Since 2019, the Bipartisan Budget Act has required manufacturers of brand-name drugs, biologics, and biosimilars to provide a discount of 70 percent of the cost of branded prescription drugs for Medicare Part D participants who are in the “doughnut hole” (the coverage gap in Medicare prescription drug coverage), up from the previous 50-percent discount.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w:t>
      </w:r>
    </w:p>
    <w:p>
      <w:pPr>
        <w:sectPr>
          <w:pgSz w:w="11900" w:h="16838" w:orient="portrait"/>
          <w:cols w:equalWidth="0" w:num="1">
            <w:col w:w="11420"/>
          </w:cols>
          <w:pgMar w:left="240" w:top="679" w:right="239" w:bottom="1440" w:gutter="0" w:footer="0" w:header="0"/>
        </w:sectPr>
      </w:pPr>
    </w:p>
    <w:bookmarkStart w:id="12" w:name="page13"/>
    <w:bookmarkEnd w:id="12"/>
    <w:p>
      <w:pPr>
        <w:jc w:val="both"/>
        <w:ind w:right="160"/>
        <w:spacing w:after="0" w:line="256" w:lineRule="auto"/>
        <w:rPr>
          <w:sz w:val="20"/>
          <w:szCs w:val="20"/>
          <w:color w:val="auto"/>
        </w:rPr>
      </w:pPr>
      <w:r>
        <w:rPr>
          <w:rFonts w:ascii="Arial" w:cs="Arial" w:eastAsia="Arial" w:hAnsi="Arial"/>
          <w:sz w:val="18"/>
          <w:szCs w:val="18"/>
          <w:color w:val="auto"/>
        </w:rPr>
        <w:t>Rebates are also negotiated in the private sector. We give rebates to private payers who provide prescription drug benefits to seniors covered by Medicare and to private payers who provide prescription drug benefits to their customers. These rebates are affected by the introduction of competitive products and generics in the same class.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2019, the White House signed into law targeted amendments to the Medicaid Drug Rebate Program statute, as well as the Fair and Accurate Medicaid Pricing Act, which was part of the Continuing Appropriations Act. We do not believe either will have a material impact to our business. Several states have passed importation legislation, including Colorado, Florida, Maine, and Vermont. Specifically, the state of Florida is working with the Administration to implement an importation program from Canada as early as 2020. We are currently reviewing the state legislation, as well as corresponding proposed federal rulemaking and guidance recently published by the Department of Health and Human Services and the FDA, the impact of which is uncertain at this time.</w:t>
      </w:r>
    </w:p>
    <w:p>
      <w:pPr>
        <w:spacing w:after="0" w:line="1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restrictions on physician prescription levels, and mandatory generic substitution.</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Globally, public and private payers are increasingly restricting access to pharmaceuticals based on assessments of comparative effectiveness and value, including through the establishment of formal health technology assessment processes. In addition, third party organizations, including professional associations, academic institutions, and non-profit entities associated with payers, are conducting and publishing comparative effectiveness and cost/benefit analyses on medicines, the impact of which are uncertain at this time.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regulatory, or payer developments. However, in general we expect that state, federal, and international legislative and regulatory developments could have further negative effects on pricing and reimbursement for our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Research and Development</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commitment to research and development dates back more than 140 years. We invest heavily in research and development because we believe it is critical to our long-term competitiveness. At the end of 2019, we employed approximately 7,810 people in pharmaceutical research and development activities, including a substantial number of physicians, scientists holding graduate or postgraduate degrees, and highly skilled technical personnel.</w:t>
      </w:r>
    </w:p>
    <w:p>
      <w:pPr>
        <w:spacing w:after="0" w:line="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internal pharmaceutical research focuses primarily on the areas of oncology, diabetes, neurodegeneration, immunology, and pain. We believe that we have a strong biotechnology research program, with more than half of our clinical-stage pipeline currently consisting of biologics. In addition to discovering and developing NMEs, we seek to expand the value of existing products through new uses, formulations, and therapeutic approaches that provide additional value to patients.</w:t>
      </w:r>
    </w:p>
    <w:p>
      <w:pPr>
        <w:spacing w:after="0" w:line="96"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pharmaceutical products. We actively invest in external research and technologies that we believe complement and strengthen our own efforts. These investments can take many forms, including licensing arrangements, co-development and co-marketing agreements, co-promotion arrangements, joint ventures, and acquisitions.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13</w:t>
      </w:r>
    </w:p>
    <w:p>
      <w:pPr>
        <w:sectPr>
          <w:pgSz w:w="11900" w:h="16838" w:orient="portrait"/>
          <w:cols w:equalWidth="0" w:num="1">
            <w:col w:w="11420"/>
          </w:cols>
          <w:pgMar w:left="240" w:top="679" w:right="239" w:bottom="1440" w:gutter="0" w:footer="0" w:header="0"/>
        </w:sectPr>
      </w:pPr>
    </w:p>
    <w:bookmarkStart w:id="13" w:name="page14"/>
    <w:bookmarkEnd w:id="13"/>
    <w:p>
      <w:pPr>
        <w:ind w:right="20"/>
        <w:spacing w:after="0" w:line="251" w:lineRule="auto"/>
        <w:rPr>
          <w:sz w:val="20"/>
          <w:szCs w:val="20"/>
          <w:color w:val="auto"/>
        </w:rPr>
      </w:pPr>
      <w:r>
        <w:rPr>
          <w:rFonts w:ascii="Arial" w:cs="Arial" w:eastAsia="Arial" w:hAnsi="Arial"/>
          <w:sz w:val="18"/>
          <w:szCs w:val="18"/>
          <w:color w:val="auto"/>
        </w:rPr>
        <w:t>Pharmaceutical development is time-consuming, expensive, and risky. On average, only one out of many thousands of molecules discovered by researchers ultimately becomes an approved medicine. The process from discovery to regulatory approval can take over a decade. Drug candidates can fail at any stage of the process, and even late-stage drug candidates sometimes fail to receive regulatory approval or achieve commercial success. The rate of innovation cycles leading to medical improvements over initial inventions is accelerating, which has increased the risk that we opt not to develop a late-stage asset or that new products fail to achieve commercial success due to technical obsolescence - displacement by follow-on competitor products - before the period of exclusivity has ended. After approval and launch of a product, we expend considerable resources on post-marketing surveillance and additional clinical studies to collect data and understand the benefits and potential risks of medicines as they are used as therapeutics. Consistent with their purpose, these studies have the potential to identify information about problems with product safety or efficacy that result in product withdrawal. The following describes in more detail the research and development process for pharmaceutical products: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20" w:hanging="250"/>
        <w:spacing w:after="0"/>
        <w:tabs>
          <w:tab w:leader="none" w:pos="42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Phase</w:t>
      </w:r>
    </w:p>
    <w:p>
      <w:pPr>
        <w:spacing w:after="0" w:line="139" w:lineRule="exact"/>
        <w:rPr>
          <w:rFonts w:ascii="Arial" w:cs="Arial" w:eastAsia="Arial" w:hAnsi="Arial"/>
          <w:sz w:val="18"/>
          <w:szCs w:val="18"/>
          <w:b w:val="1"/>
          <w:bCs w:val="1"/>
          <w:color w:val="auto"/>
        </w:rPr>
      </w:pPr>
    </w:p>
    <w:p>
      <w:pPr>
        <w:ind w:left="4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earliest phase of new drug research and development, the discovery phase, can take many years. Scientists identify, design, and synthesize promising molecules, screening tens of thousands of molecules for their effect on biological targets that appear to play an important role in one or more diseases. Targets can be part of the body, such as a protein, receptor, or gene; or foreign, such as a virus or bacteria. Some targets have been proven to affect disease processes, but often the target is unproven and may later prove to be irrelevant to the disease or to yield insufficient clinical benefit. Molecules that have the desired effect on the target and meet other design criteria become candidate molecules and move to the next phase of development. The probability of any one candidate molecule becoming a commercial product is extremely low.</w:t>
      </w:r>
    </w:p>
    <w:p>
      <w:pPr>
        <w:spacing w:after="0" w:line="77" w:lineRule="exact"/>
        <w:rPr>
          <w:rFonts w:ascii="Arial" w:cs="Arial" w:eastAsia="Arial" w:hAnsi="Arial"/>
          <w:sz w:val="18"/>
          <w:szCs w:val="18"/>
          <w:b w:val="1"/>
          <w:bCs w:val="1"/>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39" w:lineRule="exact"/>
        <w:rPr>
          <w:rFonts w:ascii="Arial" w:cs="Arial" w:eastAsia="Arial" w:hAnsi="Arial"/>
          <w:sz w:val="18"/>
          <w:szCs w:val="18"/>
          <w:b w:val="1"/>
          <w:bCs w:val="1"/>
          <w:color w:val="auto"/>
        </w:rPr>
      </w:pPr>
    </w:p>
    <w:p>
      <w:pPr>
        <w:ind w:left="4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early development phase involves refining candidate molecules, understanding how to manufacture them efficiently, and completing initial testing for safety and efficacy. Safety testing is done first in laboratory tests and animals, as necessary, to identify toxicity and other potential safety issues that would preclude use in humans. In general, the first human tests (often referred to as Phase I) are conducted in small groups of healthy volunteers or patients to assess safety and find the potential dosing range. After a safe dose range has been established, the drug is typically administered to small populations of patients (Phase II) to look for initial signs of efficacy in treating the targeted disease, or biomarkers of the disease, and to continue to assess safety. In parallel, scientists work to identify safe, effective, and economical manufacturing processes. Long-term animal studies continue to test for potential safety issues. Of the molecules that enter the early development phase, approximately 10 percent move on to the product phase. The early development phase can take several years to complete.</w:t>
      </w:r>
    </w:p>
    <w:p>
      <w:pPr>
        <w:spacing w:after="0" w:line="82" w:lineRule="exact"/>
        <w:rPr>
          <w:rFonts w:ascii="Arial" w:cs="Arial" w:eastAsia="Arial" w:hAnsi="Arial"/>
          <w:sz w:val="18"/>
          <w:szCs w:val="18"/>
          <w:b w:val="1"/>
          <w:bCs w:val="1"/>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Product Phase</w:t>
      </w:r>
    </w:p>
    <w:p>
      <w:pPr>
        <w:spacing w:after="0" w:line="139" w:lineRule="exact"/>
        <w:rPr>
          <w:rFonts w:ascii="Arial" w:cs="Arial" w:eastAsia="Arial" w:hAnsi="Arial"/>
          <w:sz w:val="18"/>
          <w:szCs w:val="18"/>
          <w:b w:val="1"/>
          <w:bCs w:val="1"/>
          <w:color w:val="auto"/>
        </w:rPr>
      </w:pPr>
    </w:p>
    <w:p>
      <w:pPr>
        <w:ind w:left="420" w:right="1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Product phase (Phase III) molecules have met initial safety requirements and, typically, shown initial evidence of efficacy. As a result, these molecules generally have a higher likelihood of success. The molecules are tested in much larger patient populations to demonstrate efficacy to a predetermined level of statistical significance and to continue to develop the safety profile. These trials are generally global in nature and are designed to generate the data necessary to submit the molecule to regulatory agencies for marketing approval. The potential new drug is generally compared with existing competitive therapies, placebo, or both. The resulting data is compiled and may be submitted to regulatory agencies around the world. Phase III testing varies by disease state, but can often last from three to four years.</w:t>
      </w:r>
    </w:p>
    <w:p>
      <w:pPr>
        <w:spacing w:after="0" w:line="77" w:lineRule="exact"/>
        <w:rPr>
          <w:rFonts w:ascii="Arial" w:cs="Arial" w:eastAsia="Arial" w:hAnsi="Arial"/>
          <w:sz w:val="18"/>
          <w:szCs w:val="18"/>
          <w:b w:val="1"/>
          <w:bCs w:val="1"/>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39" w:lineRule="exact"/>
        <w:rPr>
          <w:rFonts w:ascii="Arial" w:cs="Arial" w:eastAsia="Arial" w:hAnsi="Arial"/>
          <w:sz w:val="18"/>
          <w:szCs w:val="18"/>
          <w:b w:val="1"/>
          <w:bCs w:val="1"/>
          <w:color w:val="auto"/>
        </w:rPr>
      </w:pPr>
    </w:p>
    <w:p>
      <w:pPr>
        <w:ind w:left="42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Once a molecule is submitted to regulatory agencies, the time to final marketing approval can vary from several months to several years, depending on variables such as the disease state, the strength and complexity of the data presented, the novelty of the target or compound, and the time required for the agency(ies) to evaluate the submission. There is no guarantee that a potential medicine will receive marketing approval, or that decisions on marketing approvals or indications will be consistent across geographic areas.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w:t>
      </w:r>
    </w:p>
    <w:p>
      <w:pPr>
        <w:sectPr>
          <w:pgSz w:w="11900" w:h="16838" w:orient="portrait"/>
          <w:cols w:equalWidth="0" w:num="1">
            <w:col w:w="11420"/>
          </w:cols>
          <w:pgMar w:left="240" w:top="679" w:right="239" w:bottom="1440" w:gutter="0" w:footer="0" w:header="0"/>
        </w:sectPr>
      </w:pPr>
    </w:p>
    <w:bookmarkStart w:id="14" w:name="page15"/>
    <w:bookmarkEnd w:id="14"/>
    <w:p>
      <w:pPr>
        <w:ind w:right="80"/>
        <w:spacing w:after="0" w:line="251" w:lineRule="auto"/>
        <w:rPr>
          <w:sz w:val="20"/>
          <w:szCs w:val="20"/>
          <w:color w:val="auto"/>
        </w:rPr>
      </w:pPr>
      <w:r>
        <w:rPr>
          <w:rFonts w:ascii="Arial" w:cs="Arial" w:eastAsia="Arial" w:hAnsi="Arial"/>
          <w:sz w:val="18"/>
          <w:szCs w:val="18"/>
          <w:color w:val="auto"/>
        </w:rPr>
        <w:t>We believe our investments in research, both internally and in collaboration with others, have been rewarded by the large number of new molecules and new indications for existing molecules that we have in all stages of development. We currently have approximately 45 drug candidates across all stages of human testing and a larger number of projects in preclinical development. Among our new investigational molecules currently in the product phase of development or awaiting regulatory approval or launch are potential therapies for various cancers; Alzheimer’s disease; pain; migraine; cluster headache; diabetes; obesity; and autoimmune diseases, including alopecia areata, systemic lupus erythematosus, psoriasis, atopic dermatitis, Crohn's disease, and ulcerative colitis. We are studying many other drug candidates in the earlier stages of development in our chosen priority areas. We are also developing new uses, formulations, or delivery methods for many of these molecules as well as several currently marketed products. See Item 7, "Management's Discussion and Analysis - Results of Operations - Executive Overview - Late-Stage Pipeline," for more information on certain of our product candidates.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Raw Materials and Product Supply</w:t>
      </w:r>
    </w:p>
    <w:p>
      <w:pPr>
        <w:spacing w:after="0" w:line="139" w:lineRule="exact"/>
        <w:rPr>
          <w:sz w:val="20"/>
          <w:szCs w:val="20"/>
          <w:color w:val="auto"/>
        </w:rPr>
      </w:pPr>
    </w:p>
    <w:p>
      <w:pPr>
        <w:jc w:val="both"/>
        <w:ind w:right="280"/>
        <w:spacing w:after="0" w:line="265" w:lineRule="auto"/>
        <w:rPr>
          <w:sz w:val="20"/>
          <w:szCs w:val="20"/>
          <w:color w:val="auto"/>
        </w:rPr>
      </w:pPr>
      <w:r>
        <w:rPr>
          <w:rFonts w:ascii="Arial" w:cs="Arial" w:eastAsia="Arial" w:hAnsi="Arial"/>
          <w:sz w:val="17"/>
          <w:szCs w:val="17"/>
          <w:color w:val="auto"/>
        </w:rPr>
        <w:t>Most of the principal materials we use in our manufacturing operations are available from more than one source. However, we obtain certain raw or intermediate materials primarily from only one source. We generally seek to maintain sufficient inventory to supply the market until an alternative source of supply could be implemented, in the event one of these suppliers was unable to provide the materials or product.</w:t>
      </w:r>
    </w:p>
    <w:p>
      <w:pPr>
        <w:spacing w:after="0" w:line="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However, in the event of an extended failure of a supplier, it is possible that we could experience an interruption in supply until we established new sources or, in some cases, implemented alternative processes.</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revenue comes from products produced in our own facilities. Our principal active ingredient manufacturing occurs at sites we own in the U.S., Ireland, and Puerto Rico. Finishing operations, including formulation, filling, assembling, delivery device manufacturing, and packaging, take place at a number of sites throughout the world. We utilize third parties for certain active ingredient manufacturing and finishing operations.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is intended to allow us to meet all expected product demand while maintaining flexibility to reallocate manufacturing capacity to improve efficiency and respond to changes in supply and demand. To maintain a stable supply of our products, we use a variety of techniques including comprehensive quality systems, inventory management, and back-up sites.</w:t>
      </w:r>
    </w:p>
    <w:p>
      <w:pPr>
        <w:spacing w:after="0" w:line="96"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However, pharmaceutical production processes are complex, highly regulated, and vary widely from product to product. Shifting or adding manufacturing capacity can be a very lengthy process requiring significant capital expenditures, process modifications, and regulatory approvals. Accordingly, if we were to experience unplanned plant shutdowns at one of our own facilities, significant failure of a contract supplier, or significant unanticipated increases in demand, we could experience an interruption in supply of certain products or product shortages until production could be resumed or expanded.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Quality Assurance</w:t>
      </w:r>
    </w:p>
    <w:p>
      <w:pPr>
        <w:spacing w:after="0" w:line="139"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Our success depends in great measure upon customer confidence in the quality of our products and in the integrity of the data that support their safety and effectiveness. Product quality arises from a total commitment to quality in all parts of our operations, including research and development, purchasing, facilities planning, manufacturing, distribution, and dissemination of information about our medicines.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in an effort to assure that the product meets all regulatory requirements and Lilly internal standards. These tests may involve chemical and physical chemical analyses, microbiological testing, testing in animals, or a combination thereof. Additional assurance of quality is provided by corporate quality-assurance groups that audit and monitor all aspects of quality related to pharmaceutical manufacturing procedures and systems in company operations and at third-party suppliers.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Officers of the Company</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sets forth certain information regarding our executive officers. Except as otherwise noted, all executive officers have been employed by the company in management or executive positions during the last five years.</w:t>
      </w:r>
    </w:p>
    <w:p>
      <w:pPr>
        <w:spacing w:after="0" w:line="8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4, 2020 in connection with the company's annual shareholders meeting, or on the date his or</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15</w:t>
      </w:r>
    </w:p>
    <w:p>
      <w:pPr>
        <w:sectPr>
          <w:pgSz w:w="11900" w:h="16838" w:orient="portrait"/>
          <w:cols w:equalWidth="0" w:num="1">
            <w:col w:w="11420"/>
          </w:cols>
          <w:pgMar w:left="240" w:top="679" w:right="239" w:bottom="1440" w:gutter="0" w:footer="0" w:header="0"/>
        </w:sectPr>
      </w:pPr>
    </w:p>
    <w:bookmarkStart w:id="15" w:name="page16"/>
    <w:bookmarkEnd w:id="15"/>
    <w:p>
      <w:pPr>
        <w:jc w:val="both"/>
        <w:ind w:right="160"/>
        <w:spacing w:after="0" w:line="256" w:lineRule="auto"/>
        <w:rPr>
          <w:sz w:val="20"/>
          <w:szCs w:val="20"/>
          <w:color w:val="auto"/>
        </w:rPr>
      </w:pPr>
      <w:r>
        <w:rPr>
          <w:rFonts w:ascii="Arial" w:cs="Arial" w:eastAsia="Arial" w:hAnsi="Arial"/>
          <w:sz w:val="18"/>
          <w:szCs w:val="18"/>
          <w:color w:val="auto"/>
        </w:rPr>
        <w:t>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or director and any other person pursuant to which the executive officer was selected.</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94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4"/>
                <w:szCs w:val="14"/>
                <w:b w:val="1"/>
                <w:bCs w:val="1"/>
                <w:color w:val="auto"/>
              </w:rPr>
              <w:t>Name</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680" w:type="dxa"/>
            <w:vAlign w:val="bottom"/>
            <w:tcBorders>
              <w:top w:val="single" w:sz="8" w:color="auto"/>
              <w:bottom w:val="single" w:sz="8" w:color="auto"/>
              <w:right w:val="single" w:sz="8" w:color="auto"/>
            </w:tcBorders>
          </w:tcPr>
          <w:p>
            <w:pPr>
              <w:ind w:left="3200"/>
              <w:spacing w:after="0"/>
              <w:rPr>
                <w:sz w:val="20"/>
                <w:szCs w:val="20"/>
                <w:color w:val="auto"/>
              </w:rPr>
            </w:pPr>
            <w:r>
              <w:rPr>
                <w:rFonts w:ascii="Arial" w:cs="Arial" w:eastAsia="Arial" w:hAnsi="Arial"/>
                <w:sz w:val="14"/>
                <w:szCs w:val="14"/>
                <w:b w:val="1"/>
                <w:bCs w:val="1"/>
                <w:color w:val="auto"/>
              </w:rPr>
              <w:t>Offices and Business Experience</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President, Chief Executive Officer, director (since January 2017) and board chair (since June 2017)</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Melissa S. Barnes</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Enterprise Risk Management and Chief Ethics and Compliance Officer (since January 2013)</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Stephen F. Fry</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54</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Human Resources and Diversity (since February 2011)</w:t>
            </w:r>
          </w:p>
        </w:tc>
        <w:tc>
          <w:tcPr>
            <w:tcW w:w="0" w:type="dxa"/>
            <w:vAlign w:val="bottom"/>
          </w:tcPr>
          <w:p>
            <w:pPr>
              <w:spacing w:after="0"/>
              <w:rPr>
                <w:sz w:val="1"/>
                <w:szCs w:val="1"/>
                <w:color w:val="auto"/>
              </w:rPr>
            </w:pPr>
          </w:p>
        </w:tc>
      </w:tr>
      <w:tr>
        <w:trPr>
          <w:trHeight w:val="193"/>
        </w:trPr>
        <w:tc>
          <w:tcPr>
            <w:tcW w:w="1940" w:type="dxa"/>
            <w:vAlign w:val="bottom"/>
            <w:tcBorders>
              <w:left w:val="single" w:sz="8" w:color="auto"/>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General Counsel (since February 2020). Prior to joining Lilly Ms. Hakim was Executive Vice President,</w:t>
            </w: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Anat Hakim</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General Counsel and Secretary of Wellcare Health Plans, a managed care company. Prior to joining Wellcare, she served as Divisional</w:t>
            </w:r>
          </w:p>
        </w:tc>
        <w:tc>
          <w:tcPr>
            <w:tcW w:w="0" w:type="dxa"/>
            <w:vAlign w:val="bottom"/>
          </w:tcPr>
          <w:p>
            <w:pPr>
              <w:spacing w:after="0"/>
              <w:rPr>
                <w:sz w:val="1"/>
                <w:szCs w:val="1"/>
                <w:color w:val="auto"/>
              </w:rPr>
            </w:pPr>
          </w:p>
        </w:tc>
      </w:tr>
      <w:tr>
        <w:trPr>
          <w:trHeight w:val="178"/>
        </w:trPr>
        <w:tc>
          <w:tcPr>
            <w:tcW w:w="1940" w:type="dxa"/>
            <w:vAlign w:val="bottom"/>
            <w:tcBorders>
              <w:left w:val="single" w:sz="8" w:color="auto"/>
              <w:bottom w:val="single" w:sz="8" w:color="auto"/>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Vice President and Associate General Counsel at Abbott Laboratories, a health care company.</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Patrik Jonsson</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Bio-Medicines (since September 2019)</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B. Mason</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Diabetes (since January 2020)</w:t>
            </w:r>
          </w:p>
        </w:tc>
        <w:tc>
          <w:tcPr>
            <w:tcW w:w="0" w:type="dxa"/>
            <w:vAlign w:val="bottom"/>
          </w:tcPr>
          <w:p>
            <w:pPr>
              <w:spacing w:after="0"/>
              <w:rPr>
                <w:sz w:val="1"/>
                <w:szCs w:val="1"/>
                <w:color w:val="auto"/>
              </w:rPr>
            </w:pPr>
          </w:p>
        </w:tc>
      </w:tr>
      <w:tr>
        <w:trPr>
          <w:trHeight w:val="285"/>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Johna L. Norton</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Global Quality (since April 2017)</w:t>
            </w:r>
          </w:p>
        </w:tc>
        <w:tc>
          <w:tcPr>
            <w:tcW w:w="0" w:type="dxa"/>
            <w:vAlign w:val="bottom"/>
          </w:tcPr>
          <w:p>
            <w:pPr>
              <w:spacing w:after="0"/>
              <w:rPr>
                <w:sz w:val="1"/>
                <w:szCs w:val="1"/>
                <w:color w:val="auto"/>
              </w:rPr>
            </w:pPr>
          </w:p>
        </w:tc>
      </w:tr>
      <w:tr>
        <w:trPr>
          <w:trHeight w:val="93"/>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8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Myles O'Neill</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61</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Manufacturing Operations (since January 2018)</w:t>
            </w:r>
          </w:p>
        </w:tc>
        <w:tc>
          <w:tcPr>
            <w:tcW w:w="0" w:type="dxa"/>
            <w:vAlign w:val="bottom"/>
          </w:tcPr>
          <w:p>
            <w:pPr>
              <w:spacing w:after="0"/>
              <w:rPr>
                <w:sz w:val="1"/>
                <w:szCs w:val="1"/>
                <w:color w:val="auto"/>
              </w:rPr>
            </w:pPr>
          </w:p>
        </w:tc>
      </w:tr>
      <w:tr>
        <w:trPr>
          <w:trHeight w:val="193"/>
        </w:trPr>
        <w:tc>
          <w:tcPr>
            <w:tcW w:w="1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Leigh Ann Pusey</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57</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Corporate Affairs and Communications (since June 2017). Prior to joining Lilly, Ms. Pusey served as president</w:t>
            </w:r>
          </w:p>
        </w:tc>
        <w:tc>
          <w:tcPr>
            <w:tcW w:w="0" w:type="dxa"/>
            <w:vAlign w:val="bottom"/>
          </w:tcPr>
          <w:p>
            <w:pPr>
              <w:spacing w:after="0"/>
              <w:rPr>
                <w:sz w:val="1"/>
                <w:szCs w:val="1"/>
                <w:color w:val="auto"/>
              </w:rPr>
            </w:pPr>
          </w:p>
        </w:tc>
      </w:tr>
      <w:tr>
        <w:trPr>
          <w:trHeight w:val="91"/>
        </w:trPr>
        <w:tc>
          <w:tcPr>
            <w:tcW w:w="1940" w:type="dxa"/>
            <w:vAlign w:val="bottom"/>
            <w:tcBorders>
              <w:left w:val="single" w:sz="8" w:color="auto"/>
              <w:right w:val="single" w:sz="8" w:color="auto"/>
            </w:tcBorders>
            <w:vMerge w:val="continue"/>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8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and CEO of the American Insurance Association.</w:t>
            </w:r>
          </w:p>
        </w:tc>
        <w:tc>
          <w:tcPr>
            <w:tcW w:w="0" w:type="dxa"/>
            <w:vAlign w:val="bottom"/>
          </w:tcPr>
          <w:p>
            <w:pPr>
              <w:spacing w:after="0"/>
              <w:rPr>
                <w:sz w:val="1"/>
                <w:szCs w:val="1"/>
                <w:color w:val="auto"/>
              </w:rPr>
            </w:pPr>
          </w:p>
        </w:tc>
      </w:tr>
      <w:tr>
        <w:trPr>
          <w:trHeight w:val="87"/>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Aarti Shah, Ph.D.</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Chief Information and Digital Officer (since January 2018)</w:t>
            </w:r>
          </w:p>
        </w:tc>
        <w:tc>
          <w:tcPr>
            <w:tcW w:w="0" w:type="dxa"/>
            <w:vAlign w:val="bottom"/>
          </w:tcPr>
          <w:p>
            <w:pPr>
              <w:spacing w:after="0"/>
              <w:rPr>
                <w:sz w:val="1"/>
                <w:szCs w:val="1"/>
                <w:color w:val="auto"/>
              </w:rPr>
            </w:pPr>
          </w:p>
        </w:tc>
      </w:tr>
      <w:tr>
        <w:trPr>
          <w:trHeight w:val="193"/>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Daniel Skovronsky, M.D.,</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46</w:t>
            </w:r>
          </w:p>
        </w:tc>
        <w:tc>
          <w:tcPr>
            <w:tcW w:w="8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Senior Vice President, Chief Scientific Officer, and President, Lilly Research Laboratories (since June 2018)</w:t>
            </w:r>
          </w:p>
        </w:tc>
        <w:tc>
          <w:tcPr>
            <w:tcW w:w="0" w:type="dxa"/>
            <w:vAlign w:val="bottom"/>
          </w:tcPr>
          <w:p>
            <w:pPr>
              <w:spacing w:after="0"/>
              <w:rPr>
                <w:sz w:val="1"/>
                <w:szCs w:val="1"/>
                <w:color w:val="auto"/>
              </w:rPr>
            </w:pPr>
          </w:p>
        </w:tc>
      </w:tr>
      <w:tr>
        <w:trPr>
          <w:trHeight w:val="91"/>
        </w:trPr>
        <w:tc>
          <w:tcPr>
            <w:tcW w:w="1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Ph.D.</w:t>
            </w:r>
          </w:p>
        </w:tc>
        <w:tc>
          <w:tcPr>
            <w:tcW w:w="540" w:type="dxa"/>
            <w:vAlign w:val="bottom"/>
            <w:tcBorders>
              <w:right w:val="single" w:sz="8" w:color="auto"/>
            </w:tcBorders>
            <w:vMerge w:val="continue"/>
          </w:tcPr>
          <w:p>
            <w:pPr>
              <w:spacing w:after="0"/>
              <w:rPr>
                <w:sz w:val="7"/>
                <w:szCs w:val="7"/>
                <w:color w:val="auto"/>
              </w:rPr>
            </w:pPr>
          </w:p>
        </w:tc>
        <w:tc>
          <w:tcPr>
            <w:tcW w:w="8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Joshua L. Smiley</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Chief Financial Officer (since January 2018)</w:t>
            </w:r>
          </w:p>
        </w:tc>
        <w:tc>
          <w:tcPr>
            <w:tcW w:w="0" w:type="dxa"/>
            <w:vAlign w:val="bottom"/>
          </w:tcPr>
          <w:p>
            <w:pPr>
              <w:spacing w:after="0"/>
              <w:rPr>
                <w:sz w:val="1"/>
                <w:szCs w:val="1"/>
                <w:color w:val="auto"/>
              </w:rPr>
            </w:pPr>
          </w:p>
        </w:tc>
      </w:tr>
      <w:tr>
        <w:trPr>
          <w:trHeight w:val="93"/>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8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Anne E. White</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Oncology (since September 2018)</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Alfonso Zulueta</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57</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International (since January 2014)</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Employees</w:t>
      </w:r>
    </w:p>
    <w:p>
      <w:pPr>
        <w:spacing w:after="0" w:line="13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At the end of 2019, we employed approximately 33,625 people, including approximately 18,915 employees outside the U.S. A substantial number of our employees have long records of continuous 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Information Available on Our Website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https://www.lilly.com.</w:t>
      </w:r>
      <w:r>
        <w:rPr>
          <w:rFonts w:ascii="Arial" w:cs="Arial" w:eastAsia="Arial" w:hAnsi="Arial"/>
          <w:sz w:val="18"/>
          <w:szCs w:val="18"/>
          <w:color w:val="auto"/>
        </w:rPr>
        <w:t xml:space="preserve"> None of the information accessible on or through our website is incorporated into this Form 10-K. We make available through the website, free of charge, our company filings with the Securities and Exchange Commission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company website link to our SEC filings is </w:t>
      </w:r>
      <w:r>
        <w:rPr>
          <w:rFonts w:ascii="Arial" w:cs="Arial" w:eastAsia="Arial" w:hAnsi="Arial"/>
          <w:sz w:val="18"/>
          <w:szCs w:val="18"/>
          <w:b w:val="1"/>
          <w:bCs w:val="1"/>
          <w:color w:val="auto"/>
        </w:rPr>
        <w:t>https://investor.lilly.com/financial-information/sec-filings.</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addition, the Corporate Governance portion of our website includes our corporate governance guidelines, board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https://www.lilly.com/about/corporate-governance/Pages/corporate-governance.aspx.</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will provide paper copies of our SEC filings free of charge upon request to the company’s secretary at the address listed on the front of this Form 10-K.</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w:t>
      </w:r>
    </w:p>
    <w:p>
      <w:pPr>
        <w:sectPr>
          <w:pgSz w:w="11900" w:h="16838" w:orient="portrait"/>
          <w:cols w:equalWidth="0" w:num="1">
            <w:col w:w="11380"/>
          </w:cols>
          <w:pgMar w:left="240" w:top="679" w:right="279" w:bottom="1440" w:gutter="0" w:footer="0" w:header="0"/>
        </w:sectPr>
      </w:pPr>
    </w:p>
    <w:bookmarkStart w:id="16" w:name="page17"/>
    <w:bookmarkEnd w:id="16"/>
    <w:p>
      <w:pPr>
        <w:spacing w:after="0"/>
        <w:rPr>
          <w:sz w:val="20"/>
          <w:szCs w:val="20"/>
          <w:color w:val="auto"/>
        </w:rPr>
      </w:pPr>
      <w:r>
        <w:rPr>
          <w:rFonts w:ascii="Arial" w:cs="Arial" w:eastAsia="Arial" w:hAnsi="Arial"/>
          <w:sz w:val="32"/>
          <w:szCs w:val="32"/>
          <w:b w:val="1"/>
          <w:bCs w:val="1"/>
          <w:i w:val="1"/>
          <w:iCs w:val="1"/>
          <w:color w:val="CC0000"/>
        </w:rPr>
        <w:t>Item 1A.Risk Factors</w:t>
      </w:r>
    </w:p>
    <w:p>
      <w:pPr>
        <w:spacing w:after="0" w:line="2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to the other information contained in this Form 10-K, the following risk factors should be considered carefully in evaluating our company. It is possible that our business, financial condition, liquidity, cash flows, or results of operations could be materially adversely affected by any of these risks. Certain of these risks could also adversely affect the company's reputation.</w:t>
      </w:r>
    </w:p>
    <w:p>
      <w:pPr>
        <w:spacing w:after="0" w:line="72" w:lineRule="exact"/>
        <w:rPr>
          <w:sz w:val="20"/>
          <w:szCs w:val="20"/>
          <w:color w:val="auto"/>
        </w:rPr>
      </w:pPr>
    </w:p>
    <w:p>
      <w:pPr>
        <w:ind w:left="340" w:right="180" w:hanging="332"/>
        <w:spacing w:after="0" w:line="26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Pharmaceutical research and development is very costly and highly uncertain; we may not succeed in developing or acquiring commercially successful products sufficient in number or value to replace revenues of products that have lost or will soon lose intellectual property protection or are displaced by competing products or therapies.</w:t>
      </w:r>
    </w:p>
    <w:p>
      <w:pPr>
        <w:spacing w:after="0" w:line="82" w:lineRule="exact"/>
        <w:rPr>
          <w:rFonts w:ascii="Arial" w:cs="Arial" w:eastAsia="Arial" w:hAnsi="Arial"/>
          <w:sz w:val="18"/>
          <w:szCs w:val="18"/>
          <w:color w:val="auto"/>
        </w:rPr>
      </w:pPr>
    </w:p>
    <w:p>
      <w:pPr>
        <w:ind w:left="340" w:right="100"/>
        <w:spacing w:after="0" w:line="268" w:lineRule="auto"/>
        <w:rPr>
          <w:rFonts w:ascii="Arial" w:cs="Arial" w:eastAsia="Arial" w:hAnsi="Arial"/>
          <w:sz w:val="18"/>
          <w:szCs w:val="18"/>
          <w:color w:val="auto"/>
        </w:rPr>
      </w:pPr>
      <w:r>
        <w:rPr>
          <w:rFonts w:ascii="Arial" w:cs="Arial" w:eastAsia="Arial" w:hAnsi="Arial"/>
          <w:sz w:val="17"/>
          <w:szCs w:val="17"/>
          <w:color w:val="auto"/>
        </w:rPr>
        <w:t>There are many difficulties and uncertainties inherent in pharmaceutical research and development and the introduction of new products. There is a high rate of failure inherent in new drug discovery and development. To bring a drug from the discovery phase to market can take over a decade and often costs in excess of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limited scope of approved uses, changes in the relevant treatment standards or the availability of new or better competitive products, difficulty or excessive costs to manufacture, or infringement of the patents or intellectual property rights of others. Regulatory agencies continue to establish increasingly high hurdles for the efficacy and safety of new products. Delays and uncertainties in drug approval processes can result in delays in product launches and lost market opportunity. In addition, it can be very difficult to predict revenue growth rates of new products.</w:t>
      </w:r>
    </w:p>
    <w:p>
      <w:pPr>
        <w:spacing w:after="0" w:line="86" w:lineRule="exact"/>
        <w:rPr>
          <w:rFonts w:ascii="Arial" w:cs="Arial" w:eastAsia="Arial" w:hAnsi="Arial"/>
          <w:sz w:val="18"/>
          <w:szCs w:val="18"/>
          <w:color w:val="auto"/>
        </w:rPr>
      </w:pPr>
    </w:p>
    <w:p>
      <w:pPr>
        <w:ind w:left="340" w:right="40"/>
        <w:spacing w:after="0" w:line="252" w:lineRule="auto"/>
        <w:rPr>
          <w:rFonts w:ascii="Arial" w:cs="Arial" w:eastAsia="Arial" w:hAnsi="Arial"/>
          <w:sz w:val="18"/>
          <w:szCs w:val="18"/>
          <w:color w:val="auto"/>
        </w:rPr>
      </w:pPr>
      <w:r>
        <w:rPr>
          <w:rFonts w:ascii="Arial" w:cs="Arial" w:eastAsia="Arial" w:hAnsi="Arial"/>
          <w:sz w:val="18"/>
          <w:szCs w:val="18"/>
          <w:color w:val="auto"/>
        </w:rPr>
        <w:t>We cannot state with certainty when or whether our products now under development will be approved or launched; whether, if initially granted, such approval will be maintained; whether we will be able to develop, license, or otherwise acquire additional product candidates or products; or whether our products, once launched, will be commercially successful. We must maintain a continuous flow of successful new products and successful new indications or brand extensions for existing products sufficient both to cover our substantial research and development costs and to replace revenues that are lost as profitable products lose intellectual property exclusivity or are displaced by competing products or therapies. Failure to do so in the short-term or long-term would have a material adverse effect on our business, results of operations, cash flows, and financial position. See Item 7, “Management’s Discussion and Analysis - Results of Operations - Executive Overview - Late-Stage Pipeline,” for more details.</w:t>
      </w:r>
    </w:p>
    <w:p>
      <w:pPr>
        <w:spacing w:after="0" w:line="76" w:lineRule="exact"/>
        <w:rPr>
          <w:rFonts w:ascii="Arial" w:cs="Arial" w:eastAsia="Arial" w:hAnsi="Arial"/>
          <w:sz w:val="18"/>
          <w:szCs w:val="18"/>
          <w:color w:val="auto"/>
        </w:rPr>
      </w:pPr>
    </w:p>
    <w:p>
      <w:pPr>
        <w:jc w:val="both"/>
        <w:ind w:left="340" w:right="100" w:hanging="332"/>
        <w:spacing w:after="0" w:line="269"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depend on products with intellectual property protection for most of our revenues, cash flows, and earnings; we have lost or will lose effective intellectual property protection for many of those products in the next several years, which has resulted and is likely to continue to result in rapid and severe declines in revenues.</w:t>
      </w:r>
    </w:p>
    <w:p>
      <w:pPr>
        <w:spacing w:after="0" w:line="82" w:lineRule="exact"/>
        <w:rPr>
          <w:rFonts w:ascii="Arial" w:cs="Arial" w:eastAsia="Arial" w:hAnsi="Arial"/>
          <w:sz w:val="18"/>
          <w:szCs w:val="18"/>
          <w:b w:val="1"/>
          <w:bCs w:val="1"/>
          <w:color w:val="auto"/>
        </w:rPr>
      </w:pPr>
    </w:p>
    <w:p>
      <w:pPr>
        <w:ind w:left="340" w:right="5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 number of our top-selling products have recently lost, or will lose in the next several years, significant patent protection and/or data protection in the U.S. as well as key countries outside the U.S., as illustrated in the tables below:</w:t>
      </w:r>
    </w:p>
    <w:p>
      <w:pPr>
        <w:spacing w:after="0" w:line="96"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Percent of</w:t>
            </w:r>
          </w:p>
        </w:tc>
        <w:tc>
          <w:tcPr>
            <w:tcW w:w="6140" w:type="dxa"/>
            <w:vAlign w:val="bottom"/>
            <w:tcBorders>
              <w:top w:val="single" w:sz="8" w:color="auto"/>
              <w:right w:val="single" w:sz="8" w:color="auto"/>
            </w:tcBorders>
          </w:tcPr>
          <w:p>
            <w:pPr>
              <w:spacing w:after="0"/>
              <w:rPr>
                <w:sz w:val="16"/>
                <w:szCs w:val="16"/>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right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U.S. Revenues</w:t>
            </w:r>
          </w:p>
        </w:tc>
        <w:tc>
          <w:tcPr>
            <w:tcW w:w="134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Worldwide</w:t>
            </w:r>
          </w:p>
        </w:tc>
        <w:tc>
          <w:tcPr>
            <w:tcW w:w="61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right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Revenues</w:t>
            </w:r>
          </w:p>
        </w:tc>
        <w:tc>
          <w:tcPr>
            <w:tcW w:w="6140" w:type="dxa"/>
            <w:vAlign w:val="bottom"/>
            <w:tcBorders>
              <w:right w:val="single" w:sz="8" w:color="auto"/>
            </w:tcBorders>
          </w:tcPr>
          <w:p>
            <w:pPr>
              <w:spacing w:after="0"/>
              <w:rPr>
                <w:sz w:val="14"/>
                <w:szCs w:val="14"/>
                <w:color w:val="auto"/>
              </w:rPr>
            </w:pPr>
          </w:p>
        </w:tc>
      </w:tr>
      <w:tr>
        <w:trPr>
          <w:trHeight w:val="196"/>
        </w:trPr>
        <w:tc>
          <w:tcPr>
            <w:tcW w:w="144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Product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 in millions)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6140" w:type="dxa"/>
            <w:vAlign w:val="bottom"/>
            <w:tcBorders>
              <w:bottom w:val="single" w:sz="8" w:color="auto"/>
              <w:right w:val="single" w:sz="8" w:color="auto"/>
            </w:tcBorders>
          </w:tcPr>
          <w:p>
            <w:pPr>
              <w:ind w:left="2040"/>
              <w:spacing w:after="0"/>
              <w:rPr>
                <w:sz w:val="20"/>
                <w:szCs w:val="20"/>
                <w:color w:val="auto"/>
              </w:rPr>
            </w:pPr>
            <w:r>
              <w:rPr>
                <w:rFonts w:ascii="Arial" w:cs="Arial" w:eastAsia="Arial" w:hAnsi="Arial"/>
                <w:sz w:val="14"/>
                <w:szCs w:val="14"/>
                <w:b w:val="1"/>
                <w:bCs w:val="1"/>
                <w:color w:val="auto"/>
              </w:rPr>
              <w:t>Patent / Data Protection - U.S.</w:t>
            </w:r>
          </w:p>
        </w:tc>
      </w:tr>
      <w:tr>
        <w:trPr>
          <w:trHeight w:val="243"/>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right"/>
              <w:ind w:right="21"/>
              <w:spacing w:after="0"/>
              <w:rPr>
                <w:sz w:val="20"/>
                <w:szCs w:val="20"/>
                <w:color w:val="auto"/>
              </w:rPr>
            </w:pPr>
            <w:r>
              <w:rPr>
                <w:rFonts w:ascii="Arial" w:cs="Arial" w:eastAsia="Arial" w:hAnsi="Arial"/>
                <w:sz w:val="18"/>
                <w:szCs w:val="18"/>
                <w:color w:val="auto"/>
              </w:rPr>
              <w:t>1,219.5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Vitamin regimen patent plus pediatric exclusivity will expire in May 2022</w:t>
            </w:r>
          </w:p>
        </w:tc>
      </w:tr>
      <w:tr>
        <w:trPr>
          <w:trHeight w:val="242"/>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40" w:type="dxa"/>
            <w:vAlign w:val="bottom"/>
          </w:tcPr>
          <w:p>
            <w:pPr>
              <w:spacing w:after="0"/>
              <w:rPr>
                <w:sz w:val="21"/>
                <w:szCs w:val="21"/>
                <w:color w:val="auto"/>
              </w:rPr>
            </w:pPr>
          </w:p>
        </w:tc>
        <w:tc>
          <w:tcPr>
            <w:tcW w:w="1220" w:type="dxa"/>
            <w:vAlign w:val="bottom"/>
            <w:tcBorders>
              <w:right w:val="single" w:sz="8" w:color="auto"/>
            </w:tcBorders>
          </w:tcPr>
          <w:p>
            <w:pPr>
              <w:jc w:val="right"/>
              <w:ind w:right="21"/>
              <w:spacing w:after="0"/>
              <w:rPr>
                <w:sz w:val="20"/>
                <w:szCs w:val="20"/>
                <w:color w:val="auto"/>
              </w:rPr>
            </w:pPr>
            <w:r>
              <w:rPr>
                <w:rFonts w:ascii="Arial" w:cs="Arial" w:eastAsia="Arial" w:hAnsi="Arial"/>
                <w:sz w:val="18"/>
                <w:szCs w:val="18"/>
                <w:color w:val="auto"/>
              </w:rPr>
              <w:t>645.5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Formulation and related process patents expired in December 2018 and use</w:t>
            </w:r>
          </w:p>
        </w:tc>
      </w:tr>
      <w:tr>
        <w:trPr>
          <w:trHeight w:val="224"/>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patents expired in August 2019</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17</w:t>
      </w:r>
    </w:p>
    <w:p>
      <w:pPr>
        <w:sectPr>
          <w:pgSz w:w="11900" w:h="16838" w:orient="portrait"/>
          <w:cols w:equalWidth="0" w:num="1">
            <w:col w:w="11420"/>
          </w:cols>
          <w:pgMar w:left="240" w:top="535" w:right="239" w:bottom="1440" w:gutter="0" w:footer="0" w:header="0"/>
        </w:sectPr>
      </w:pPr>
    </w:p>
    <w:bookmarkStart w:id="17" w:name="page18"/>
    <w:bookmarkEnd w:id="17"/>
    <w:tbl>
      <w:tblPr>
        <w:tblLayout w:type="fixed"/>
        <w:tblInd w:w="350"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 Outside</w:t>
            </w:r>
          </w:p>
        </w:tc>
        <w:tc>
          <w:tcPr>
            <w:tcW w:w="13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Percent of</w:t>
            </w:r>
          </w:p>
        </w:tc>
        <w:tc>
          <w:tcPr>
            <w:tcW w:w="6140" w:type="dxa"/>
            <w:vAlign w:val="bottom"/>
            <w:tcBorders>
              <w:top w:val="single" w:sz="8" w:color="auto"/>
              <w:right w:val="single" w:sz="8" w:color="auto"/>
            </w:tcBorders>
          </w:tcPr>
          <w:p>
            <w:pPr>
              <w:spacing w:after="0"/>
              <w:rPr>
                <w:sz w:val="16"/>
                <w:szCs w:val="16"/>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right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U.S.</w:t>
            </w:r>
          </w:p>
        </w:tc>
        <w:tc>
          <w:tcPr>
            <w:tcW w:w="134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Worldwide</w:t>
            </w:r>
          </w:p>
        </w:tc>
        <w:tc>
          <w:tcPr>
            <w:tcW w:w="61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right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Revenues</w:t>
            </w:r>
          </w:p>
        </w:tc>
        <w:tc>
          <w:tcPr>
            <w:tcW w:w="6140" w:type="dxa"/>
            <w:vAlign w:val="bottom"/>
            <w:tcBorders>
              <w:right w:val="single" w:sz="8" w:color="auto"/>
            </w:tcBorders>
          </w:tcPr>
          <w:p>
            <w:pPr>
              <w:spacing w:after="0"/>
              <w:rPr>
                <w:sz w:val="14"/>
                <w:szCs w:val="14"/>
                <w:color w:val="auto"/>
              </w:rPr>
            </w:pPr>
          </w:p>
        </w:tc>
      </w:tr>
      <w:tr>
        <w:trPr>
          <w:trHeight w:val="196"/>
        </w:trPr>
        <w:tc>
          <w:tcPr>
            <w:tcW w:w="144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Product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 in millions)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614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4"/>
                <w:szCs w:val="14"/>
                <w:b w:val="1"/>
                <w:bCs w:val="1"/>
                <w:color w:val="auto"/>
              </w:rPr>
              <w:t>Patent / Data Protection - Major Europe / Japan</w:t>
            </w:r>
          </w:p>
        </w:tc>
      </w:tr>
      <w:tr>
        <w:trPr>
          <w:trHeight w:val="228"/>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8"/>
                <w:szCs w:val="18"/>
                <w:color w:val="auto"/>
              </w:rPr>
              <w:t>896.4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vitamin regimen patent will expire in June 2021</w:t>
            </w:r>
          </w:p>
        </w:tc>
      </w:tr>
      <w:tr>
        <w:trPr>
          <w:trHeight w:val="203"/>
        </w:trPr>
        <w:tc>
          <w:tcPr>
            <w:tcW w:w="14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Japan: use patents to treat cancer concomitantly with vitamins will expire in</w:t>
            </w:r>
          </w:p>
        </w:tc>
      </w:tr>
      <w:tr>
        <w:trPr>
          <w:trHeight w:val="217"/>
        </w:trPr>
        <w:tc>
          <w:tcPr>
            <w:tcW w:w="14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June 2021</w:t>
            </w:r>
          </w:p>
        </w:tc>
      </w:tr>
      <w:tr>
        <w:trPr>
          <w:trHeight w:val="242"/>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60" w:type="dxa"/>
            <w:vAlign w:val="bottom"/>
          </w:tcPr>
          <w:p>
            <w:pPr>
              <w:spacing w:after="0"/>
              <w:rPr>
                <w:sz w:val="21"/>
                <w:szCs w:val="21"/>
                <w:color w:val="auto"/>
              </w:rPr>
            </w:pP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8"/>
                <w:szCs w:val="18"/>
                <w:color w:val="auto"/>
              </w:rPr>
              <w:t>759.1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expired in July 2018; formulation and use</w:t>
            </w:r>
          </w:p>
        </w:tc>
      </w:tr>
      <w:tr>
        <w:trPr>
          <w:trHeight w:val="217"/>
        </w:trPr>
        <w:tc>
          <w:tcPr>
            <w:tcW w:w="14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patents expired in August 2019</w:t>
            </w:r>
          </w:p>
        </w:tc>
      </w:tr>
      <w:tr>
        <w:trPr>
          <w:trHeight w:val="264"/>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Cymbalta</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8"/>
                <w:szCs w:val="18"/>
                <w:color w:val="auto"/>
              </w:rPr>
              <w:t>675.8</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expired in January 2020</w:t>
            </w:r>
          </w:p>
        </w:tc>
      </w:tr>
    </w:tbl>
    <w:p>
      <w:pPr>
        <w:spacing w:after="0" w:line="161"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Certain other significant products no longer have effective exclusivity through patent protection or data protection. For non-biologic products, loss of exclusivity (whether by expiration of legal rights or by termination thereof as a consequence of litigation) typically results in the entry of one or more generic competitors, leading to a rapid and severe decline in revenues, especially in the U.S. Historically, outside the U.S. the market penetration of generics following loss of exclusivity has not been as rapid or pervasive as in the U.S.; however, generic market penetration is increasing in many markets outside the U.S., including Japan, Europe, and many countries in the emerging markets. For biologics (such as Humalog, Humulin, Erbitux, Cyramza, Trulicity, Taltz, and Emgality), loss of exclusivity may or may not result in the near-term entry of competitor versions (i.e., biosimilars) due to many factors including development timelines, manufacturing challenges, and/or uncertainties in the regulatory pathways for approval of the competitor versions.</w:t>
      </w:r>
    </w:p>
    <w:p>
      <w:pPr>
        <w:spacing w:after="0" w:line="98" w:lineRule="exact"/>
        <w:rPr>
          <w:sz w:val="20"/>
          <w:szCs w:val="20"/>
          <w:color w:val="auto"/>
        </w:rPr>
      </w:pPr>
    </w:p>
    <w:p>
      <w:pPr>
        <w:ind w:left="340" w:right="80"/>
        <w:spacing w:after="0" w:line="252" w:lineRule="auto"/>
        <w:rPr>
          <w:sz w:val="20"/>
          <w:szCs w:val="20"/>
          <w:color w:val="auto"/>
        </w:rPr>
      </w:pPr>
      <w:r>
        <w:rPr>
          <w:rFonts w:ascii="Arial" w:cs="Arial" w:eastAsia="Arial" w:hAnsi="Arial"/>
          <w:sz w:val="18"/>
          <w:szCs w:val="18"/>
          <w:color w:val="auto"/>
        </w:rPr>
        <w:t>There is no assurance that the patents we are seeking will be granted or that the patents we hold will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may assert claims that our activities infringe patents or other intellectual property rights held by them, or allege a third-party right of ownership in our existing intellectual property. See Item 7, “Management’s Discussion and Analysis - Results of Operations - Executive Overview - Other Matters - Patent Matters,” and Item 1, "Business - Patents, Trademarks, and Other Intellectual Property Rights," for more details.</w:t>
      </w:r>
    </w:p>
    <w:p>
      <w:pPr>
        <w:spacing w:after="0" w:line="77" w:lineRule="exact"/>
        <w:rPr>
          <w:sz w:val="20"/>
          <w:szCs w:val="20"/>
          <w:color w:val="auto"/>
        </w:rPr>
      </w:pPr>
    </w:p>
    <w:p>
      <w:pPr>
        <w:ind w:left="340" w:right="1100" w:hanging="332"/>
        <w:spacing w:after="0" w:line="287"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67" w:lineRule="exact"/>
        <w:rPr>
          <w:rFonts w:ascii="Arial" w:cs="Arial" w:eastAsia="Arial" w:hAnsi="Arial"/>
          <w:sz w:val="18"/>
          <w:szCs w:val="18"/>
          <w:b w:val="1"/>
          <w:bCs w:val="1"/>
          <w:color w:val="auto"/>
        </w:rPr>
      </w:pPr>
    </w:p>
    <w:p>
      <w:pPr>
        <w:ind w:left="34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or acquire,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drugs to the market.</w:t>
      </w:r>
    </w:p>
    <w:p>
      <w:pPr>
        <w:spacing w:after="0" w:line="96" w:lineRule="exact"/>
        <w:rPr>
          <w:rFonts w:ascii="Arial" w:cs="Arial" w:eastAsia="Arial" w:hAnsi="Arial"/>
          <w:sz w:val="18"/>
          <w:szCs w:val="18"/>
          <w:b w:val="1"/>
          <w:bCs w:val="1"/>
          <w:color w:val="auto"/>
        </w:rPr>
      </w:pPr>
    </w:p>
    <w:p>
      <w:pPr>
        <w:ind w:left="34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Intellectual property protection varies throughout the world and is subject to change over time, depending on local laws and regulations. Changes to such laws and regulations could reduce protections for our innovative products. In the U.S., in addition to the process for challenging patents set forth in the BPCI Act, which applies to our biologic products, the Hatch-Waxman Act provides generic companies powerful incentives to seek to invalidate our other pharmaceutical patents. As a result, we expect that our U.S. patents on major pharmaceutical products will continue to be routinely challenged in litigation and may not be upheld. In addition, a separate IPR process allows competitors to request review of issued patents by the USPTO without the protections of the Hatch-Waxman Act. Our patents may be invalidated via this review process. Although such a decision can be appealed to the courts, in certain circumstances a loss in such a proceeding could result in a competitor entering the market, while a win provides no precedential value - the same patent can still be challenged by other competitors. 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being required to pay significant damages for past infringement or royalties on future sales. See Item 1, “Business - Patents, Trademarks, and Other Intellectual Property Rights,” Item 3, "Legal Proceedings," and Item 8, "Financial Statements and Supplementary Data - Note 16, Contingencies," for more details.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w:t>
      </w:r>
    </w:p>
    <w:p>
      <w:pPr>
        <w:sectPr>
          <w:pgSz w:w="11900" w:h="16838" w:orient="portrait"/>
          <w:cols w:equalWidth="0" w:num="1">
            <w:col w:w="11400"/>
          </w:cols>
          <w:pgMar w:left="240" w:top="741" w:right="259" w:bottom="1440" w:gutter="0" w:footer="0" w:header="0"/>
        </w:sectPr>
      </w:pPr>
    </w:p>
    <w:bookmarkStart w:id="18" w:name="page19"/>
    <w:bookmarkEnd w:id="18"/>
    <w:p>
      <w:pPr>
        <w:jc w:val="both"/>
        <w:ind w:left="340" w:right="1100" w:hanging="332"/>
        <w:spacing w:after="0" w:line="31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Our business is subject to increasing government price controls and other public and private restrictions on pricing, reimbursement, and access for our drugs, which could have a material adverse effect on our reputation or business.</w:t>
      </w:r>
    </w:p>
    <w:p>
      <w:pPr>
        <w:spacing w:after="0" w:line="44" w:lineRule="exact"/>
        <w:rPr>
          <w:rFonts w:ascii="Arial" w:cs="Arial" w:eastAsia="Arial" w:hAnsi="Arial"/>
          <w:sz w:val="17"/>
          <w:szCs w:val="17"/>
          <w:color w:val="auto"/>
        </w:rPr>
      </w:pPr>
    </w:p>
    <w:p>
      <w:pPr>
        <w:ind w:left="340" w:right="160"/>
        <w:spacing w:after="0" w:line="256" w:lineRule="auto"/>
        <w:rPr>
          <w:rFonts w:ascii="Arial" w:cs="Arial" w:eastAsia="Arial" w:hAnsi="Arial"/>
          <w:sz w:val="17"/>
          <w:szCs w:val="17"/>
          <w:color w:val="auto"/>
        </w:rPr>
      </w:pPr>
      <w:r>
        <w:rPr>
          <w:rFonts w:ascii="Arial" w:cs="Arial" w:eastAsia="Arial" w:hAnsi="Arial"/>
          <w:sz w:val="18"/>
          <w:szCs w:val="18"/>
          <w:color w:val="auto"/>
        </w:rPr>
        <w:t>Public and private payers are taking increasingly aggressive steps to control their expenditures for pharmaceuticals by placing restrictions on pricing and reimbursement for, and patient access to, our medications. These pressures could continue to negatively affect our future revenues and net income.</w:t>
      </w:r>
    </w:p>
    <w:p>
      <w:pPr>
        <w:spacing w:after="0" w:line="201" w:lineRule="exact"/>
        <w:rPr>
          <w:rFonts w:ascii="Arial" w:cs="Arial" w:eastAsia="Arial" w:hAnsi="Arial"/>
          <w:sz w:val="17"/>
          <w:szCs w:val="17"/>
          <w:color w:val="auto"/>
        </w:rPr>
      </w:pPr>
    </w:p>
    <w:p>
      <w:pPr>
        <w:ind w:left="340" w:right="200"/>
        <w:spacing w:after="0" w:line="254" w:lineRule="auto"/>
        <w:rPr>
          <w:rFonts w:ascii="Arial" w:cs="Arial" w:eastAsia="Arial" w:hAnsi="Arial"/>
          <w:sz w:val="17"/>
          <w:szCs w:val="17"/>
          <w:color w:val="auto"/>
        </w:rPr>
      </w:pPr>
      <w:r>
        <w:rPr>
          <w:rFonts w:ascii="Arial" w:cs="Arial" w:eastAsia="Arial" w:hAnsi="Arial"/>
          <w:sz w:val="18"/>
          <w:szCs w:val="18"/>
          <w:color w:val="auto"/>
        </w:rPr>
        <w:t>We expect pricing, reimbursement, and access pressures from both governments and private payers inside and outside the U.S. to become more severe. For more details, see Item 1, “Business - Regulations and Private Payer Actions Affecting Pharmaceutical Pricing, Reimbursement, and Access,” and Item 7, “Management’s Discussion and Analysis - Results of Operations - Executive Overview - Other Matters - Trends Affecting Pharmaceutical Pricing, Reimbursement, and Access.”</w:t>
      </w:r>
    </w:p>
    <w:p>
      <w:pPr>
        <w:spacing w:after="0" w:line="74" w:lineRule="exact"/>
        <w:rPr>
          <w:rFonts w:ascii="Arial" w:cs="Arial" w:eastAsia="Arial" w:hAnsi="Arial"/>
          <w:sz w:val="17"/>
          <w:szCs w:val="17"/>
          <w:color w:val="auto"/>
        </w:rPr>
      </w:pPr>
    </w:p>
    <w:p>
      <w:pPr>
        <w:ind w:left="340" w:right="300" w:hanging="332"/>
        <w:spacing w:after="0" w:line="28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We face intense competition from multinational pharmaceutical companies, biotechnology companies, and lower-cost generic and biosimilar manufacturers, and such competition could have a material adverse effect on our business.</w:t>
      </w:r>
    </w:p>
    <w:p>
      <w:pPr>
        <w:spacing w:after="0" w:line="67" w:lineRule="exact"/>
        <w:rPr>
          <w:rFonts w:ascii="Arial" w:cs="Arial" w:eastAsia="Arial" w:hAnsi="Arial"/>
          <w:sz w:val="18"/>
          <w:szCs w:val="18"/>
          <w:color w:val="auto"/>
        </w:rPr>
      </w:pPr>
    </w:p>
    <w:p>
      <w:pPr>
        <w:ind w:left="340" w:right="100"/>
        <w:spacing w:after="0" w:line="251" w:lineRule="auto"/>
        <w:rPr>
          <w:rFonts w:ascii="Arial" w:cs="Arial" w:eastAsia="Arial" w:hAnsi="Arial"/>
          <w:sz w:val="18"/>
          <w:szCs w:val="18"/>
          <w:color w:val="auto"/>
        </w:rPr>
      </w:pPr>
      <w:r>
        <w:rPr>
          <w:rFonts w:ascii="Arial" w:cs="Arial" w:eastAsia="Arial" w:hAnsi="Arial"/>
          <w:sz w:val="18"/>
          <w:szCs w:val="18"/>
          <w:color w:val="auto"/>
        </w:rPr>
        <w:t>We compete with a large number of multinational pharmaceutical companies, biotechnology companies, and generic pharmaceutical companies. To compete successfully, we must continue to deliver to the market innovative, cost-effective products that meet important medical needs. Our product revenues can be adversely affected by the introduction by competitors of branded products that are perceived as superior by the marketplace, by generic or biosimilar versions of our branded products, and by generic or biosimilar versions of other products in the same therapeutic class as our branded products. Regulation of generic and biosimilar products varies around the world. Particularly for biosimilars, changes to such regulations could make it easier, less expensive, and less time consuming for competitor products to enter the market, some of which could be substituted for our products at the pharmacy. Our revenues can also be adversely affected by treatment innovations that eliminate or minimize the need for treatment with our drugs. See Item 1, “Business - Competition” and "Business - Research and Development," for more details.</w:t>
      </w:r>
    </w:p>
    <w:p>
      <w:pPr>
        <w:spacing w:after="0" w:line="82" w:lineRule="exact"/>
        <w:rPr>
          <w:rFonts w:ascii="Arial" w:cs="Arial" w:eastAsia="Arial" w:hAnsi="Arial"/>
          <w:sz w:val="18"/>
          <w:szCs w:val="18"/>
          <w:color w:val="auto"/>
        </w:rPr>
      </w:pPr>
    </w:p>
    <w:p>
      <w:pPr>
        <w:ind w:left="340" w:right="580" w:hanging="332"/>
        <w:spacing w:after="0" w:line="28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Changes in foreign currency rates or devaluation of a foreign currency can materially affect our revenue, cost of sales, and operating expenses.</w:t>
      </w:r>
    </w:p>
    <w:p>
      <w:pPr>
        <w:spacing w:after="0" w:line="67" w:lineRule="exact"/>
        <w:rPr>
          <w:rFonts w:ascii="Arial" w:cs="Arial" w:eastAsia="Arial" w:hAnsi="Arial"/>
          <w:sz w:val="18"/>
          <w:szCs w:val="18"/>
          <w:color w:val="auto"/>
        </w:rPr>
      </w:pPr>
    </w:p>
    <w:p>
      <w:pPr>
        <w:ind w:left="340" w:right="140"/>
        <w:spacing w:after="0" w:line="253" w:lineRule="auto"/>
        <w:rPr>
          <w:rFonts w:ascii="Arial" w:cs="Arial" w:eastAsia="Arial" w:hAnsi="Arial"/>
          <w:sz w:val="18"/>
          <w:szCs w:val="18"/>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While we seek to manage a portion of these exposures through hedging and other risk management techniques, significant fluctuations in currency rates can have a material impact, either positive or negative, on our revenue, cost of sales, and operating expenses. In the event of an extreme devaluation of local currency, the price of our products could become unsustainable in the relevant market. See Item 7, “Management’s Discussion and Analysis - Financial Condition” for more details.</w:t>
      </w:r>
    </w:p>
    <w:p>
      <w:pPr>
        <w:spacing w:after="0" w:line="75" w:lineRule="exact"/>
        <w:rPr>
          <w:rFonts w:ascii="Arial" w:cs="Arial" w:eastAsia="Arial" w:hAnsi="Arial"/>
          <w:sz w:val="18"/>
          <w:szCs w:val="18"/>
          <w:color w:val="auto"/>
        </w:rPr>
      </w:pPr>
    </w:p>
    <w:p>
      <w:pPr>
        <w:ind w:left="340" w:right="60" w:hanging="332"/>
        <w:spacing w:after="0" w:line="287"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Unanticipated changes in our tax rates or exposure to additional tax liabilities could increase our income taxes and decrease our net income.</w:t>
      </w:r>
    </w:p>
    <w:p>
      <w:pPr>
        <w:spacing w:after="0" w:line="67" w:lineRule="exact"/>
        <w:rPr>
          <w:rFonts w:ascii="Arial" w:cs="Arial" w:eastAsia="Arial" w:hAnsi="Arial"/>
          <w:sz w:val="18"/>
          <w:szCs w:val="18"/>
          <w:b w:val="1"/>
          <w:bCs w:val="1"/>
          <w:color w:val="auto"/>
        </w:rPr>
      </w:pPr>
    </w:p>
    <w:p>
      <w:pPr>
        <w:ind w:left="3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We are subject to income taxes in the U.S. and numerous foreign jurisdictions, and in the course of our business, we make judgments about the expected tax treatment of various transactions and events, including the separation of Elanco. Changes in the relevant tax laws, regulations, administrative practices, principles, and interpretations, as well as events that differ from our expectations, could adversely affect our future effective tax rates. The U.S. enacted tax reform legislation significantly revising the U.S. tax law, effective January 2018, and a number of other countries are actively considering or enacting tax changes. Modifications to key elements of the U.S. or international tax framework could have a material adverse effect on our consolidated operating results and cash flows. See Item 7, “Management’s Discussion and Analysis - Results of Operations - Executive Overview - Other Matters - Tax Matters” and Item 8, "Financial Statements and Supplementary Data - Note 14, Income Taxes," for more details. Lilly has taken the position on the separation from Elanco, based on an opinion of tax counsel, that the divestiture of Elanco common stock qualifies as a transaction that is tax-free for U.S. federal income tax purposes. If any facts, assumptions, representations, and undertakings from Lilly and Elanco regarding the past and future conduct of their respective businesses and other matters are incorrect or not otherwise satisfied, the divestiture may not qualify for tax-free treatment, which could result in significant U.S. federal income tax liabilities for both Lilly and its shareholders who exchanged their stock for Elanco stock.</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19</w:t>
      </w:r>
    </w:p>
    <w:p>
      <w:pPr>
        <w:sectPr>
          <w:pgSz w:w="11900" w:h="16838" w:orient="portrait"/>
          <w:cols w:equalWidth="0" w:num="1">
            <w:col w:w="11420"/>
          </w:cols>
          <w:pgMar w:left="240" w:top="657" w:right="239" w:bottom="1440" w:gutter="0" w:footer="0" w:header="0"/>
        </w:sectPr>
      </w:pPr>
    </w:p>
    <w:bookmarkStart w:id="19" w:name="page20"/>
    <w:bookmarkEnd w:id="19"/>
    <w:p>
      <w:pPr>
        <w:ind w:left="340" w:right="180" w:hanging="332"/>
        <w:spacing w:after="0" w:line="287" w:lineRule="auto"/>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Failure, inadequacy, or breach of our information technology systems, infrastructure, and business information or violations of data protection laws could result in material harm to our business and reputation.</w:t>
      </w:r>
    </w:p>
    <w:p>
      <w:pPr>
        <w:spacing w:after="0" w:line="67" w:lineRule="exact"/>
        <w:rPr>
          <w:rFonts w:ascii="Arial" w:cs="Arial" w:eastAsia="Arial" w:hAnsi="Arial"/>
          <w:sz w:val="18"/>
          <w:szCs w:val="18"/>
          <w:b w:val="1"/>
          <w:bCs w:val="1"/>
          <w:color w:val="auto"/>
        </w:rPr>
      </w:pPr>
    </w:p>
    <w:p>
      <w:pPr>
        <w:ind w:left="34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A great deal of confidential information owned by both us and our business partners is stored in our information systems, networks, and facilities or those of third parties. This includes valuable trade secrets and intellectual property, clinical trial information, corporate strategic plans, marketing plans, customer information, and personally identifiable information, such as employee and patient information (collectively, “confidential information”). We also rely to a large extent on the efficient and uninterrupted operation of complex information technology systems, infrastructure, and hardware (together “IT systems”), some of which are within the company’s control and some of which are within the control of third parties, to accumulate, process, store, and transmit large amounts of confidential information and other data. We are subject to a variety of continuously evolving and developing laws and regulations around the world related to privacy, data protection, and data security. Maintaining the confidentiality, integrity and availability of our IT systems and confidential information is vital to our business.</w:t>
      </w:r>
    </w:p>
    <w:p>
      <w:pPr>
        <w:spacing w:after="0" w:line="104" w:lineRule="exact"/>
        <w:rPr>
          <w:rFonts w:ascii="Arial" w:cs="Arial" w:eastAsia="Arial" w:hAnsi="Arial"/>
          <w:sz w:val="18"/>
          <w:szCs w:val="18"/>
          <w:b w:val="1"/>
          <w:bCs w:val="1"/>
          <w:color w:val="auto"/>
        </w:rPr>
      </w:pPr>
    </w:p>
    <w:p>
      <w:pPr>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IT systems are vulnerable to system inadequacies, operating failures, service interruptions or failures, security breaches, malicious intrusions, or cyber-attacks from a variety of sources. Cyber-attacks are growing in their frequency, sophistication, and intensity, and are becoming increasingly difficult to detect, mitigate, or prevent. Cyber-attacks come in many forms, including the deployment of harmful malware, exploitation of vulnerabilities, denial-of-service attacks, the use of social engineering, and other means to compromise the confidentiality, integrity and availability of our IT systems, confidential information, and other data. Breaches resulting in the compromise, disruption, degradation, manipulation, loss, theft, destruction, or unauthorized disclosure or use of confidential information, or the unauthorized access to, disruption of, or interference with our products and services, can occur in a variety of ways, including but not limited to, negligent or wrongful conduct by employees or others with permitted access to our systems and information, or wrongful conduct by hackers, competitors, certain governments, or other current or former company personnel. Our third party partners face similar risks.</w:t>
      </w:r>
    </w:p>
    <w:p>
      <w:pPr>
        <w:spacing w:after="0" w:line="88" w:lineRule="exact"/>
        <w:rPr>
          <w:rFonts w:ascii="Arial" w:cs="Arial" w:eastAsia="Arial" w:hAnsi="Arial"/>
          <w:sz w:val="18"/>
          <w:szCs w:val="18"/>
          <w:b w:val="1"/>
          <w:bCs w:val="1"/>
          <w:color w:val="auto"/>
        </w:rPr>
      </w:pPr>
    </w:p>
    <w:p>
      <w:pPr>
        <w:ind w:left="34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failure or inadequacy of our IT systems, the compromise, disruption, degradation, manipulation, loss, theft, destruction, or unauthorized disclosure or use of confidential information, or the unauthorized access to, disruption of, or interference with our products and services that rely on IT systems, could impair our ability to secure and maintain intellectual property rights; result in a product manufacturing interruption or failure, or in the interruption or failure of products or services that rely on IT systems; damage our operations, customer relationships, or reputation; and cause us to lose trade secrets or other competitive advantages. Unauthorized disclosure of personally identifiable information could expose us to significant sanctions for violations of data privacy laws and regulations around the world and could damage public trust in our company.</w:t>
      </w:r>
    </w:p>
    <w:p>
      <w:pPr>
        <w:spacing w:after="0" w:line="99" w:lineRule="exact"/>
        <w:rPr>
          <w:rFonts w:ascii="Arial" w:cs="Arial" w:eastAsia="Arial" w:hAnsi="Arial"/>
          <w:sz w:val="18"/>
          <w:szCs w:val="18"/>
          <w:b w:val="1"/>
          <w:bCs w:val="1"/>
          <w:color w:val="auto"/>
        </w:rPr>
      </w:pPr>
    </w:p>
    <w:p>
      <w:pPr>
        <w:ind w:left="34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To date, system inadequacies, operating failures, unauthorized access, service interruptions or failures, security breaches, malicious intrusions, cyber-attacks, and the compromise, disruption, degradation, manipulation, loss, theft, destruction, or unauthorized disclosure or use of confidential information have not had a material impact on our consolidated results of operations. We maintain cyber liability insurance; however, this insurance may not be sufficient to cover the financial, legal, business, or reputational losses that may result from an interruption or breach of our IT systems. We continue to implement measures in an effort to protect, detect, respond to, and minimize or prevent these risks and to enhance the resiliency of our IT systems; however, these measures may not be successful. If they are not successful, any of these events could result in material financial, legal, business, or reputational harm to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w:t>
      </w:r>
    </w:p>
    <w:p>
      <w:pPr>
        <w:sectPr>
          <w:pgSz w:w="11900" w:h="16838" w:orient="portrait"/>
          <w:cols w:equalWidth="0" w:num="1">
            <w:col w:w="11380"/>
          </w:cols>
          <w:pgMar w:left="240" w:top="981" w:right="279" w:bottom="1440" w:gutter="0" w:footer="0" w:header="0"/>
        </w:sectPr>
      </w:pPr>
    </w:p>
    <w:bookmarkStart w:id="20" w:name="page21"/>
    <w:bookmarkEnd w:id="20"/>
    <w:p>
      <w:pPr>
        <w:ind w:left="340" w:right="60" w:hanging="332"/>
        <w:spacing w:after="0" w:line="287" w:lineRule="auto"/>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economic downturns or international trade disruptions or disputes could adversely affect our business and operating results.</w:t>
      </w:r>
    </w:p>
    <w:p>
      <w:pPr>
        <w:spacing w:after="0" w:line="67" w:lineRule="exact"/>
        <w:rPr>
          <w:rFonts w:ascii="Arial" w:cs="Arial" w:eastAsia="Arial" w:hAnsi="Arial"/>
          <w:sz w:val="18"/>
          <w:szCs w:val="18"/>
          <w:b w:val="1"/>
          <w:bCs w:val="1"/>
          <w:color w:val="auto"/>
        </w:rPr>
      </w:pPr>
    </w:p>
    <w:p>
      <w:pPr>
        <w:ind w:left="340" w:right="2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While pharmaceuticals have not generally been sensitive to overall economic cycles, prolonged economic slowdowns could lead to decreased utilization of our products, affecting our sales volume. Declining tax revenues attributable to economic downturns increase the pressure on governments to reduce health care spending, leading to increasing government efforts to control drug prices and utilization. Additionally, some customers, including governments or other entities reliant upon government funding, may be unable to pay in a timely manner for our products. Also, if our customers, suppliers, or collaboration partners experience financial difficulties, we could experience slower customer collections, greater bad debt expense, and performance defaults by suppliers or collaboration partners. Similarly, in the event of a significant economic downturn, we could have difficulty accessing credit markets.</w:t>
      </w:r>
    </w:p>
    <w:p>
      <w:pPr>
        <w:spacing w:after="0" w:line="99" w:lineRule="exact"/>
        <w:rPr>
          <w:rFonts w:ascii="Arial" w:cs="Arial" w:eastAsia="Arial" w:hAnsi="Arial"/>
          <w:sz w:val="18"/>
          <w:szCs w:val="18"/>
          <w:b w:val="1"/>
          <w:bCs w:val="1"/>
          <w:color w:val="auto"/>
        </w:rPr>
      </w:pPr>
    </w:p>
    <w:p>
      <w:pPr>
        <w:ind w:left="34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Significant portions of our business are conducted in Europe, including the U.K.; Asia; and other international geographies. Trade disputes and interruptions in international relationships, including pandemic diseases, such as the coronavirus, could result in changes to regulations governing our products and our intellectual property, or otherwise affect our ability to do business. While we do not expect either circumstance to materially affect our business in a direct manner, these and similar events could adversely affect us, or our business partners or customers.</w:t>
      </w:r>
    </w:p>
    <w:p>
      <w:pPr>
        <w:spacing w:after="0" w:line="75" w:lineRule="exact"/>
        <w:rPr>
          <w:rFonts w:ascii="Arial" w:cs="Arial" w:eastAsia="Arial" w:hAnsi="Arial"/>
          <w:sz w:val="18"/>
          <w:szCs w:val="18"/>
          <w:b w:val="1"/>
          <w:bCs w:val="1"/>
          <w:color w:val="auto"/>
        </w:rPr>
      </w:pPr>
    </w:p>
    <w:p>
      <w:pPr>
        <w:ind w:left="340" w:right="400" w:hanging="332"/>
        <w:spacing w:after="0" w:line="28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unexpected safety or efficacy concerns, which could have a material adverse effect on revenues, income, and reputation.</w:t>
      </w:r>
    </w:p>
    <w:p>
      <w:pPr>
        <w:spacing w:after="0" w:line="67" w:lineRule="exact"/>
        <w:rPr>
          <w:rFonts w:ascii="Arial" w:cs="Arial" w:eastAsia="Arial" w:hAnsi="Arial"/>
          <w:sz w:val="18"/>
          <w:szCs w:val="18"/>
          <w:color w:val="auto"/>
        </w:rPr>
      </w:pPr>
    </w:p>
    <w:p>
      <w:pPr>
        <w:ind w:left="340" w:right="40"/>
        <w:spacing w:after="0" w:line="252" w:lineRule="auto"/>
        <w:rPr>
          <w:rFonts w:ascii="Arial" w:cs="Arial" w:eastAsia="Arial" w:hAnsi="Arial"/>
          <w:sz w:val="18"/>
          <w:szCs w:val="18"/>
          <w:color w:val="auto"/>
        </w:rPr>
      </w:pPr>
      <w:r>
        <w:rPr>
          <w:rFonts w:ascii="Arial" w:cs="Arial" w:eastAsia="Arial" w:hAnsi="Arial"/>
          <w:sz w:val="18"/>
          <w:szCs w:val="18"/>
          <w:color w:val="auto"/>
        </w:rPr>
        <w:t>Pharmaceutical products receive regulatory approval based on data obtained in controlled clinical trials of limited duration. After approval, the products are used for longer periods of time by much larger numbers of patients; we and others (including regulatory agencies and private payers) collect extensive information on the efficacy and safety of our marketed products by continuously monitoring the use of our products in the marketplace. In addition, we or others may conduct post-marketing clinical studies on efficacy and safety of our marketed products. New safety or efficacy data from both market surveillance and post-marketing clinical studies may result in product label changes or other measures that could reduce the product's market acceptance and result in declining sales. Serious safety or efficacy issues that arise after product approval could result in voluntary or mandatory product recalls or withdrawals from the market. Safety issues could also result in costly product liability claims.</w:t>
      </w:r>
    </w:p>
    <w:p>
      <w:pPr>
        <w:spacing w:after="0" w:line="76" w:lineRule="exact"/>
        <w:rPr>
          <w:rFonts w:ascii="Arial" w:cs="Arial" w:eastAsia="Arial" w:hAnsi="Arial"/>
          <w:sz w:val="18"/>
          <w:szCs w:val="18"/>
          <w:color w:val="auto"/>
        </w:rPr>
      </w:pPr>
    </w:p>
    <w:p>
      <w:pPr>
        <w:ind w:left="340" w:right="220" w:hanging="332"/>
        <w:spacing w:after="0" w:line="287" w:lineRule="auto"/>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We face litigation and investigations related to our products and our pricing practices and are self-insured; we could face large numbers of claims in the future, which could adversely affect our business.</w:t>
      </w:r>
    </w:p>
    <w:p>
      <w:pPr>
        <w:spacing w:after="0" w:line="54" w:lineRule="exact"/>
        <w:rPr>
          <w:rFonts w:ascii="Arial" w:cs="Arial" w:eastAsia="Arial" w:hAnsi="Arial"/>
          <w:sz w:val="18"/>
          <w:szCs w:val="18"/>
          <w:b w:val="1"/>
          <w:bCs w:val="1"/>
          <w:color w:val="auto"/>
        </w:rPr>
      </w:pPr>
    </w:p>
    <w:p>
      <w:pPr>
        <w:ind w:left="340" w:right="20"/>
        <w:spacing w:after="0" w:line="264" w:lineRule="auto"/>
        <w:rPr>
          <w:rFonts w:ascii="Arial" w:cs="Arial" w:eastAsia="Arial" w:hAnsi="Arial"/>
          <w:sz w:val="18"/>
          <w:szCs w:val="18"/>
          <w:b w:val="1"/>
          <w:bCs w:val="1"/>
          <w:color w:val="auto"/>
        </w:rPr>
      </w:pPr>
      <w:r>
        <w:rPr>
          <w:rFonts w:ascii="Arial" w:cs="Arial" w:eastAsia="Arial" w:hAnsi="Arial"/>
          <w:sz w:val="17"/>
          <w:szCs w:val="17"/>
          <w:color w:val="auto"/>
        </w:rPr>
        <w:t>We are subject to a substantial number of product liability claims involving Actos</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Axiron</w:t>
      </w:r>
      <w:r>
        <w:rPr>
          <w:rFonts w:ascii="Arial" w:cs="Arial" w:eastAsia="Arial" w:hAnsi="Arial"/>
          <w:sz w:val="20"/>
          <w:szCs w:val="20"/>
          <w:color w:val="auto"/>
          <w:vertAlign w:val="superscript"/>
        </w:rPr>
        <w:t>®</w:t>
      </w:r>
      <w:r>
        <w:rPr>
          <w:rFonts w:ascii="Arial" w:cs="Arial" w:eastAsia="Arial" w:hAnsi="Arial"/>
          <w:sz w:val="17"/>
          <w:szCs w:val="17"/>
          <w:color w:val="auto"/>
        </w:rPr>
        <w:t>, Byetta</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Cialis, and Cymbalta among other products, as well as litigation and investigations related to the pricing of our products. See Item 8, “Financial Statements and Supplementary Data - Note 16, Contingencies,” and Item 3, “Legal Proceedings,” for more information on our current product liability litigation, as well as pricing litigation, investigations, and inquiries. Because of the nature of pharmaceutical products, we are and could in the future become subject to large numbers of product liability claims for these or other products, or to further litigation or investigations into pricing or other commercial practices. Such matters require substantial expenditures to resolve and, if involving marketed products, could adversely affect sales of the product. Due to a very restrictive market for liability insurance, we are self-insured for product liability losses for all our currently marketed products, as well as for litigation or investigations related to our pricing practices or other similar matters.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21</w:t>
      </w:r>
    </w:p>
    <w:p>
      <w:pPr>
        <w:sectPr>
          <w:pgSz w:w="11900" w:h="16838" w:orient="portrait"/>
          <w:cols w:equalWidth="0" w:num="1">
            <w:col w:w="11420"/>
          </w:cols>
          <w:pgMar w:left="240" w:top="657" w:right="239" w:bottom="1440" w:gutter="0" w:footer="0" w:header="0"/>
        </w:sectPr>
      </w:pPr>
    </w:p>
    <w:bookmarkStart w:id="21" w:name="page22"/>
    <w:bookmarkEnd w:id="21"/>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39" w:lineRule="exact"/>
        <w:rPr>
          <w:rFonts w:ascii="Arial" w:cs="Arial" w:eastAsia="Arial" w:hAnsi="Arial"/>
          <w:sz w:val="18"/>
          <w:szCs w:val="18"/>
          <w:b w:val="1"/>
          <w:bCs w:val="1"/>
          <w:color w:val="auto"/>
        </w:rPr>
      </w:pPr>
    </w:p>
    <w:p>
      <w:pPr>
        <w:ind w:left="34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extensive regulation. Many companies, including us, have been subject to claims related to these practices asserted by federal, state, and foreign governmental authorities, private payers, and consumers. These claims have resulted in substantial expense and other significant consequences to us. We are and could in the future become subject to such investigations, the outcomes of which could include criminal charges and fines, penalties, or other monetary or non-monetary remedies, including exclusion from U.S. federal and other health care programs. In addition, regulatory issues concerning compliance with cGMP regulations (and comparable foreign regulations) for our products can lead to product recalls and seizures, fines and penalties, interruption of production leading to product shortages, and delays in the approvals of new products pending resolution of the issues. See Item 1, “Business - Government Regulation of Our Operations,” for more details.</w:t>
      </w:r>
    </w:p>
    <w:p>
      <w:pPr>
        <w:spacing w:after="0" w:line="82" w:lineRule="exact"/>
        <w:rPr>
          <w:rFonts w:ascii="Arial" w:cs="Arial" w:eastAsia="Arial" w:hAnsi="Arial"/>
          <w:sz w:val="18"/>
          <w:szCs w:val="18"/>
          <w:b w:val="1"/>
          <w:bCs w:val="1"/>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difficulties or disruptions could lead to product supply problems.</w:t>
      </w:r>
    </w:p>
    <w:p>
      <w:pPr>
        <w:spacing w:after="0" w:line="139" w:lineRule="exact"/>
        <w:rPr>
          <w:rFonts w:ascii="Arial" w:cs="Arial" w:eastAsia="Arial" w:hAnsi="Arial"/>
          <w:sz w:val="18"/>
          <w:szCs w:val="18"/>
          <w:b w:val="1"/>
          <w:bCs w:val="1"/>
          <w:color w:val="auto"/>
        </w:rPr>
      </w:pPr>
    </w:p>
    <w:p>
      <w:pPr>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Pharmaceutical manufacturing is complex and highly regulated. Manufacturing difficulties at our facilities or contracted facilities, or the failure or refusal of a contract manufacturer to supply contracted quantities, could result in product shortages, leading to lost revenue. Such difficulties or disruptions could result from quality or regulatory compliance problems; natural disasters or pandemic disease; mechanical or information technology system vulnerabilities, such as system inadequacies, operating failures, service interruptions or failures, security breaches, malicious intrusions, or cyber-attacks from a variety of sources; or inability to obtain sole-source raw or intermediate materials. In addition, given the difficulties in predicting sales of new products and the very long lead times necessary for the expansion and regulatory qualification of pharmaceutical manufacturing capacity, it is possible that we could have difficulty meeting unanticipated demand for new products. See Item 1, “Business - Raw Materials and Product Supply,” for more details.</w:t>
      </w:r>
    </w:p>
    <w:p>
      <w:pPr>
        <w:spacing w:after="0" w:line="76" w:lineRule="exact"/>
        <w:rPr>
          <w:rFonts w:ascii="Arial" w:cs="Arial" w:eastAsia="Arial" w:hAnsi="Arial"/>
          <w:sz w:val="18"/>
          <w:szCs w:val="18"/>
          <w:b w:val="1"/>
          <w:bCs w:val="1"/>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39" w:lineRule="exact"/>
        <w:rPr>
          <w:rFonts w:ascii="Arial" w:cs="Arial" w:eastAsia="Arial" w:hAnsi="Arial"/>
          <w:sz w:val="18"/>
          <w:szCs w:val="18"/>
          <w:b w:val="1"/>
          <w:bCs w:val="1"/>
          <w:color w:val="auto"/>
        </w:rPr>
      </w:pPr>
    </w:p>
    <w:p>
      <w:pPr>
        <w:ind w:left="3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We rely on third parties, including suppliers, distributors, alliances with other pharmaceutical and biotechnology companies, and third-party service providers, for selected aspects of product development, manufacture, commercialization, support for information technology systems, product distribution, and certain financial transactional processes. For example, we outsource the day-to-day management and oversight of our clinical trials to contract research organizations. Outsourcing these functions involves the risk that the third parties may not perform to our standards or legal requirements; may not produce reliable results; may not perform in a timely manner; may not maintain the confidentiality, integrity, and availability of our confidential and proprietary information; may experience disruption or fail to perform due to information technology system vulnerabilities, breaches, or cyber-attacks; or may fail to perform at all. Failure of these third parties to meet their contractual, regulatory, confidentiality, privacy, security, or other obligations to us could have a material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1B.Unresolved Staff Comments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w:t>
      </w:r>
    </w:p>
    <w:p>
      <w:pPr>
        <w:sectPr>
          <w:pgSz w:w="11900" w:h="16838" w:orient="portrait"/>
          <w:cols w:equalWidth="0" w:num="1">
            <w:col w:w="11400"/>
          </w:cols>
          <w:pgMar w:left="240" w:top="657" w:right="259" w:bottom="1440" w:gutter="0" w:footer="0" w:header="0"/>
        </w:sectPr>
      </w:pPr>
    </w:p>
    <w:bookmarkStart w:id="22" w:name="page23"/>
    <w:bookmarkEnd w:id="22"/>
    <w:p>
      <w:pPr>
        <w:spacing w:after="0"/>
        <w:rPr>
          <w:sz w:val="20"/>
          <w:szCs w:val="20"/>
          <w:color w:val="auto"/>
        </w:rPr>
      </w:pPr>
      <w:r>
        <w:rPr>
          <w:rFonts w:ascii="Arial" w:cs="Arial" w:eastAsia="Arial" w:hAnsi="Arial"/>
          <w:sz w:val="32"/>
          <w:szCs w:val="32"/>
          <w:b w:val="1"/>
          <w:bCs w:val="1"/>
          <w:i w:val="1"/>
          <w:iCs w:val="1"/>
          <w:color w:val="CC0000"/>
        </w:rPr>
        <w:t>Item 2.  Properties</w:t>
      </w:r>
    </w:p>
    <w:p>
      <w:pPr>
        <w:spacing w:after="0" w:line="208"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2019, we owned 9 production and distribution sites in the U.S. and Puerto Rico. Together with the corporate administrative offices, these facilities contain an aggregate of approximately 8.2 million square feet of floor area dedicated to production, distribution, and administration. Major production sites include Indianapolis, Indiana; Carolina, Puerto Rico; and Branchburg, New Jersey.</w:t>
      </w:r>
    </w:p>
    <w:p>
      <w:pPr>
        <w:spacing w:after="0" w:line="9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own production and distribution sites in 8 countries outside the U.S. and Puerto Rico, containing an aggregate of approximately 4.4 million square feet of floor area. Major production sites include facilities in Ireland, France, Spain, Italy, and China.</w:t>
      </w:r>
    </w:p>
    <w:p>
      <w:pPr>
        <w:spacing w:after="0" w:line="88"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In the U.S., our research and development facilities contain an aggregate of approximately 4.2 million square feet of floor area, primarily consisting of owned facilities located in Indianapolis. We also lease smaller sites in San Diego, California and New York City, New York. Outside the U.S., we own smaller research and development facilities in the U.K. and Spain, and lease smaller sites in Singapore.</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3.  Legal Proceedings</w:t>
      </w:r>
    </w:p>
    <w:p>
      <w:pPr>
        <w:spacing w:after="0" w:line="20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and we anticipate that such actions could be brought against us in the future. The most significant of these matters are described below or, as noted, in Item 8, "Financial Statements and Supplementary Data - Note 16, Contingencies." While it is not possible to determine the outcome of the legal actions, investigations, and proceedings brought against us, we believe that, except as otherwise specifically noted in Item 8, "Financial Statements and Supplementary Data - Note 16, Contingencies," the resolution of all such matters will not have a material adverse effect on our consolidated financial position or liquidity, but could be material to our consolidated results of operations in any one reporting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Proceedings Described in Note 16 to the Consolidated Financial Statements</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See Item 8, "Financial Statements and Supplementary Data - Note 16, Contingencies," for information on various legal proceedings, including but not limited to:</w:t>
      </w:r>
    </w:p>
    <w:p>
      <w:pPr>
        <w:spacing w:after="0" w:line="8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Jardiance, Taltz, and Emgality;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liability litigation involving Cymbalta;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litigation related to the Cosmopolis facility in Brazil;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Product Liability Litigation</w:t>
      </w:r>
    </w:p>
    <w:p>
      <w:pPr>
        <w:spacing w:after="0" w:line="24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are named along with Takeda Chemical Industries, Ltd. and Takeda affiliates (collectively, Takeda) as a defendant in four purported product liability class actions in Canada related to Actos, which we commercialized with Takeda in Canada until 2009, including one in</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Ontario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 v. Eli Lilly et al.</w:t>
      </w:r>
      <w:r>
        <w:rPr>
          <w:rFonts w:ascii="Arial" w:cs="Arial" w:eastAsia="Arial" w:hAnsi="Arial"/>
          <w:sz w:val="18"/>
          <w:szCs w:val="18"/>
          <w:color w:val="auto"/>
        </w:rPr>
        <w:t>), one in Saskatchewan (</w:t>
      </w:r>
      <w:r>
        <w:rPr>
          <w:rFonts w:ascii="Arial" w:cs="Arial" w:eastAsia="Arial" w:hAnsi="Arial"/>
          <w:sz w:val="18"/>
          <w:szCs w:val="18"/>
          <w:i w:val="1"/>
          <w:iCs w:val="1"/>
          <w:color w:val="auto"/>
        </w:rPr>
        <w:t>Weiler v. Takeda Canada Inc.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Inc. et al.</w:t>
      </w:r>
      <w:r>
        <w:rPr>
          <w:rFonts w:ascii="Arial" w:cs="Arial" w:eastAsia="Arial" w:hAnsi="Arial"/>
          <w:sz w:val="18"/>
          <w:szCs w:val="18"/>
          <w:color w:val="auto"/>
        </w:rPr>
        <w:t>). In general, plaintiffs in these actions alleged that Actos caused or contributed to their bladder cancer. We believe these lawsuits are without merit, and we and Takeda are defending against them vigorously.</w:t>
      </w:r>
    </w:p>
    <w:p>
      <w:pPr>
        <w:spacing w:after="0" w:line="2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are named as a defendant in approximately 565 Byetta product liability lawsuits in the U.S. involving approximately 815 plaintiffs. Approximately 60 of these lawsuits, covering about 305 plaintiffs, are filed in California state court and coordinated in a Los Angeles Superior Court. Approximately 500 of the lawsuits, covering about 510 plaintiffs, are filed in federal court, the majority of which are coordinated in a multi-district litigation (MDL) in the U.S. District Court for the Southern District of California. Three lawsuits, representing approximately four plaintiffs, have also been filed in various state courts. Approximately 555 of the lawsuits,</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23</w:t>
      </w:r>
    </w:p>
    <w:p>
      <w:pPr>
        <w:sectPr>
          <w:pgSz w:w="11900" w:h="16838" w:orient="portrait"/>
          <w:cols w:equalWidth="0" w:num="1">
            <w:col w:w="11420"/>
          </w:cols>
          <w:pgMar w:left="240" w:top="535" w:right="239" w:bottom="1440" w:gutter="0" w:footer="0" w:header="0"/>
        </w:sectPr>
      </w:pPr>
    </w:p>
    <w:bookmarkStart w:id="23" w:name="page24"/>
    <w:bookmarkEnd w:id="23"/>
    <w:p>
      <w:pPr>
        <w:ind w:right="80"/>
        <w:spacing w:after="0" w:line="251" w:lineRule="auto"/>
        <w:rPr>
          <w:sz w:val="20"/>
          <w:szCs w:val="20"/>
          <w:color w:val="auto"/>
        </w:rPr>
      </w:pPr>
      <w:r>
        <w:rPr>
          <w:rFonts w:ascii="Arial" w:cs="Arial" w:eastAsia="Arial" w:hAnsi="Arial"/>
          <w:sz w:val="18"/>
          <w:szCs w:val="18"/>
          <w:color w:val="auto"/>
        </w:rPr>
        <w:t>involving approximately 790 plaintiffs, contain allegations that Byetta caused or contributed to the plaintiffs' cancer (primarily pancreatic cancer or thyroid cancer); most others allege Byetta caused or contributed to pancreatitis. In addition, two suits involving approximately nine plaintiffs allege that Byetta caused or contributed to renal injuries and one case alleges that Byetta caused or contributed to ampullary cancer. The federal and state trial courts granted summary judgment in favor of us and our co-defendants on the claims alleging pancreatic cancer. The plaintiffs appealed those rulings. In November 2017, the U.S. Court of Appeals for the Ninth Circuit reversed the U.S. District Court’s grant of summary judgment based on that court's discovery rulings and remanded the cases for further proceedings. In November 2018, the California Court of Appeal reversed the state court’s grant of summary judgment based on that court’s discovery rulings and remanded for further proceedings. We are aware of approximately 20 additional claimants who have not yet filed suit. These additional claims allege damages for pancreatic cancer or thyroid cancer. We believe these lawsuits are without merit and are defending against them vigorously.</w:t>
      </w:r>
    </w:p>
    <w:p>
      <w:pPr>
        <w:spacing w:after="0" w:line="2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named as a defendant in approximately 50 Axiron personal injury/product liability lawsuits in the U.S. involving approximately 50 plaintiffs. In some of the cases, other manufacturers of testosterone are named as co-defendants. All of these lawsuits have been consolidated in a federal MDL in the U.S. District Court for the Northern District of Illinois. The cases generally allege cardiovascular and related injuries. We have reached agreement on a settlement framework that provides for a comprehensive resolution of all of these personal injury claims alleging cardiovascular and related injuries from Axiron treatment. We have also been engaged in litigation with Medical Mutual of Ohio (MMO), which filed a class action complaint against multiple manufacturers of testosterone products, including Lilly, in the U.S. District Court for the Northern District of Illinois, on behalf of third-party payers who paid for those products and is seeking damages under the Federal Racketeer Influenced and Corrupt Organizations Act. MMO's motion for class certification was denied, and in February 2019, the District Court granted summary judgment in favor of defendants, dismissing MMO's lawsuit with prejudice. In November 2019, the U.S. Court of Appeals for the Seventh Circuit affirmed the District Court’s ruling, concluding this case.</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are named as a defendant in approximately 350 Cialis product liability lawsuits in the U.S.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The JPML ordered the transfer of the existing cases to the now-renamed multidistrict litigation </w:t>
      </w:r>
      <w:r>
        <w:rPr>
          <w:rFonts w:ascii="Arial" w:cs="Arial" w:eastAsia="Arial" w:hAnsi="Arial"/>
          <w:sz w:val="17"/>
          <w:szCs w:val="17"/>
          <w:i w:val="1"/>
          <w:iCs w:val="1"/>
          <w:color w:val="auto"/>
        </w:rPr>
        <w:t>In re: Viagra (Sildenafil Citrate)</w:t>
      </w:r>
      <w:r>
        <w:rPr>
          <w:rFonts w:ascii="Arial" w:cs="Arial" w:eastAsia="Arial" w:hAnsi="Arial"/>
          <w:sz w:val="17"/>
          <w:szCs w:val="17"/>
          <w:color w:val="auto"/>
        </w:rPr>
        <w:t xml:space="preserve"> </w:t>
      </w:r>
      <w:r>
        <w:rPr>
          <w:rFonts w:ascii="Arial" w:cs="Arial" w:eastAsia="Arial" w:hAnsi="Arial"/>
          <w:sz w:val="17"/>
          <w:szCs w:val="17"/>
          <w:i w:val="1"/>
          <w:iCs w:val="1"/>
          <w:color w:val="auto"/>
        </w:rPr>
        <w:t>and Cialis (Tadalafil) Products Liability Litigation</w:t>
      </w:r>
      <w:r>
        <w:rPr>
          <w:rFonts w:ascii="Arial" w:cs="Arial" w:eastAsia="Arial" w:hAnsi="Arial"/>
          <w:sz w:val="17"/>
          <w:szCs w:val="17"/>
          <w:color w:val="auto"/>
        </w:rPr>
        <w:t>. We believe these lawsuits are without merit and are defending against them vigorously.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Patent Litigation</w:t>
      </w:r>
    </w:p>
    <w:p>
      <w:pPr>
        <w:spacing w:after="0" w:line="1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In Canada, several generic companies previously challenged the validity of our Zyprexa compound patent. In 2012, the Canadian Federal Court of Appeals denied appeal of the lower court's decision that certain patent claims were invalid for lack of utility. In 2013, our petition for leave to appeal the decision to the Supreme Court of Canada was denied. Apotex Inc. and Apotex Pharmachem Inc. (collectively, Apotex) pursued claims for damages arising from our enforcement of the patent under Canadian regulations. Apotex’s claims seek compensation based on novel legal theories under the Statute of Monopolies, Trade-Mark Act, and common law. We believe these claims are without merit and are defending against them vigorously. Trial is scheduled to begin in April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Matters</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A trial date has not been set. We believe this lawsuit is without merit and are defending against it vigorously.</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named as a defendant in a lawsuit in the U.S. District Court for the Eastern District of Texas seeking damages under the federal anti-kickback statute and state and federal false claims acts for certain patient support programs related to our products Humalog, Humulin, and Forteo. In September 2019, the U.S. District Court granted the DOJ's motion to dismiss the relator’s second amended complaint. In January 2020, the relator appealed the District Court’s dismissal to the U.S. Court of Appeals for the Fifth Circuit. We believe this lawsuit is without merit and are defending against it vigorously.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w:t>
      </w:r>
    </w:p>
    <w:p>
      <w:pPr>
        <w:sectPr>
          <w:pgSz w:w="11900" w:h="16838" w:orient="portrait"/>
          <w:cols w:equalWidth="0" w:num="1">
            <w:col w:w="11400"/>
          </w:cols>
          <w:pgMar w:left="240" w:top="679" w:right="259" w:bottom="1440" w:gutter="0" w:footer="0" w:header="0"/>
        </w:sectPr>
      </w:pPr>
    </w:p>
    <w:bookmarkStart w:id="24" w:name="page25"/>
    <w:bookmarkEnd w:id="24"/>
    <w:p>
      <w:pPr>
        <w:ind w:right="900"/>
        <w:spacing w:after="0" w:line="262" w:lineRule="auto"/>
        <w:rPr>
          <w:sz w:val="20"/>
          <w:szCs w:val="20"/>
          <w:color w:val="auto"/>
        </w:rPr>
      </w:pPr>
      <w:r>
        <w:rPr>
          <w:rFonts w:ascii="Arial" w:cs="Arial" w:eastAsia="Arial" w:hAnsi="Arial"/>
          <w:sz w:val="18"/>
          <w:szCs w:val="18"/>
          <w:color w:val="auto"/>
        </w:rPr>
        <w:t>The competition authority in China has investigated our distributor pricing practices in China in connection with a broader inquiry into pharmaceutical industry pricing. We have cooperated with this investigation.</w:t>
      </w:r>
    </w:p>
    <w:p>
      <w:pPr>
        <w:spacing w:after="0" w:line="7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We, along with another pharmaceutical manufacturer, are named as co-defendants in </w:t>
      </w:r>
      <w:r>
        <w:rPr>
          <w:rFonts w:ascii="Arial" w:cs="Arial" w:eastAsia="Arial" w:hAnsi="Arial"/>
          <w:sz w:val="18"/>
          <w:szCs w:val="18"/>
          <w:i w:val="1"/>
          <w:iCs w:val="1"/>
          <w:color w:val="auto"/>
        </w:rPr>
        <w:t>United States et al. ex rel. Streck v. Takeda Pharm. Am.,</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al.</w:t>
      </w:r>
      <w:r>
        <w:rPr>
          <w:rFonts w:ascii="Arial" w:cs="Arial" w:eastAsia="Arial" w:hAnsi="Arial"/>
          <w:sz w:val="18"/>
          <w:szCs w:val="18"/>
          <w:color w:val="auto"/>
        </w:rPr>
        <w:t>, which was unsealed in the U.S. District Court for the Northern District of Illinois. The complaint alleges that the defendants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have treated certain credits from distributors as retroactive price increases and included such increases in calculating Average Manufacturer Prices. We believe these claims are without merit and are defending against them vigorously.</w:t>
      </w:r>
    </w:p>
    <w:p>
      <w:pPr>
        <w:spacing w:after="0" w:line="198"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4.  Mine Safety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25</w:t>
      </w:r>
    </w:p>
    <w:p>
      <w:pPr>
        <w:sectPr>
          <w:pgSz w:w="11900" w:h="16838" w:orient="portrait"/>
          <w:cols w:equalWidth="0" w:num="1">
            <w:col w:w="11420"/>
          </w:cols>
          <w:pgMar w:left="240" w:top="679" w:right="239" w:bottom="1440" w:gutter="0" w:footer="0" w:header="0"/>
        </w:sectPr>
      </w:pPr>
    </w:p>
    <w:bookmarkStart w:id="25" w:name="page26"/>
    <w:bookmarkEnd w:id="25"/>
    <w:p>
      <w:pPr>
        <w:spacing w:after="0"/>
        <w:rPr>
          <w:sz w:val="20"/>
          <w:szCs w:val="20"/>
          <w:color w:val="auto"/>
        </w:rPr>
      </w:pPr>
      <w:r>
        <w:rPr>
          <w:rFonts w:ascii="Arial" w:cs="Arial" w:eastAsia="Arial" w:hAnsi="Arial"/>
          <w:sz w:val="32"/>
          <w:szCs w:val="32"/>
          <w:b w:val="1"/>
          <w:bCs w:val="1"/>
          <w:color w:val="auto"/>
        </w:rPr>
        <w:t>Part II</w:t>
      </w:r>
    </w:p>
    <w:p>
      <w:pPr>
        <w:spacing w:after="0" w:line="226" w:lineRule="exact"/>
        <w:rPr>
          <w:sz w:val="20"/>
          <w:szCs w:val="20"/>
          <w:color w:val="auto"/>
        </w:rPr>
      </w:pPr>
    </w:p>
    <w:p>
      <w:pPr>
        <w:ind w:left="1300" w:right="140" w:hanging="1296"/>
        <w:spacing w:after="0" w:line="286" w:lineRule="auto"/>
        <w:rPr>
          <w:sz w:val="20"/>
          <w:szCs w:val="20"/>
          <w:color w:val="auto"/>
        </w:rPr>
      </w:pPr>
      <w:r>
        <w:rPr>
          <w:rFonts w:ascii="Arial" w:cs="Arial" w:eastAsia="Arial" w:hAnsi="Arial"/>
          <w:sz w:val="32"/>
          <w:szCs w:val="32"/>
          <w:b w:val="1"/>
          <w:bCs w:val="1"/>
          <w:i w:val="1"/>
          <w:iCs w:val="1"/>
          <w:color w:val="CC0000"/>
        </w:rPr>
        <w:t>Item 5. Market for the Registrant’s Common Equity, Related Stockholder Matters, and Issuer Purchases of Equity Securities</w:t>
      </w:r>
    </w:p>
    <w:p>
      <w:pPr>
        <w:spacing w:after="0" w:line="7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You can find information relating to the principal market for our common stock and related stockholder matters at Item 6, "Selected Financial Data (unaudited)", Item 7, "Management's Discussion and Analysis of Results of Operations and Financial Condition", and Item 8, "Financial Statements and Supplementary Data - Note 20, Selected Quarterly Data (unaudited).” That information is incorporated here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20" w:type="dxa"/>
            <w:vAlign w:val="bottom"/>
          </w:tcPr>
          <w:p>
            <w:pPr>
              <w:jc w:val="center"/>
              <w:ind w:left="685"/>
              <w:spacing w:after="0"/>
              <w:rPr>
                <w:sz w:val="20"/>
                <w:szCs w:val="20"/>
                <w:color w:val="auto"/>
              </w:rPr>
            </w:pPr>
            <w:r>
              <w:rPr>
                <w:rFonts w:ascii="Arial" w:cs="Arial" w:eastAsia="Arial" w:hAnsi="Arial"/>
                <w:sz w:val="14"/>
                <w:szCs w:val="14"/>
                <w:b w:val="1"/>
                <w:bCs w:val="1"/>
                <w:color w:val="auto"/>
              </w:rPr>
              <w:t>Approximate Dollar Value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20" w:type="dxa"/>
            <w:vAlign w:val="bottom"/>
          </w:tcPr>
          <w:p>
            <w:pPr>
              <w:jc w:val="center"/>
              <w:ind w:left="705"/>
              <w:spacing w:after="0"/>
              <w:rPr>
                <w:sz w:val="20"/>
                <w:szCs w:val="20"/>
                <w:color w:val="auto"/>
              </w:rPr>
            </w:pPr>
            <w:r>
              <w:rPr>
                <w:rFonts w:ascii="Arial" w:cs="Arial" w:eastAsia="Arial" w:hAnsi="Arial"/>
                <w:sz w:val="14"/>
                <w:szCs w:val="14"/>
                <w:b w:val="1"/>
                <w:bCs w:val="1"/>
                <w:color w:val="auto"/>
              </w:rPr>
              <w:t>of Shares that May Yet Be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20" w:type="dxa"/>
            <w:vAlign w:val="bottom"/>
          </w:tcPr>
          <w:p>
            <w:pPr>
              <w:jc w:val="center"/>
              <w:ind w:left="685"/>
              <w:spacing w:after="0"/>
              <w:rPr>
                <w:sz w:val="20"/>
                <w:szCs w:val="20"/>
                <w:color w:val="auto"/>
              </w:rPr>
            </w:pPr>
            <w:r>
              <w:rPr>
                <w:rFonts w:ascii="Arial" w:cs="Arial" w:eastAsia="Arial" w:hAnsi="Arial"/>
                <w:sz w:val="14"/>
                <w:szCs w:val="14"/>
                <w:b w:val="1"/>
                <w:bCs w:val="1"/>
                <w:color w:val="auto"/>
              </w:rPr>
              <w:t>Purchased Under the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06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20" w:type="dxa"/>
            <w:vAlign w:val="bottom"/>
          </w:tcPr>
          <w:p>
            <w:pPr>
              <w:jc w:val="center"/>
              <w:ind w:left="705"/>
              <w:spacing w:after="0"/>
              <w:rPr>
                <w:sz w:val="20"/>
                <w:szCs w:val="20"/>
                <w:color w:val="auto"/>
              </w:rPr>
            </w:pPr>
            <w:r>
              <w:rPr>
                <w:rFonts w:ascii="Arial" w:cs="Arial" w:eastAsia="Arial" w:hAnsi="Arial"/>
                <w:sz w:val="14"/>
                <w:szCs w:val="14"/>
                <w:b w:val="1"/>
                <w:bCs w:val="1"/>
                <w:color w:val="auto"/>
              </w:rPr>
              <w:t>Plans or Programs</w:t>
            </w:r>
          </w:p>
        </w:tc>
        <w:tc>
          <w:tcPr>
            <w:tcW w:w="760" w:type="dxa"/>
            <w:vAlign w:val="bottom"/>
          </w:tcPr>
          <w:p>
            <w:pPr>
              <w:spacing w:after="0"/>
              <w:rPr>
                <w:sz w:val="14"/>
                <w:szCs w:val="14"/>
                <w:color w:val="auto"/>
              </w:rPr>
            </w:pPr>
          </w:p>
        </w:tc>
      </w:tr>
      <w:tr>
        <w:trPr>
          <w:trHeight w:val="196"/>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Borders>
              <w:bottom w:val="single" w:sz="8" w:color="auto"/>
            </w:tcBorders>
          </w:tcPr>
          <w:p>
            <w:pPr>
              <w:jc w:val="center"/>
              <w:ind w:left="705"/>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Borders>
              <w:bottom w:val="single" w:sz="8" w:color="auto"/>
            </w:tcBorders>
          </w:tcPr>
          <w:p>
            <w:pPr>
              <w:spacing w:after="0"/>
              <w:rPr>
                <w:sz w:val="17"/>
                <w:szCs w:val="17"/>
                <w:color w:val="auto"/>
              </w:rPr>
            </w:pPr>
          </w:p>
        </w:tc>
      </w:tr>
      <w:tr>
        <w:trPr>
          <w:trHeight w:val="256"/>
        </w:trPr>
        <w:tc>
          <w:tcPr>
            <w:tcW w:w="1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October 2019</w:t>
            </w:r>
          </w:p>
        </w:tc>
        <w:tc>
          <w:tcPr>
            <w:tcW w:w="1680" w:type="dxa"/>
            <w:vAlign w:val="bottom"/>
            <w:shd w:val="clear" w:color="auto" w:fill="D8D8D8"/>
          </w:tcPr>
          <w:p>
            <w:pPr>
              <w:jc w:val="right"/>
              <w:ind w:right="18"/>
              <w:spacing w:after="0"/>
              <w:rPr>
                <w:sz w:val="20"/>
                <w:szCs w:val="20"/>
                <w:color w:val="auto"/>
              </w:rPr>
            </w:pPr>
            <w:r>
              <w:rPr>
                <w:rFonts w:ascii="Arial" w:cs="Arial" w:eastAsia="Arial" w:hAnsi="Arial"/>
                <w:sz w:val="18"/>
                <w:szCs w:val="18"/>
                <w:color w:val="auto"/>
              </w:rPr>
              <w:t>2,079</w:t>
            </w:r>
          </w:p>
        </w:tc>
        <w:tc>
          <w:tcPr>
            <w:tcW w:w="58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114.10</w:t>
            </w:r>
          </w:p>
        </w:tc>
        <w:tc>
          <w:tcPr>
            <w:tcW w:w="2380" w:type="dxa"/>
            <w:vAlign w:val="bottom"/>
            <w:shd w:val="clear" w:color="auto" w:fill="D8D8D8"/>
          </w:tcPr>
          <w:p>
            <w:pPr>
              <w:jc w:val="right"/>
              <w:ind w:right="20"/>
              <w:spacing w:after="0"/>
              <w:rPr>
                <w:sz w:val="20"/>
                <w:szCs w:val="20"/>
                <w:color w:val="auto"/>
              </w:rPr>
            </w:pPr>
            <w:r>
              <w:rPr>
                <w:rFonts w:ascii="Arial" w:cs="Arial" w:eastAsia="Arial" w:hAnsi="Arial"/>
                <w:sz w:val="18"/>
                <w:szCs w:val="18"/>
                <w:color w:val="auto"/>
              </w:rPr>
              <w:t>2,079</w:t>
            </w:r>
          </w:p>
        </w:tc>
        <w:tc>
          <w:tcPr>
            <w:tcW w:w="2620" w:type="dxa"/>
            <w:vAlign w:val="bottom"/>
            <w:shd w:val="clear" w:color="auto" w:fill="D8D8D8"/>
          </w:tcPr>
          <w:p>
            <w:pPr>
              <w:jc w:val="right"/>
              <w:ind w:right="1605"/>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1,562.8</w:t>
            </w:r>
          </w:p>
        </w:tc>
      </w:tr>
      <w:tr>
        <w:trPr>
          <w:trHeight w:val="250"/>
        </w:trPr>
        <w:tc>
          <w:tcPr>
            <w:tcW w:w="1920" w:type="dxa"/>
            <w:vAlign w:val="bottom"/>
          </w:tcPr>
          <w:p>
            <w:pPr>
              <w:ind w:left="40"/>
              <w:spacing w:after="0"/>
              <w:rPr>
                <w:sz w:val="20"/>
                <w:szCs w:val="20"/>
                <w:color w:val="auto"/>
              </w:rPr>
            </w:pPr>
            <w:r>
              <w:rPr>
                <w:rFonts w:ascii="Arial" w:cs="Arial" w:eastAsia="Arial" w:hAnsi="Arial"/>
                <w:sz w:val="18"/>
                <w:szCs w:val="18"/>
                <w:color w:val="auto"/>
              </w:rPr>
              <w:t>November 2019</w:t>
            </w: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318</w:t>
            </w:r>
          </w:p>
        </w:tc>
        <w:tc>
          <w:tcPr>
            <w:tcW w:w="5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114.80</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318</w:t>
            </w:r>
          </w:p>
        </w:tc>
        <w:tc>
          <w:tcPr>
            <w:tcW w:w="26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1,526.2</w:t>
            </w:r>
          </w:p>
        </w:tc>
      </w:tr>
      <w:tr>
        <w:trPr>
          <w:trHeight w:val="263"/>
        </w:trPr>
        <w:tc>
          <w:tcPr>
            <w:tcW w:w="1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2019</w:t>
            </w:r>
          </w:p>
        </w:tc>
        <w:tc>
          <w:tcPr>
            <w:tcW w:w="1680" w:type="dxa"/>
            <w:vAlign w:val="bottom"/>
            <w:tcBorders>
              <w:bottom w:val="single" w:sz="8" w:color="auto"/>
            </w:tcBorders>
            <w:shd w:val="clear" w:color="auto" w:fill="D8D8D8"/>
          </w:tcPr>
          <w:p>
            <w:pPr>
              <w:jc w:val="right"/>
              <w:ind w:right="18"/>
              <w:spacing w:after="0"/>
              <w:rPr>
                <w:sz w:val="20"/>
                <w:szCs w:val="20"/>
                <w:color w:val="auto"/>
              </w:rPr>
            </w:pPr>
            <w:r>
              <w:rPr>
                <w:rFonts w:ascii="Arial" w:cs="Arial" w:eastAsia="Arial" w:hAnsi="Arial"/>
                <w:sz w:val="18"/>
                <w:szCs w:val="18"/>
                <w:color w:val="auto"/>
              </w:rPr>
              <w:t>225</w:t>
            </w:r>
          </w:p>
        </w:tc>
        <w:tc>
          <w:tcPr>
            <w:tcW w:w="580" w:type="dxa"/>
            <w:vAlign w:val="bottom"/>
            <w:shd w:val="clear" w:color="auto" w:fill="D8D8D8"/>
          </w:tcPr>
          <w:p>
            <w:pPr>
              <w:spacing w:after="0"/>
              <w:rPr>
                <w:sz w:val="22"/>
                <w:szCs w:val="22"/>
                <w:color w:val="auto"/>
              </w:rPr>
            </w:pP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116.65</w:t>
            </w:r>
          </w:p>
        </w:tc>
        <w:tc>
          <w:tcPr>
            <w:tcW w:w="2380" w:type="dxa"/>
            <w:vAlign w:val="bottom"/>
            <w:tcBorders>
              <w:bottom w:val="single" w:sz="8" w:color="auto"/>
            </w:tcBorders>
            <w:shd w:val="clear" w:color="auto" w:fill="D8D8D8"/>
          </w:tcPr>
          <w:p>
            <w:pPr>
              <w:jc w:val="right"/>
              <w:ind w:right="20"/>
              <w:spacing w:after="0"/>
              <w:rPr>
                <w:sz w:val="20"/>
                <w:szCs w:val="20"/>
                <w:color w:val="auto"/>
              </w:rPr>
            </w:pPr>
            <w:r>
              <w:rPr>
                <w:rFonts w:ascii="Arial" w:cs="Arial" w:eastAsia="Arial" w:hAnsi="Arial"/>
                <w:sz w:val="18"/>
                <w:szCs w:val="18"/>
                <w:color w:val="auto"/>
              </w:rPr>
              <w:t>225</w:t>
            </w:r>
          </w:p>
        </w:tc>
        <w:tc>
          <w:tcPr>
            <w:tcW w:w="2620" w:type="dxa"/>
            <w:vAlign w:val="bottom"/>
            <w:shd w:val="clear" w:color="auto" w:fill="D8D8D8"/>
          </w:tcPr>
          <w:p>
            <w:pPr>
              <w:spacing w:after="0"/>
              <w:rPr>
                <w:sz w:val="22"/>
                <w:szCs w:val="22"/>
                <w:color w:val="auto"/>
              </w:rPr>
            </w:pPr>
          </w:p>
        </w:tc>
        <w:tc>
          <w:tcPr>
            <w:tcW w:w="7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1,500.0</w:t>
            </w:r>
          </w:p>
        </w:tc>
      </w:tr>
      <w:tr>
        <w:trPr>
          <w:trHeight w:val="257"/>
        </w:trPr>
        <w:tc>
          <w:tcPr>
            <w:tcW w:w="1920" w:type="dxa"/>
            <w:vAlign w:val="bottom"/>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2,622</w:t>
            </w:r>
          </w:p>
        </w:tc>
        <w:tc>
          <w:tcPr>
            <w:tcW w:w="58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114.41</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2,622</w:t>
            </w:r>
          </w:p>
        </w:tc>
        <w:tc>
          <w:tcPr>
            <w:tcW w:w="262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107"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During the three months ended December 31, 2019, we repurchased $300.0 million of shares under the $8.00 billion share repurchase program authorized in June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t>
      </w:r>
    </w:p>
    <w:p>
      <w:pPr>
        <w:sectPr>
          <w:pgSz w:w="11900" w:h="16838" w:orient="portrait"/>
          <w:cols w:equalWidth="0" w:num="1">
            <w:col w:w="11420"/>
          </w:cols>
          <w:pgMar w:left="240" w:top="5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CC0000"/>
        </w:rPr>
        <w:t>PERFORMANCE GRAPH</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graph compares the return on Lilly stock with that of the Standard &amp; Poor’s 500 Stock Index and our peer group for the years 2015 through 2019. The graph assumes that, on December 31, 2014, a person invested $100 each in Lilly stock, the S&amp;P 500 Stock Index, and the peer group's collective common stock. The graph measures total shareholder return, which takes into account both stock price and dividends. It assumes that dividends paid by a company are reinvested in that company’s stock.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Value of $100 Invested on Last Business Day of 2014</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Comparison of Five-Year Cumulative Total Return Among Lilly, S&amp;P 500 Stock Index, Peer Group</w:t>
      </w:r>
      <w:r>
        <w:rPr>
          <w:rFonts w:ascii="Arial" w:cs="Arial" w:eastAsia="Arial" w:hAnsi="Arial"/>
          <w:sz w:val="21"/>
          <w:szCs w:val="21"/>
          <w:b w:val="1"/>
          <w:bCs w:val="1"/>
          <w:color w:val="CC0000"/>
          <w:vertAlign w:val="superscript"/>
        </w:rPr>
        <w:t>(1)</w:t>
      </w:r>
      <w:r>
        <w:rPr>
          <w:rFonts w:ascii="Arial" w:cs="Arial" w:eastAsia="Arial" w:hAnsi="Arial"/>
          <w:sz w:val="17"/>
          <w:szCs w:val="17"/>
          <w:b w:val="1"/>
          <w:bCs w:val="1"/>
          <w:color w:val="CC0000"/>
        </w:rPr>
        <w:t xml:space="preserve"> and Peer Group (Previous)</w:t>
      </w:r>
      <w:r>
        <w:rPr>
          <w:rFonts w:ascii="Arial" w:cs="Arial" w:eastAsia="Arial" w:hAnsi="Arial"/>
          <w:sz w:val="21"/>
          <w:szCs w:val="21"/>
          <w:b w:val="1"/>
          <w:bCs w:val="1"/>
          <w:color w:val="CC000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123825</wp:posOffset>
            </wp:positionV>
            <wp:extent cx="5316855" cy="3721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6855"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Peer Group</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6"/>
        </w:trPr>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Peer Group</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(Previous)</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70"/>
        </w:trPr>
        <w:tc>
          <w:tcPr>
            <w:tcW w:w="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Dec-14</w:t>
            </w:r>
          </w:p>
        </w:tc>
        <w:tc>
          <w:tcPr>
            <w:tcW w:w="4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100.00</w:t>
            </w:r>
          </w:p>
        </w:tc>
      </w:tr>
      <w:tr>
        <w:trPr>
          <w:trHeight w:val="263"/>
        </w:trPr>
        <w:tc>
          <w:tcPr>
            <w:tcW w:w="760" w:type="dxa"/>
            <w:vAlign w:val="bottom"/>
          </w:tcPr>
          <w:p>
            <w:pPr>
              <w:ind w:left="20"/>
              <w:spacing w:after="0"/>
              <w:rPr>
                <w:sz w:val="20"/>
                <w:szCs w:val="20"/>
                <w:color w:val="auto"/>
              </w:rPr>
            </w:pPr>
            <w:r>
              <w:rPr>
                <w:rFonts w:ascii="Arial" w:cs="Arial" w:eastAsia="Arial" w:hAnsi="Arial"/>
                <w:sz w:val="18"/>
                <w:szCs w:val="18"/>
                <w:color w:val="auto"/>
              </w:rPr>
              <w:t>Dec-15</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125.37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104.58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101.48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101.38</w:t>
            </w:r>
          </w:p>
        </w:tc>
      </w:tr>
      <w:tr>
        <w:trPr>
          <w:trHeight w:val="277"/>
        </w:trPr>
        <w:tc>
          <w:tcPr>
            <w:tcW w:w="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Dec-16</w:t>
            </w:r>
          </w:p>
        </w:tc>
        <w:tc>
          <w:tcPr>
            <w:tcW w:w="4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112.36</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98.05</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98.82</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113.51</w:t>
            </w:r>
          </w:p>
        </w:tc>
      </w:tr>
      <w:tr>
        <w:trPr>
          <w:trHeight w:val="263"/>
        </w:trPr>
        <w:tc>
          <w:tcPr>
            <w:tcW w:w="760" w:type="dxa"/>
            <w:vAlign w:val="bottom"/>
          </w:tcPr>
          <w:p>
            <w:pPr>
              <w:ind w:left="20"/>
              <w:spacing w:after="0"/>
              <w:rPr>
                <w:sz w:val="20"/>
                <w:szCs w:val="20"/>
                <w:color w:val="auto"/>
              </w:rPr>
            </w:pPr>
            <w:r>
              <w:rPr>
                <w:rFonts w:ascii="Arial" w:cs="Arial" w:eastAsia="Arial" w:hAnsi="Arial"/>
                <w:sz w:val="18"/>
                <w:szCs w:val="18"/>
                <w:color w:val="auto"/>
              </w:rPr>
              <w:t>Dec-17</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132.40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115.88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138.29</w:t>
            </w:r>
          </w:p>
        </w:tc>
      </w:tr>
      <w:tr>
        <w:trPr>
          <w:trHeight w:val="277"/>
        </w:trPr>
        <w:tc>
          <w:tcPr>
            <w:tcW w:w="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Dec-18</w:t>
            </w:r>
          </w:p>
        </w:tc>
        <w:tc>
          <w:tcPr>
            <w:tcW w:w="4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185.96</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119.86</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123.99</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132.23</w:t>
            </w:r>
          </w:p>
        </w:tc>
      </w:tr>
      <w:tr>
        <w:trPr>
          <w:trHeight w:val="257"/>
        </w:trPr>
        <w:tc>
          <w:tcPr>
            <w:tcW w:w="760" w:type="dxa"/>
            <w:vAlign w:val="bottom"/>
          </w:tcPr>
          <w:p>
            <w:pPr>
              <w:ind w:left="20"/>
              <w:spacing w:after="0"/>
              <w:rPr>
                <w:sz w:val="20"/>
                <w:szCs w:val="20"/>
                <w:color w:val="auto"/>
              </w:rPr>
            </w:pPr>
            <w:r>
              <w:rPr>
                <w:rFonts w:ascii="Arial" w:cs="Arial" w:eastAsia="Arial" w:hAnsi="Arial"/>
                <w:sz w:val="18"/>
                <w:szCs w:val="18"/>
                <w:color w:val="auto"/>
              </w:rPr>
              <w:t>Dec-19</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215.99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142.01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146.32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173.86</w:t>
            </w:r>
          </w:p>
        </w:tc>
      </w:tr>
    </w:tbl>
    <w:p>
      <w:pPr>
        <w:spacing w:after="0" w:line="121" w:lineRule="exact"/>
        <w:rPr>
          <w:sz w:val="20"/>
          <w:szCs w:val="20"/>
          <w:color w:val="auto"/>
        </w:rPr>
      </w:pPr>
    </w:p>
    <w:p>
      <w:pPr>
        <w:ind w:left="340" w:right="100" w:hanging="332"/>
        <w:spacing w:after="0" w:line="242" w:lineRule="auto"/>
        <w:tabs>
          <w:tab w:leader="none" w:pos="340"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We constructed the peer group as the industry index for this graph. It is comprised of the following companies in the pharmaceutical and biotech industries: AbbVie Inc.; Allergan plc; Amgen Inc.; AstraZeneca plc; Biogen Inc.; Bristol-Myers Squibb Company; Gilead Sciences Inc.; GlaxoSmithKline plc; Johnson &amp; Johnson; Merck &amp; Co., Inc.; Novartis AG.; Novo Nordisk A/S; Pfizer Inc.; Roche Holding AG; Sanofi; and Takeda Pharmaceutical Company Limited. The peer group used for performance benchmarking aligns with the peer group used for executive compensation purposes for 2019 other than our peer group for performance benchmarking excludes Celgene Corporation and Shire plc as they were acquired in 2019.</w:t>
      </w:r>
    </w:p>
    <w:p>
      <w:pPr>
        <w:spacing w:after="0" w:line="106" w:lineRule="exact"/>
        <w:rPr>
          <w:rFonts w:ascii="Arial" w:cs="Arial" w:eastAsia="Arial" w:hAnsi="Arial"/>
          <w:sz w:val="17"/>
          <w:szCs w:val="17"/>
          <w:color w:val="auto"/>
          <w:vertAlign w:val="superscript"/>
        </w:rPr>
      </w:pPr>
    </w:p>
    <w:p>
      <w:pPr>
        <w:ind w:left="340" w:right="20" w:hanging="332"/>
        <w:spacing w:after="0" w:line="220" w:lineRule="auto"/>
        <w:tabs>
          <w:tab w:leader="none" w:pos="3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Our previous peer group is the same as the peer group, except that Allergan plc, Novo Nordisk A/S and Takeda Pharmaceutical Company Limited were added to and Baxter International Inc. and Medtronic plc were removed from the peer group. Our peer group (previous) excludes Celgene Corporation and Shire plc as they were acquired in 2019. The peer group (previous) total shareholder return is not presented in the graph above as the graph substantially overlapped the peer group total shareholder return.</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27</w:t>
      </w:r>
    </w:p>
    <w:p>
      <w:pPr>
        <w:sectPr>
          <w:pgSz w:w="11900" w:h="16838" w:orient="portrait"/>
          <w:cols w:equalWidth="0" w:num="1">
            <w:col w:w="11420"/>
          </w:cols>
          <w:pgMar w:left="240" w:top="549" w:right="239" w:bottom="1440" w:gutter="0" w:footer="0" w:header="0"/>
        </w:sectPr>
      </w:pPr>
    </w:p>
    <w:bookmarkStart w:id="27" w:name="page28"/>
    <w:bookmarkEnd w:id="27"/>
    <w:p>
      <w:pPr>
        <w:spacing w:after="0"/>
        <w:rPr>
          <w:sz w:val="20"/>
          <w:szCs w:val="20"/>
          <w:color w:val="auto"/>
        </w:rPr>
      </w:pPr>
      <w:r>
        <w:rPr>
          <w:rFonts w:ascii="Arial" w:cs="Arial" w:eastAsia="Arial" w:hAnsi="Arial"/>
          <w:sz w:val="32"/>
          <w:szCs w:val="32"/>
          <w:b w:val="1"/>
          <w:bCs w:val="1"/>
          <w:i w:val="1"/>
          <w:iCs w:val="1"/>
          <w:color w:val="CC0000"/>
        </w:rPr>
        <w:t>Item 6. Selected Financial Data (unaudited)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 except revenue per employee</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and per-share data)</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Operations</w:t>
            </w:r>
            <w:r>
              <w:rPr>
                <w:rFonts w:ascii="Arial" w:cs="Arial" w:eastAsia="Arial" w:hAnsi="Arial"/>
                <w:sz w:val="21"/>
                <w:szCs w:val="21"/>
                <w:b w:val="1"/>
                <w:bCs w:val="1"/>
                <w:color w:val="auto"/>
                <w:vertAlign w:val="superscript"/>
              </w:rPr>
              <w:t>(1)</w:t>
            </w:r>
          </w:p>
        </w:tc>
        <w:tc>
          <w:tcPr>
            <w:tcW w:w="32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32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rPr>
              <w:t>22,319.5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21,493.3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19,973.8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18,312.8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17,050.5</w:t>
            </w:r>
          </w:p>
        </w:tc>
        <w:tc>
          <w:tcPr>
            <w:tcW w:w="0" w:type="dxa"/>
            <w:vAlign w:val="bottom"/>
          </w:tcPr>
          <w:p>
            <w:pPr>
              <w:spacing w:after="0"/>
              <w:rPr>
                <w:sz w:val="1"/>
                <w:szCs w:val="1"/>
                <w:color w:val="auto"/>
              </w:rPr>
            </w:pPr>
          </w:p>
        </w:tc>
      </w:tr>
      <w:tr>
        <w:trPr>
          <w:trHeight w:val="277"/>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4,721.2</w:t>
            </w:r>
          </w:p>
        </w:tc>
        <w:tc>
          <w:tcPr>
            <w:tcW w:w="32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4,681.7</w:t>
            </w:r>
          </w:p>
        </w:tc>
        <w:tc>
          <w:tcPr>
            <w:tcW w:w="380" w:type="dxa"/>
            <w:vAlign w:val="bottom"/>
            <w:shd w:val="clear" w:color="auto" w:fill="D8D8D8"/>
          </w:tcPr>
          <w:p>
            <w:pPr>
              <w:spacing w:after="0"/>
              <w:rPr>
                <w:sz w:val="24"/>
                <w:szCs w:val="24"/>
                <w:color w:val="auto"/>
              </w:rPr>
            </w:pPr>
          </w:p>
        </w:tc>
        <w:tc>
          <w:tcPr>
            <w:tcW w:w="132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4,447.7</w:t>
            </w:r>
          </w:p>
        </w:tc>
        <w:tc>
          <w:tcPr>
            <w:tcW w:w="3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4,160.5</w:t>
            </w:r>
          </w:p>
        </w:tc>
        <w:tc>
          <w:tcPr>
            <w:tcW w:w="340" w:type="dxa"/>
            <w:vAlign w:val="bottom"/>
            <w:shd w:val="clear" w:color="auto" w:fill="D8D8D8"/>
          </w:tcPr>
          <w:p>
            <w:pPr>
              <w:spacing w:after="0"/>
              <w:rPr>
                <w:sz w:val="24"/>
                <w:szCs w:val="24"/>
                <w:color w:val="auto"/>
              </w:rPr>
            </w:pPr>
          </w:p>
        </w:tc>
        <w:tc>
          <w:tcPr>
            <w:tcW w:w="114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3,373.1</w:t>
            </w:r>
          </w:p>
        </w:tc>
        <w:tc>
          <w:tcPr>
            <w:tcW w:w="0" w:type="dxa"/>
            <w:vAlign w:val="bottom"/>
          </w:tcPr>
          <w:p>
            <w:pPr>
              <w:spacing w:after="0"/>
              <w:rPr>
                <w:sz w:val="1"/>
                <w:szCs w:val="1"/>
                <w:color w:val="auto"/>
              </w:rPr>
            </w:pP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2"/>
                <w:szCs w:val="22"/>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rPr>
              <w:t>5,595.0</w:t>
            </w:r>
          </w:p>
        </w:tc>
        <w:tc>
          <w:tcPr>
            <w:tcW w:w="320" w:type="dxa"/>
            <w:vAlign w:val="bottom"/>
          </w:tcPr>
          <w:p>
            <w:pPr>
              <w:spacing w:after="0"/>
              <w:rPr>
                <w:sz w:val="22"/>
                <w:szCs w:val="22"/>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5,051.2</w:t>
            </w:r>
          </w:p>
        </w:tc>
        <w:tc>
          <w:tcPr>
            <w:tcW w:w="380" w:type="dxa"/>
            <w:vAlign w:val="bottom"/>
          </w:tcPr>
          <w:p>
            <w:pPr>
              <w:spacing w:after="0"/>
              <w:rPr>
                <w:sz w:val="22"/>
                <w:szCs w:val="22"/>
                <w:color w:val="auto"/>
              </w:rPr>
            </w:pP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5,096.2</w:t>
            </w:r>
          </w:p>
        </w:tc>
        <w:tc>
          <w:tcPr>
            <w:tcW w:w="340" w:type="dxa"/>
            <w:vAlign w:val="bottom"/>
          </w:tcPr>
          <w:p>
            <w:pPr>
              <w:spacing w:after="0"/>
              <w:rPr>
                <w:sz w:val="22"/>
                <w:szCs w:val="22"/>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5,040.0</w:t>
            </w:r>
          </w:p>
        </w:tc>
        <w:tc>
          <w:tcPr>
            <w:tcW w:w="340" w:type="dxa"/>
            <w:vAlign w:val="bottom"/>
          </w:tcPr>
          <w:p>
            <w:pPr>
              <w:spacing w:after="0"/>
              <w:rPr>
                <w:sz w:val="22"/>
                <w:szCs w:val="22"/>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4,514.2</w:t>
            </w:r>
          </w:p>
        </w:tc>
        <w:tc>
          <w:tcPr>
            <w:tcW w:w="0" w:type="dxa"/>
            <w:vAlign w:val="bottom"/>
          </w:tcPr>
          <w:p>
            <w:pPr>
              <w:spacing w:after="0"/>
              <w:rPr>
                <w:sz w:val="1"/>
                <w:szCs w:val="1"/>
                <w:color w:val="auto"/>
              </w:rPr>
            </w:pPr>
          </w:p>
        </w:tc>
      </w:tr>
      <w:tr>
        <w:trPr>
          <w:trHeight w:val="277"/>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Marketing, selling, and administrative</w:t>
            </w:r>
          </w:p>
        </w:tc>
        <w:tc>
          <w:tcPr>
            <w:tcW w:w="32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6,213.8</w:t>
            </w:r>
          </w:p>
        </w:tc>
        <w:tc>
          <w:tcPr>
            <w:tcW w:w="32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5,975.1</w:t>
            </w:r>
          </w:p>
        </w:tc>
        <w:tc>
          <w:tcPr>
            <w:tcW w:w="380" w:type="dxa"/>
            <w:vAlign w:val="bottom"/>
            <w:shd w:val="clear" w:color="auto" w:fill="D8D8D8"/>
          </w:tcPr>
          <w:p>
            <w:pPr>
              <w:spacing w:after="0"/>
              <w:rPr>
                <w:sz w:val="24"/>
                <w:szCs w:val="24"/>
                <w:color w:val="auto"/>
              </w:rPr>
            </w:pPr>
          </w:p>
        </w:tc>
        <w:tc>
          <w:tcPr>
            <w:tcW w:w="132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5,982.4</w:t>
            </w:r>
          </w:p>
        </w:tc>
        <w:tc>
          <w:tcPr>
            <w:tcW w:w="3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5,841.9</w:t>
            </w:r>
          </w:p>
        </w:tc>
        <w:tc>
          <w:tcPr>
            <w:tcW w:w="340" w:type="dxa"/>
            <w:vAlign w:val="bottom"/>
            <w:shd w:val="clear" w:color="auto" w:fill="D8D8D8"/>
          </w:tcPr>
          <w:p>
            <w:pPr>
              <w:spacing w:after="0"/>
              <w:rPr>
                <w:sz w:val="24"/>
                <w:szCs w:val="24"/>
                <w:color w:val="auto"/>
              </w:rPr>
            </w:pPr>
          </w:p>
        </w:tc>
        <w:tc>
          <w:tcPr>
            <w:tcW w:w="114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5,732.4</w:t>
            </w:r>
          </w:p>
        </w:tc>
        <w:tc>
          <w:tcPr>
            <w:tcW w:w="0" w:type="dxa"/>
            <w:vAlign w:val="bottom"/>
          </w:tcPr>
          <w:p>
            <w:pPr>
              <w:spacing w:after="0"/>
              <w:rPr>
                <w:sz w:val="1"/>
                <w:szCs w:val="1"/>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rPr>
              <w:t>523.6</w:t>
            </w:r>
          </w:p>
        </w:tc>
        <w:tc>
          <w:tcPr>
            <w:tcW w:w="320" w:type="dxa"/>
            <w:vAlign w:val="bottom"/>
          </w:tcPr>
          <w:p>
            <w:pPr>
              <w:spacing w:after="0"/>
              <w:rPr>
                <w:sz w:val="23"/>
                <w:szCs w:val="23"/>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2,105.2</w:t>
            </w:r>
          </w:p>
        </w:tc>
        <w:tc>
          <w:tcPr>
            <w:tcW w:w="380" w:type="dxa"/>
            <w:vAlign w:val="bottom"/>
          </w:tcPr>
          <w:p>
            <w:pPr>
              <w:spacing w:after="0"/>
              <w:rPr>
                <w:sz w:val="23"/>
                <w:szCs w:val="23"/>
                <w:color w:val="auto"/>
              </w:rPr>
            </w:pP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2,142.7</w:t>
            </w:r>
          </w:p>
        </w:tc>
        <w:tc>
          <w:tcPr>
            <w:tcW w:w="34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3"/>
                <w:szCs w:val="23"/>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70"/>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5,265.9</w:t>
            </w:r>
          </w:p>
        </w:tc>
        <w:tc>
          <w:tcPr>
            <w:tcW w:w="32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3,680.1</w:t>
            </w:r>
          </w:p>
        </w:tc>
        <w:tc>
          <w:tcPr>
            <w:tcW w:w="38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2,304.8</w:t>
            </w:r>
          </w:p>
        </w:tc>
        <w:tc>
          <w:tcPr>
            <w:tcW w:w="3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3,276.3</w:t>
            </w:r>
          </w:p>
        </w:tc>
        <w:tc>
          <w:tcPr>
            <w:tcW w:w="34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2,891.9</w:t>
            </w:r>
          </w:p>
        </w:tc>
        <w:tc>
          <w:tcPr>
            <w:tcW w:w="0" w:type="dxa"/>
            <w:vAlign w:val="bottom"/>
          </w:tcPr>
          <w:p>
            <w:pPr>
              <w:spacing w:after="0"/>
              <w:rPr>
                <w:sz w:val="1"/>
                <w:szCs w:val="1"/>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color w:val="auto"/>
              </w:rPr>
              <w:t>Income taxes</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rPr>
              <w:t>628.0</w:t>
            </w:r>
          </w:p>
        </w:tc>
        <w:tc>
          <w:tcPr>
            <w:tcW w:w="320" w:type="dxa"/>
            <w:vAlign w:val="bottom"/>
          </w:tcPr>
          <w:p>
            <w:pPr>
              <w:spacing w:after="0"/>
              <w:rPr>
                <w:sz w:val="23"/>
                <w:szCs w:val="23"/>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529.5</w:t>
            </w:r>
          </w:p>
        </w:tc>
        <w:tc>
          <w:tcPr>
            <w:tcW w:w="380" w:type="dxa"/>
            <w:vAlign w:val="bottom"/>
          </w:tcPr>
          <w:p>
            <w:pPr>
              <w:spacing w:after="0"/>
              <w:rPr>
                <w:sz w:val="23"/>
                <w:szCs w:val="23"/>
                <w:color w:val="auto"/>
              </w:rPr>
            </w:pP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2,391.2</w:t>
            </w:r>
          </w:p>
        </w:tc>
        <w:tc>
          <w:tcPr>
            <w:tcW w:w="340" w:type="dxa"/>
            <w:vAlign w:val="bottom"/>
          </w:tcPr>
          <w:p>
            <w:pPr>
              <w:spacing w:after="0"/>
              <w:rPr>
                <w:sz w:val="23"/>
                <w:szCs w:val="23"/>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551.4</w:t>
            </w:r>
          </w:p>
        </w:tc>
        <w:tc>
          <w:tcPr>
            <w:tcW w:w="340" w:type="dxa"/>
            <w:vAlign w:val="bottom"/>
          </w:tcPr>
          <w:p>
            <w:pPr>
              <w:spacing w:after="0"/>
              <w:rPr>
                <w:sz w:val="23"/>
                <w:szCs w:val="23"/>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70"/>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4,637.9</w:t>
            </w:r>
          </w:p>
        </w:tc>
        <w:tc>
          <w:tcPr>
            <w:tcW w:w="32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3,150.6</w:t>
            </w:r>
          </w:p>
        </w:tc>
        <w:tc>
          <w:tcPr>
            <w:tcW w:w="38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(86.4)</w:t>
            </w:r>
          </w:p>
        </w:tc>
        <w:tc>
          <w:tcPr>
            <w:tcW w:w="3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2,724.9</w:t>
            </w:r>
          </w:p>
        </w:tc>
        <w:tc>
          <w:tcPr>
            <w:tcW w:w="34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2,512.2</w:t>
            </w:r>
          </w:p>
        </w:tc>
        <w:tc>
          <w:tcPr>
            <w:tcW w:w="0" w:type="dxa"/>
            <w:vAlign w:val="bottom"/>
          </w:tcPr>
          <w:p>
            <w:pPr>
              <w:spacing w:after="0"/>
              <w:rPr>
                <w:sz w:val="1"/>
                <w:szCs w:val="1"/>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color w:val="auto"/>
              </w:rPr>
              <w:t>Net income (loss)</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rPr>
              <w:t>8,318.4</w:t>
            </w:r>
          </w:p>
        </w:tc>
        <w:tc>
          <w:tcPr>
            <w:tcW w:w="320" w:type="dxa"/>
            <w:vAlign w:val="bottom"/>
          </w:tcPr>
          <w:p>
            <w:pPr>
              <w:spacing w:after="0"/>
              <w:rPr>
                <w:sz w:val="23"/>
                <w:szCs w:val="23"/>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3,232.0</w:t>
            </w:r>
          </w:p>
        </w:tc>
        <w:tc>
          <w:tcPr>
            <w:tcW w:w="380" w:type="dxa"/>
            <w:vAlign w:val="bottom"/>
          </w:tcPr>
          <w:p>
            <w:pPr>
              <w:spacing w:after="0"/>
              <w:rPr>
                <w:sz w:val="23"/>
                <w:szCs w:val="23"/>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(204.1)</w:t>
            </w:r>
          </w:p>
        </w:tc>
        <w:tc>
          <w:tcPr>
            <w:tcW w:w="340" w:type="dxa"/>
            <w:vAlign w:val="bottom"/>
          </w:tcPr>
          <w:p>
            <w:pPr>
              <w:spacing w:after="0"/>
              <w:rPr>
                <w:sz w:val="23"/>
                <w:szCs w:val="23"/>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2,737.6</w:t>
            </w:r>
          </w:p>
        </w:tc>
        <w:tc>
          <w:tcPr>
            <w:tcW w:w="340" w:type="dxa"/>
            <w:vAlign w:val="bottom"/>
          </w:tcPr>
          <w:p>
            <w:pPr>
              <w:spacing w:after="0"/>
              <w:rPr>
                <w:sz w:val="23"/>
                <w:szCs w:val="23"/>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2,408.4</w:t>
            </w:r>
          </w:p>
        </w:tc>
        <w:tc>
          <w:tcPr>
            <w:tcW w:w="0" w:type="dxa"/>
            <w:vAlign w:val="bottom"/>
          </w:tcPr>
          <w:p>
            <w:pPr>
              <w:spacing w:after="0"/>
              <w:rPr>
                <w:sz w:val="1"/>
                <w:szCs w:val="1"/>
                <w:color w:val="auto"/>
              </w:rPr>
            </w:pPr>
          </w:p>
        </w:tc>
      </w:tr>
      <w:tr>
        <w:trPr>
          <w:trHeight w:val="229"/>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Earnings (loss) per share from continuing</w:t>
            </w:r>
          </w:p>
        </w:tc>
        <w:tc>
          <w:tcPr>
            <w:tcW w:w="320" w:type="dxa"/>
            <w:vAlign w:val="bottom"/>
            <w:shd w:val="clear" w:color="auto" w:fill="D8D8D8"/>
          </w:tcPr>
          <w:p>
            <w:pPr>
              <w:spacing w:after="0"/>
              <w:rPr>
                <w:sz w:val="19"/>
                <w:szCs w:val="19"/>
                <w:color w:val="auto"/>
              </w:rPr>
            </w:pPr>
          </w:p>
        </w:tc>
        <w:tc>
          <w:tcPr>
            <w:tcW w:w="1160" w:type="dxa"/>
            <w:vAlign w:val="bottom"/>
            <w:vMerge w:val="restart"/>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4.96</w:t>
            </w:r>
          </w:p>
        </w:tc>
        <w:tc>
          <w:tcPr>
            <w:tcW w:w="3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operations—diluted</w:t>
            </w:r>
          </w:p>
        </w:tc>
        <w:tc>
          <w:tcPr>
            <w:tcW w:w="320" w:type="dxa"/>
            <w:vAlign w:val="bottom"/>
            <w:shd w:val="clear" w:color="auto" w:fill="D8D8D8"/>
          </w:tcPr>
          <w:p>
            <w:pPr>
              <w:spacing w:after="0"/>
              <w:rPr>
                <w:sz w:val="20"/>
                <w:szCs w:val="20"/>
                <w:color w:val="auto"/>
              </w:rPr>
            </w:pPr>
          </w:p>
        </w:tc>
        <w:tc>
          <w:tcPr>
            <w:tcW w:w="1160" w:type="dxa"/>
            <w:vAlign w:val="bottom"/>
            <w:vMerge w:val="continue"/>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12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3.05</w:t>
            </w:r>
          </w:p>
        </w:tc>
        <w:tc>
          <w:tcPr>
            <w:tcW w:w="380" w:type="dxa"/>
            <w:vAlign w:val="bottom"/>
            <w:shd w:val="clear" w:color="auto" w:fill="D8D8D8"/>
          </w:tcPr>
          <w:p>
            <w:pPr>
              <w:spacing w:after="0"/>
              <w:rPr>
                <w:sz w:val="20"/>
                <w:szCs w:val="20"/>
                <w:color w:val="auto"/>
              </w:rPr>
            </w:pPr>
          </w:p>
        </w:tc>
        <w:tc>
          <w:tcPr>
            <w:tcW w:w="132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2.57</w:t>
            </w:r>
          </w:p>
        </w:tc>
        <w:tc>
          <w:tcPr>
            <w:tcW w:w="340" w:type="dxa"/>
            <w:vAlign w:val="bottom"/>
            <w:shd w:val="clear" w:color="auto" w:fill="D8D8D8"/>
          </w:tcPr>
          <w:p>
            <w:pPr>
              <w:spacing w:after="0"/>
              <w:rPr>
                <w:sz w:val="20"/>
                <w:szCs w:val="20"/>
                <w:color w:val="auto"/>
              </w:rPr>
            </w:pPr>
          </w:p>
        </w:tc>
        <w:tc>
          <w:tcPr>
            <w:tcW w:w="114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color w:val="auto"/>
              </w:rPr>
              <w:t>Earnings (loss) per share—diluted</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rPr>
              <w:t>8.89</w:t>
            </w:r>
          </w:p>
        </w:tc>
        <w:tc>
          <w:tcPr>
            <w:tcW w:w="320" w:type="dxa"/>
            <w:vAlign w:val="bottom"/>
          </w:tcPr>
          <w:p>
            <w:pPr>
              <w:spacing w:after="0"/>
              <w:rPr>
                <w:sz w:val="23"/>
                <w:szCs w:val="23"/>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23"/>
                <w:szCs w:val="23"/>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23"/>
                <w:szCs w:val="23"/>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2.58</w:t>
            </w:r>
          </w:p>
        </w:tc>
        <w:tc>
          <w:tcPr>
            <w:tcW w:w="340" w:type="dxa"/>
            <w:vAlign w:val="bottom"/>
          </w:tcPr>
          <w:p>
            <w:pPr>
              <w:spacing w:after="0"/>
              <w:rPr>
                <w:sz w:val="23"/>
                <w:szCs w:val="23"/>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0"/>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Dividends declared per share</w:t>
            </w:r>
          </w:p>
        </w:tc>
        <w:tc>
          <w:tcPr>
            <w:tcW w:w="32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2.68</w:t>
            </w:r>
          </w:p>
        </w:tc>
        <w:tc>
          <w:tcPr>
            <w:tcW w:w="32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2.33</w:t>
            </w:r>
          </w:p>
        </w:tc>
        <w:tc>
          <w:tcPr>
            <w:tcW w:w="38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D8D8D8"/>
          </w:tcPr>
          <w:p>
            <w:pPr>
              <w:spacing w:after="0"/>
              <w:rPr>
                <w:sz w:val="23"/>
                <w:szCs w:val="23"/>
                <w:color w:val="auto"/>
              </w:rPr>
            </w:pPr>
          </w:p>
        </w:tc>
        <w:tc>
          <w:tcPr>
            <w:tcW w:w="114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3720" w:type="dxa"/>
            <w:vAlign w:val="bottom"/>
          </w:tcPr>
          <w:p>
            <w:pPr>
              <w:ind w:left="40"/>
              <w:spacing w:after="0"/>
              <w:rPr>
                <w:sz w:val="20"/>
                <w:szCs w:val="20"/>
                <w:color w:val="auto"/>
              </w:rPr>
            </w:pPr>
            <w:r>
              <w:rPr>
                <w:rFonts w:ascii="Arial" w:cs="Arial" w:eastAsia="Arial" w:hAnsi="Arial"/>
                <w:sz w:val="18"/>
                <w:szCs w:val="18"/>
                <w:color w:val="auto"/>
              </w:rPr>
              <w:t>Weighted-average number of shares</w:t>
            </w:r>
          </w:p>
        </w:tc>
        <w:tc>
          <w:tcPr>
            <w:tcW w:w="320" w:type="dxa"/>
            <w:vAlign w:val="bottom"/>
          </w:tcPr>
          <w:p>
            <w:pPr>
              <w:spacing w:after="0"/>
              <w:rPr>
                <w:sz w:val="19"/>
                <w:szCs w:val="19"/>
                <w:color w:val="auto"/>
              </w:rPr>
            </w:pPr>
          </w:p>
        </w:tc>
        <w:tc>
          <w:tcPr>
            <w:tcW w:w="116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935,684</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tcBorders>
              <w:bottom w:val="single" w:sz="8" w:color="D8D8D8"/>
            </w:tcBorders>
          </w:tcPr>
          <w:p>
            <w:pPr>
              <w:ind w:left="200"/>
              <w:spacing w:after="0"/>
              <w:rPr>
                <w:sz w:val="20"/>
                <w:szCs w:val="20"/>
                <w:color w:val="auto"/>
              </w:rPr>
            </w:pPr>
            <w:r>
              <w:rPr>
                <w:rFonts w:ascii="Arial" w:cs="Arial" w:eastAsia="Arial" w:hAnsi="Arial"/>
                <w:sz w:val="18"/>
                <w:szCs w:val="18"/>
                <w:color w:val="auto"/>
              </w:rPr>
              <w:t>outstanding—diluted (thousands)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1,033,667</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1,052,023</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1,061,825</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1,065,720</w:t>
            </w:r>
          </w:p>
        </w:tc>
        <w:tc>
          <w:tcPr>
            <w:tcW w:w="0" w:type="dxa"/>
            <w:vAlign w:val="bottom"/>
          </w:tcPr>
          <w:p>
            <w:pPr>
              <w:spacing w:after="0"/>
              <w:rPr>
                <w:sz w:val="1"/>
                <w:szCs w:val="1"/>
                <w:color w:val="auto"/>
              </w:rPr>
            </w:pPr>
          </w:p>
        </w:tc>
      </w:tr>
      <w:tr>
        <w:trPr>
          <w:trHeight w:val="189"/>
        </w:trPr>
        <w:tc>
          <w:tcPr>
            <w:tcW w:w="37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116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132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118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114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Financial Position</w:t>
            </w:r>
            <w:r>
              <w:rPr>
                <w:rFonts w:ascii="Arial" w:cs="Arial" w:eastAsia="Arial" w:hAnsi="Arial"/>
                <w:sz w:val="21"/>
                <w:szCs w:val="21"/>
                <w:b w:val="1"/>
                <w:bCs w:val="1"/>
                <w:color w:val="auto"/>
                <w:vertAlign w:val="superscript"/>
              </w:rPr>
              <w:t>(1)</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39,286.1</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43,908.4</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44,981.0</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38,805.9</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35,568.9</w:t>
            </w:r>
          </w:p>
        </w:tc>
        <w:tc>
          <w:tcPr>
            <w:tcW w:w="0" w:type="dxa"/>
            <w:vAlign w:val="bottom"/>
          </w:tcPr>
          <w:p>
            <w:pPr>
              <w:spacing w:after="0"/>
              <w:rPr>
                <w:sz w:val="1"/>
                <w:szCs w:val="1"/>
                <w:color w:val="auto"/>
              </w:rPr>
            </w:pPr>
          </w:p>
        </w:tc>
      </w:tr>
      <w:tr>
        <w:trPr>
          <w:trHeight w:val="264"/>
        </w:trPr>
        <w:tc>
          <w:tcPr>
            <w:tcW w:w="37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13,817.9</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9,196.4</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9,940.0</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8,367.4</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7,971.4</w:t>
            </w:r>
          </w:p>
        </w:tc>
        <w:tc>
          <w:tcPr>
            <w:tcW w:w="0" w:type="dxa"/>
            <w:vAlign w:val="bottom"/>
          </w:tcPr>
          <w:p>
            <w:pPr>
              <w:spacing w:after="0"/>
              <w:rPr>
                <w:sz w:val="1"/>
                <w:szCs w:val="1"/>
                <w:color w:val="auto"/>
              </w:rPr>
            </w:pPr>
          </w:p>
        </w:tc>
      </w:tr>
      <w:tr>
        <w:trPr>
          <w:trHeight w:val="189"/>
        </w:trPr>
        <w:tc>
          <w:tcPr>
            <w:tcW w:w="37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116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120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132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118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114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Supplementary Data</w:t>
            </w:r>
            <w:r>
              <w:rPr>
                <w:rFonts w:ascii="Arial" w:cs="Arial" w:eastAsia="Arial" w:hAnsi="Arial"/>
                <w:sz w:val="21"/>
                <w:szCs w:val="21"/>
                <w:b w:val="1"/>
                <w:bCs w:val="1"/>
                <w:color w:val="auto"/>
                <w:vertAlign w:val="superscript"/>
              </w:rPr>
              <w:t>(1)</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Return on total equity</w:t>
            </w:r>
            <w:r>
              <w:rPr>
                <w:rFonts w:ascii="Arial" w:cs="Arial" w:eastAsia="Arial" w:hAnsi="Arial"/>
                <w:sz w:val="21"/>
                <w:szCs w:val="21"/>
                <w:color w:val="auto"/>
                <w:vertAlign w:val="superscript"/>
              </w:rPr>
              <w:t>(4)</w:t>
            </w:r>
          </w:p>
        </w:tc>
        <w:tc>
          <w:tcPr>
            <w:tcW w:w="320" w:type="dxa"/>
            <w:vAlign w:val="bottom"/>
            <w:shd w:val="clear" w:color="auto" w:fill="D8D8D8"/>
          </w:tcPr>
          <w:p>
            <w:pPr>
              <w:spacing w:after="0"/>
              <w:rPr>
                <w:sz w:val="23"/>
                <w:szCs w:val="23"/>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184.9%</w:t>
            </w:r>
          </w:p>
        </w:tc>
        <w:tc>
          <w:tcPr>
            <w:tcW w:w="320" w:type="dxa"/>
            <w:vAlign w:val="bottom"/>
            <w:shd w:val="clear" w:color="auto" w:fill="D8D8D8"/>
          </w:tcPr>
          <w:p>
            <w:pPr>
              <w:spacing w:after="0"/>
              <w:rPr>
                <w:sz w:val="23"/>
                <w:szCs w:val="23"/>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25.7%</w:t>
            </w:r>
          </w:p>
        </w:tc>
        <w:tc>
          <w:tcPr>
            <w:tcW w:w="380" w:type="dxa"/>
            <w:vAlign w:val="bottom"/>
            <w:shd w:val="clear" w:color="auto" w:fill="D8D8D8"/>
          </w:tcPr>
          <w:p>
            <w:pPr>
              <w:spacing w:after="0"/>
              <w:rPr>
                <w:sz w:val="23"/>
                <w:szCs w:val="23"/>
                <w:color w:val="auto"/>
              </w:rPr>
            </w:pP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D8D8D8"/>
          </w:tcPr>
          <w:p>
            <w:pPr>
              <w:spacing w:after="0"/>
              <w:rPr>
                <w:sz w:val="23"/>
                <w:szCs w:val="23"/>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D8D8D8"/>
          </w:tcPr>
          <w:p>
            <w:pPr>
              <w:spacing w:after="0"/>
              <w:rPr>
                <w:sz w:val="23"/>
                <w:szCs w:val="23"/>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color w:val="auto"/>
              </w:rPr>
              <w:t>Return on assets</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 per employee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664,000</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650,000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575,000</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510,000</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490,000</w:t>
            </w:r>
          </w:p>
        </w:tc>
        <w:tc>
          <w:tcPr>
            <w:tcW w:w="0" w:type="dxa"/>
            <w:vAlign w:val="bottom"/>
          </w:tcPr>
          <w:p>
            <w:pPr>
              <w:spacing w:after="0"/>
              <w:rPr>
                <w:sz w:val="1"/>
                <w:szCs w:val="1"/>
                <w:color w:val="auto"/>
              </w:rPr>
            </w:pP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color w:val="auto"/>
              </w:rPr>
              <w:t>Number of employees</w:t>
            </w:r>
          </w:p>
        </w:tc>
        <w:tc>
          <w:tcPr>
            <w:tcW w:w="320" w:type="dxa"/>
            <w:vAlign w:val="bottom"/>
          </w:tcPr>
          <w:p>
            <w:pPr>
              <w:spacing w:after="0"/>
              <w:rPr>
                <w:sz w:val="22"/>
                <w:szCs w:val="22"/>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rPr>
              <w:t>33,625</w:t>
            </w:r>
          </w:p>
        </w:tc>
        <w:tc>
          <w:tcPr>
            <w:tcW w:w="320" w:type="dxa"/>
            <w:vAlign w:val="bottom"/>
          </w:tcPr>
          <w:p>
            <w:pPr>
              <w:spacing w:after="0"/>
              <w:rPr>
                <w:sz w:val="22"/>
                <w:szCs w:val="22"/>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33,090</w:t>
            </w:r>
          </w:p>
        </w:tc>
        <w:tc>
          <w:tcPr>
            <w:tcW w:w="380" w:type="dxa"/>
            <w:vAlign w:val="bottom"/>
          </w:tcPr>
          <w:p>
            <w:pPr>
              <w:spacing w:after="0"/>
              <w:rPr>
                <w:sz w:val="22"/>
                <w:szCs w:val="22"/>
                <w:color w:val="auto"/>
              </w:rPr>
            </w:pP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34,750</w:t>
            </w:r>
          </w:p>
        </w:tc>
        <w:tc>
          <w:tcPr>
            <w:tcW w:w="340" w:type="dxa"/>
            <w:vAlign w:val="bottom"/>
          </w:tcPr>
          <w:p>
            <w:pPr>
              <w:spacing w:after="0"/>
              <w:rPr>
                <w:sz w:val="22"/>
                <w:szCs w:val="22"/>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35,910</w:t>
            </w:r>
          </w:p>
        </w:tc>
        <w:tc>
          <w:tcPr>
            <w:tcW w:w="340" w:type="dxa"/>
            <w:vAlign w:val="bottom"/>
          </w:tcPr>
          <w:p>
            <w:pPr>
              <w:spacing w:after="0"/>
              <w:rPr>
                <w:sz w:val="22"/>
                <w:szCs w:val="22"/>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34,790</w:t>
            </w:r>
          </w:p>
        </w:tc>
        <w:tc>
          <w:tcPr>
            <w:tcW w:w="0" w:type="dxa"/>
            <w:vAlign w:val="bottom"/>
          </w:tcPr>
          <w:p>
            <w:pPr>
              <w:spacing w:after="0"/>
              <w:rPr>
                <w:sz w:val="1"/>
                <w:szCs w:val="1"/>
                <w:color w:val="auto"/>
              </w:rPr>
            </w:pPr>
          </w:p>
        </w:tc>
      </w:tr>
      <w:tr>
        <w:trPr>
          <w:trHeight w:val="270"/>
        </w:trPr>
        <w:tc>
          <w:tcPr>
            <w:tcW w:w="3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Number of shareholders of record</w:t>
            </w:r>
          </w:p>
        </w:tc>
        <w:tc>
          <w:tcPr>
            <w:tcW w:w="320" w:type="dxa"/>
            <w:vAlign w:val="bottom"/>
            <w:tcBorders>
              <w:bottom w:val="single" w:sz="8" w:color="auto"/>
            </w:tcBorders>
            <w:shd w:val="clear" w:color="auto" w:fill="D8D8D8"/>
          </w:tcPr>
          <w:p>
            <w:pPr>
              <w:spacing w:after="0"/>
              <w:rPr>
                <w:sz w:val="23"/>
                <w:szCs w:val="23"/>
                <w:color w:val="auto"/>
              </w:rPr>
            </w:pPr>
          </w:p>
        </w:tc>
        <w:tc>
          <w:tcPr>
            <w:tcW w:w="116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22,600</w:t>
            </w:r>
          </w:p>
        </w:tc>
        <w:tc>
          <w:tcPr>
            <w:tcW w:w="32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24,000</w:t>
            </w:r>
          </w:p>
        </w:tc>
        <w:tc>
          <w:tcPr>
            <w:tcW w:w="380" w:type="dxa"/>
            <w:vAlign w:val="bottom"/>
            <w:tcBorders>
              <w:bottom w:val="single" w:sz="8" w:color="auto"/>
            </w:tcBorders>
            <w:shd w:val="clear" w:color="auto" w:fill="D8D8D8"/>
          </w:tcPr>
          <w:p>
            <w:pPr>
              <w:spacing w:after="0"/>
              <w:rPr>
                <w:sz w:val="23"/>
                <w:szCs w:val="23"/>
                <w:color w:val="auto"/>
              </w:rPr>
            </w:pPr>
          </w:p>
        </w:tc>
        <w:tc>
          <w:tcPr>
            <w:tcW w:w="1320" w:type="dxa"/>
            <w:vAlign w:val="bottom"/>
            <w:tcBorders>
              <w:bottom w:val="single" w:sz="8" w:color="auto"/>
            </w:tcBorders>
            <w:shd w:val="clear" w:color="auto" w:fill="D8D8D8"/>
          </w:tcPr>
          <w:p>
            <w:pPr>
              <w:jc w:val="right"/>
              <w:ind w:right="211"/>
              <w:spacing w:after="0"/>
              <w:rPr>
                <w:sz w:val="20"/>
                <w:szCs w:val="20"/>
                <w:color w:val="auto"/>
              </w:rPr>
            </w:pPr>
            <w:r>
              <w:rPr>
                <w:rFonts w:ascii="Arial" w:cs="Arial" w:eastAsia="Arial" w:hAnsi="Arial"/>
                <w:sz w:val="18"/>
                <w:szCs w:val="18"/>
                <w:color w:val="auto"/>
              </w:rPr>
              <w:t>25,300</w:t>
            </w:r>
          </w:p>
        </w:tc>
        <w:tc>
          <w:tcPr>
            <w:tcW w:w="340" w:type="dxa"/>
            <w:vAlign w:val="bottom"/>
            <w:tcBorders>
              <w:bottom w:val="single" w:sz="8" w:color="auto"/>
            </w:tcBorders>
            <w:shd w:val="clear" w:color="auto" w:fill="D8D8D8"/>
          </w:tcPr>
          <w:p>
            <w:pPr>
              <w:spacing w:after="0"/>
              <w:rPr>
                <w:sz w:val="23"/>
                <w:szCs w:val="23"/>
                <w:color w:val="auto"/>
              </w:rPr>
            </w:pPr>
          </w:p>
        </w:tc>
        <w:tc>
          <w:tcPr>
            <w:tcW w:w="118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26,800</w:t>
            </w:r>
          </w:p>
        </w:tc>
        <w:tc>
          <w:tcPr>
            <w:tcW w:w="340" w:type="dxa"/>
            <w:vAlign w:val="bottom"/>
            <w:tcBorders>
              <w:bottom w:val="single" w:sz="8" w:color="auto"/>
            </w:tcBorders>
            <w:shd w:val="clear" w:color="auto" w:fill="D8D8D8"/>
          </w:tcPr>
          <w:p>
            <w:pPr>
              <w:spacing w:after="0"/>
              <w:rPr>
                <w:sz w:val="23"/>
                <w:szCs w:val="23"/>
                <w:color w:val="auto"/>
              </w:rPr>
            </w:pPr>
          </w:p>
        </w:tc>
        <w:tc>
          <w:tcPr>
            <w:tcW w:w="114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180" w:right="140" w:hanging="172"/>
        <w:spacing w:after="0" w:line="225" w:lineRule="auto"/>
        <w:tabs>
          <w:tab w:leader="none" w:pos="168"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On March 11, 2019, we completed the disposition of our remaining 80.2 percent ownership of Elanco Animal Health (Elanco) common stock through a tax-free exchange offer. As a result, Elanco has been presented as discontinued operations in our consolidated financial statements for all periods presented. See Note 19 to the consolidated financial statements for discussion regarding discontinued operations.</w:t>
      </w:r>
    </w:p>
    <w:p>
      <w:pPr>
        <w:spacing w:after="0" w:line="152" w:lineRule="exact"/>
        <w:rPr>
          <w:rFonts w:ascii="Arial" w:cs="Arial" w:eastAsia="Arial" w:hAnsi="Arial"/>
          <w:sz w:val="18"/>
          <w:szCs w:val="18"/>
          <w:color w:val="auto"/>
          <w:vertAlign w:val="superscript"/>
        </w:rPr>
      </w:pPr>
    </w:p>
    <w:p>
      <w:pPr>
        <w:ind w:left="180" w:right="60" w:hanging="172"/>
        <w:spacing w:after="0" w:line="230" w:lineRule="auto"/>
        <w:tabs>
          <w:tab w:leader="none" w:pos="153" w:val="left"/>
        </w:tabs>
        <w:numPr>
          <w:ilvl w:val="0"/>
          <w:numId w:val="22"/>
        </w:numPr>
        <w:rPr>
          <w:rFonts w:ascii="Arial" w:cs="Arial" w:eastAsia="Arial" w:hAnsi="Arial"/>
          <w:sz w:val="17"/>
          <w:szCs w:val="17"/>
          <w:color w:val="auto"/>
          <w:vertAlign w:val="superscript"/>
        </w:rPr>
      </w:pPr>
      <w:r>
        <w:rPr>
          <w:rFonts w:ascii="Arial" w:cs="Arial" w:eastAsia="Arial" w:hAnsi="Arial"/>
          <w:sz w:val="14"/>
          <w:szCs w:val="14"/>
          <w:color w:val="auto"/>
        </w:rPr>
        <w:t>Other includes acquired in-process research and development, asset impairment, restructuring, and other special charges, and other—net, (income) expense. See Note 3 to the consolidated financial statements for discussion regarding in-process research and development charges. See Note 5 to the consolidated financial statements for discussion regarding asset impairment, restructuring, and other special charges.</w:t>
      </w:r>
    </w:p>
    <w:p>
      <w:pPr>
        <w:spacing w:after="0" w:line="140"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See Note 14 to the consolidated financial statements for discussion regarding income taxes.</w:t>
      </w:r>
    </w:p>
    <w:p>
      <w:pPr>
        <w:spacing w:after="0" w:line="151" w:lineRule="exact"/>
        <w:rPr>
          <w:rFonts w:ascii="Arial" w:cs="Arial" w:eastAsia="Arial" w:hAnsi="Arial"/>
          <w:sz w:val="16"/>
          <w:szCs w:val="16"/>
          <w:color w:val="auto"/>
          <w:vertAlign w:val="superscript"/>
        </w:rPr>
      </w:pPr>
    </w:p>
    <w:p>
      <w:pPr>
        <w:ind w:left="180" w:right="140" w:hanging="172"/>
        <w:spacing w:after="0" w:line="230" w:lineRule="auto"/>
        <w:tabs>
          <w:tab w:leader="none" w:pos="153" w:val="left"/>
        </w:tabs>
        <w:numPr>
          <w:ilvl w:val="0"/>
          <w:numId w:val="22"/>
        </w:numPr>
        <w:rPr>
          <w:rFonts w:ascii="Arial" w:cs="Arial" w:eastAsia="Arial" w:hAnsi="Arial"/>
          <w:sz w:val="17"/>
          <w:szCs w:val="17"/>
          <w:color w:val="auto"/>
          <w:vertAlign w:val="superscript"/>
        </w:rPr>
      </w:pPr>
      <w:r>
        <w:rPr>
          <w:rFonts w:ascii="Arial" w:cs="Arial" w:eastAsia="Arial" w:hAnsi="Arial"/>
          <w:sz w:val="14"/>
          <w:szCs w:val="14"/>
          <w:color w:val="auto"/>
        </w:rPr>
        <w:t>The 2019 increase was primarily driven by a gain of approximately $3.7 billion related to the disposition of Elanco. The 2019 increase in earnings (loss) per share and return on equity were also driven by the reduction of common stock related to the disposition of Elanco. See Note 19 to the consolidated financial statements for discussion regarding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28</w:t>
      </w:r>
    </w:p>
    <w:p>
      <w:pPr>
        <w:sectPr>
          <w:pgSz w:w="11900" w:h="16838" w:orient="portrait"/>
          <w:cols w:equalWidth="0" w:num="1">
            <w:col w:w="11420"/>
          </w:cols>
          <w:pgMar w:left="240" w:top="535" w:right="239" w:bottom="1440" w:gutter="0" w:footer="0" w:header="0"/>
        </w:sectPr>
      </w:pPr>
    </w:p>
    <w:bookmarkStart w:id="28" w:name="page29"/>
    <w:bookmarkEnd w:id="28"/>
    <w:p>
      <w:pPr>
        <w:ind w:left="2600" w:right="100" w:hanging="2592"/>
        <w:spacing w:after="0" w:line="286" w:lineRule="auto"/>
        <w:rPr>
          <w:sz w:val="20"/>
          <w:szCs w:val="20"/>
          <w:color w:val="auto"/>
        </w:rPr>
      </w:pPr>
      <w:r>
        <w:rPr>
          <w:rFonts w:ascii="Arial" w:cs="Arial" w:eastAsia="Arial" w:hAnsi="Arial"/>
          <w:sz w:val="32"/>
          <w:szCs w:val="32"/>
          <w:b w:val="1"/>
          <w:bCs w:val="1"/>
          <w:i w:val="1"/>
          <w:iCs w:val="1"/>
          <w:color w:val="CC0000"/>
        </w:rPr>
        <w:t>Item 7. Management’s Discussion and Analysis of Results of Operations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General</w:t>
      </w:r>
    </w:p>
    <w:p>
      <w:pPr>
        <w:spacing w:after="0" w:line="13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financial statements and accompanying footnotes in Item 8 of Part</w:t>
      </w:r>
    </w:p>
    <w:p>
      <w:pPr>
        <w:spacing w:after="0" w:line="1" w:lineRule="exact"/>
        <w:rPr>
          <w:sz w:val="20"/>
          <w:szCs w:val="20"/>
          <w:color w:val="auto"/>
        </w:rPr>
      </w:pPr>
    </w:p>
    <w:p>
      <w:pPr>
        <w:ind w:right="40" w:firstLine="8"/>
        <w:spacing w:after="0" w:line="256" w:lineRule="auto"/>
        <w:tabs>
          <w:tab w:leader="none" w:pos="1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this Annual Report on Form 10-K. Certain statements in this Item 7 of Part II of this Annual Report on Form 10-K constitute forward-looking statements. Various risks and uncertainties, including those discussed in "Forward-Looking Statements" and Item 1A, “Risk Factors”, may cause our actual results, financial position, and cash generated from operations to differ materially from these forward-looking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Overview</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8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Incorporated (Elanco) common stock through a tax-free exchange offer. As a result, we recognized a gain on the disposition of approximately $3.7 billion in the first quarter of 2019 and now operate as a single segment. See Note 19 to the consolidated financial statements for further discussion.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6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694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46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22,319.5</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21,493.3</w:t>
            </w:r>
          </w:p>
        </w:tc>
        <w:tc>
          <w:tcPr>
            <w:tcW w:w="146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4</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17,598.3</w:t>
            </w:r>
          </w:p>
        </w:tc>
        <w:tc>
          <w:tcPr>
            <w:tcW w:w="560" w:type="dxa"/>
            <w:vAlign w:val="bottom"/>
          </w:tcPr>
          <w:p>
            <w:pPr>
              <w:spacing w:after="0"/>
              <w:rPr>
                <w:sz w:val="22"/>
                <w:szCs w:val="22"/>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16,811.6</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a percent of revenue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78.8%</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78.2%</w:t>
            </w:r>
          </w:p>
        </w:tc>
        <w:tc>
          <w:tcPr>
            <w:tcW w:w="1460" w:type="dxa"/>
            <w:vAlign w:val="bottom"/>
            <w:shd w:val="clear" w:color="auto" w:fill="D8D8D8"/>
          </w:tcPr>
          <w:p>
            <w:pPr>
              <w:spacing w:after="0"/>
              <w:rPr>
                <w:sz w:val="24"/>
                <w:szCs w:val="24"/>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11,808.8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11,026.3</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7</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239.6</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1,983.9</w:t>
            </w:r>
          </w:p>
        </w:tc>
        <w:tc>
          <w:tcPr>
            <w:tcW w:w="146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(88)</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575.6</w:t>
            </w:r>
          </w:p>
        </w:tc>
        <w:tc>
          <w:tcPr>
            <w:tcW w:w="560" w:type="dxa"/>
            <w:vAlign w:val="bottom"/>
          </w:tcPr>
          <w:p>
            <w:pPr>
              <w:spacing w:after="0"/>
              <w:rPr>
                <w:sz w:val="22"/>
                <w:szCs w:val="22"/>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266.9</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5,265.9</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3,680.1</w:t>
            </w:r>
          </w:p>
        </w:tc>
        <w:tc>
          <w:tcPr>
            <w:tcW w:w="146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43</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628.0</w:t>
            </w:r>
          </w:p>
        </w:tc>
        <w:tc>
          <w:tcPr>
            <w:tcW w:w="560" w:type="dxa"/>
            <w:vAlign w:val="bottom"/>
          </w:tcPr>
          <w:p>
            <w:pPr>
              <w:spacing w:after="0"/>
              <w:rPr>
                <w:sz w:val="22"/>
                <w:szCs w:val="22"/>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529.5</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19</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4,637.9</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3,150.6</w:t>
            </w:r>
          </w:p>
        </w:tc>
        <w:tc>
          <w:tcPr>
            <w:tcW w:w="146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47</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8,318.4</w:t>
            </w:r>
          </w:p>
        </w:tc>
        <w:tc>
          <w:tcPr>
            <w:tcW w:w="560" w:type="dxa"/>
            <w:vAlign w:val="bottom"/>
          </w:tcPr>
          <w:p>
            <w:pPr>
              <w:spacing w:after="0"/>
              <w:rPr>
                <w:sz w:val="22"/>
                <w:szCs w:val="22"/>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3,232.0</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EPS from continuing operations</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4.96</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3.05</w:t>
            </w:r>
          </w:p>
        </w:tc>
        <w:tc>
          <w:tcPr>
            <w:tcW w:w="146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63</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EPS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8.89</w:t>
            </w:r>
          </w:p>
        </w:tc>
        <w:tc>
          <w:tcPr>
            <w:tcW w:w="560" w:type="dxa"/>
            <w:vAlign w:val="bottom"/>
          </w:tcPr>
          <w:p>
            <w:pPr>
              <w:spacing w:after="0"/>
              <w:rPr>
                <w:sz w:val="22"/>
                <w:szCs w:val="22"/>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3.13</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NM</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increased in 2019 driven by increased volume, partially offset by lower realized prices and the unfavorable impact of foreign exchange rates. Operating expenses increased in 2019, reflecting higher late-stage development expenses and increased marketing expenses for recently launched products, partially offset by lower marketing expenses for late life-cycle products. The increases in net income and EPS in 2019 were driven primarily by the gain recognized on the disposition of Elanco and, to a lesser extent, lower acquired in-process research and development (IPR&amp;D) charges. In addition to the increase in net income, EPS in 2019 significantly benefited from lower weighted-average shares outstanding as a result of the Elanco exchange offer and share repurchases.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29</w:t>
      </w:r>
    </w:p>
    <w:p>
      <w:pPr>
        <w:sectPr>
          <w:pgSz w:w="11900" w:h="16838" w:orient="portrait"/>
          <w:cols w:equalWidth="0" w:num="1">
            <w:col w:w="11420"/>
          </w:cols>
          <w:pgMar w:left="240" w:top="5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highlighted items affect comparisons of our 2019 and 2018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recognized acquired IPR&amp;D charges of $239.6 million primarily related to collaborations with AC Immune SA (AC Immune), Centrexion Therapeutics Corporation (Centrexion), ImmuNext, Inc. (ImmuNext), and Avidity Biosciences, Inc. (Avidity).</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jc w:val="both"/>
        <w:ind w:left="66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recognized charges of $575.6 million primarily associated with the accelerated vesting of Loxo Oncology, Inc. (Loxo) employee equity awards as a result of the closing of the acquisition of Loxo, and, to a lesser extent, charges associated with the decision to close and sell a research and development facility located in the United Kingdom (U.K).</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18 to the consolidated financial statements)</w:t>
      </w:r>
    </w:p>
    <w:p>
      <w:pPr>
        <w:spacing w:after="0" w:line="117" w:lineRule="exact"/>
        <w:rPr>
          <w:sz w:val="20"/>
          <w:szCs w:val="20"/>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recognized a gain of $309.8 million on the sale of the company's antibiotics business in China.</w:t>
      </w:r>
    </w:p>
    <w:p>
      <w:pPr>
        <w:spacing w:after="0" w:line="117" w:lineRule="exact"/>
        <w:rPr>
          <w:rFonts w:ascii="Arial" w:cs="Arial" w:eastAsia="Arial" w:hAnsi="Arial"/>
          <w:sz w:val="18"/>
          <w:szCs w:val="18"/>
          <w:color w:val="auto"/>
        </w:rPr>
      </w:pPr>
    </w:p>
    <w:p>
      <w:pPr>
        <w:ind w:left="340" w:right="3260" w:hanging="8"/>
        <w:spacing w:after="0" w:line="375" w:lineRule="auto"/>
        <w:tabs>
          <w:tab w:leader="none" w:pos="7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recognized a debt extinguishment loss of $252.5 million related to the repurchase of debt. Net Income from Discontinued Operations (Note 19 to the consolidated financial statements)</w:t>
      </w:r>
    </w:p>
    <w:p>
      <w:pPr>
        <w:spacing w:after="0" w:line="1" w:lineRule="exact"/>
        <w:rPr>
          <w:rFonts w:ascii="Arial" w:cs="Arial" w:eastAsia="Arial" w:hAnsi="Arial"/>
          <w:sz w:val="18"/>
          <w:szCs w:val="18"/>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recognized a gain related to the disposition of Elanco of approximately $3.7 billion.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660" w:right="2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recognized acquired IPR&amp;D charges of $1.98 billion primarily related to the acquisition of ARMO BioSciences, Inc. (ARMO) and the collaboration with Dicerna Pharmaceuticals, Inc. (Dicerna).</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5" w:lineRule="exact"/>
        <w:rPr>
          <w:sz w:val="20"/>
          <w:szCs w:val="20"/>
          <w:color w:val="auto"/>
        </w:rPr>
      </w:pPr>
    </w:p>
    <w:p>
      <w:pPr>
        <w:ind w:left="660" w:hanging="328"/>
        <w:spacing w:after="0" w:line="23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recognized charges of $266.9 million primarily associated with asset impairments related to the sale of the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brand and the related sale of the Augusta, Georgia manufacturing site and with expenses related to our efforts to reduce our cost structure.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Taxes (Note 14 to the consolidated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recognized $313.3 million of income tax benefit primarily due to measurement period adjustments to the one-time repatriation transition tax (also known as the 'Toll Tax') and the global intangible low-taxed income (GILTI).</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Pipeline</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have approximately 45 potential new drugs in human testing or under regulatory review and a larger number of projects in preclinical research.</w:t>
      </w:r>
    </w:p>
    <w:p>
      <w:pPr>
        <w:spacing w:after="0" w:line="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conditions described. The first quarter in which the NMEs initially were approved in any major geography for any indication is shown in parentheses:</w:t>
      </w:r>
    </w:p>
    <w:p>
      <w:pPr>
        <w:spacing w:after="0" w:line="72" w:lineRule="exact"/>
        <w:rPr>
          <w:sz w:val="20"/>
          <w:szCs w:val="20"/>
          <w:color w:val="auto"/>
        </w:rPr>
      </w:pPr>
    </w:p>
    <w:p>
      <w:pPr>
        <w:jc w:val="both"/>
        <w:ind w:left="660" w:right="260"/>
        <w:spacing w:after="0" w:line="268" w:lineRule="auto"/>
        <w:rPr>
          <w:sz w:val="20"/>
          <w:szCs w:val="20"/>
          <w:color w:val="auto"/>
        </w:rPr>
      </w:pPr>
      <w:r>
        <w:rPr>
          <w:rFonts w:ascii="Arial" w:cs="Arial" w:eastAsia="Arial" w:hAnsi="Arial"/>
          <w:sz w:val="17"/>
          <w:szCs w:val="17"/>
          <w:b w:val="1"/>
          <w:bCs w:val="1"/>
          <w:color w:val="auto"/>
        </w:rPr>
        <w:t>Galcanezumab* (Emgality</w:t>
      </w:r>
      <w:r>
        <w:rPr>
          <w:rFonts w:ascii="Arial" w:cs="Arial" w:eastAsia="Arial" w:hAnsi="Arial"/>
          <w:sz w:val="20"/>
          <w:szCs w:val="20"/>
          <w:b w:val="1"/>
          <w:bCs w:val="1"/>
          <w:color w:val="auto"/>
          <w:vertAlign w:val="superscript"/>
        </w:rPr>
        <w:t>®</w:t>
      </w:r>
      <w:r>
        <w:rPr>
          <w:rFonts w:ascii="Arial" w:cs="Arial" w:eastAsia="Arial" w:hAnsi="Arial"/>
          <w:sz w:val="17"/>
          <w:szCs w:val="17"/>
          <w:b w:val="1"/>
          <w:bCs w:val="1"/>
          <w:color w:val="auto"/>
        </w:rPr>
        <w:t>) (Q3 2018)</w:t>
      </w:r>
      <w:r>
        <w:rPr>
          <w:rFonts w:ascii="Arial" w:cs="Arial" w:eastAsia="Arial" w:hAnsi="Arial"/>
          <w:sz w:val="17"/>
          <w:szCs w:val="17"/>
          <w:color w:val="auto"/>
        </w:rPr>
        <w:t>—a once-monthly subcutaneously injected calcitonin gene-related peptide (CGRP) antibody</w:t>
      </w:r>
      <w:r>
        <w:rPr>
          <w:rFonts w:ascii="Arial" w:cs="Arial" w:eastAsia="Arial" w:hAnsi="Arial"/>
          <w:sz w:val="17"/>
          <w:szCs w:val="17"/>
          <w:b w:val="1"/>
          <w:bCs w:val="1"/>
          <w:color w:val="auto"/>
        </w:rPr>
        <w:t xml:space="preserve"> </w:t>
      </w:r>
      <w:r>
        <w:rPr>
          <w:rFonts w:ascii="Arial" w:cs="Arial" w:eastAsia="Arial" w:hAnsi="Arial"/>
          <w:sz w:val="17"/>
          <w:szCs w:val="17"/>
          <w:color w:val="auto"/>
        </w:rPr>
        <w:t>for migraine prevention and for the treatment of episodic cluster headache. See Note 16 to the consolidated financial statements for discussion of the legal proceedings involving Teva Pharmaceuticals International GMBH and Teva Pharmaceuticals USA, Inc.</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(Reyvow</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2019)</w:t>
      </w:r>
      <w:r>
        <w:rPr>
          <w:rFonts w:ascii="Arial" w:cs="Arial" w:eastAsia="Arial" w:hAnsi="Arial"/>
          <w:sz w:val="18"/>
          <w:szCs w:val="18"/>
          <w:color w:val="auto"/>
        </w:rPr>
        <w:t>—an oral 5-HT1F agonist for the acute treatment of migraine.</w:t>
      </w:r>
    </w:p>
    <w:p>
      <w:pPr>
        <w:spacing w:after="0" w:line="137" w:lineRule="exact"/>
        <w:rPr>
          <w:sz w:val="20"/>
          <w:szCs w:val="20"/>
          <w:color w:val="auto"/>
        </w:rPr>
      </w:pPr>
    </w:p>
    <w:p>
      <w:pPr>
        <w:jc w:val="both"/>
        <w:ind w:left="660" w:right="240"/>
        <w:spacing w:after="0" w:line="247" w:lineRule="auto"/>
        <w:rPr>
          <w:sz w:val="20"/>
          <w:szCs w:val="20"/>
          <w:color w:val="auto"/>
        </w:rPr>
      </w:pPr>
      <w:r>
        <w:rPr>
          <w:rFonts w:ascii="Arial" w:cs="Arial" w:eastAsia="Arial" w:hAnsi="Arial"/>
          <w:sz w:val="18"/>
          <w:szCs w:val="18"/>
          <w:b w:val="1"/>
          <w:bCs w:val="1"/>
          <w:color w:val="auto"/>
        </w:rPr>
        <w:t>Nasal glucagon* (Baqsimi</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2019)</w:t>
      </w:r>
      <w:r>
        <w:rPr>
          <w:rFonts w:ascii="Arial" w:cs="Arial" w:eastAsia="Arial" w:hAnsi="Arial"/>
          <w:sz w:val="18"/>
          <w:szCs w:val="18"/>
          <w:color w:val="auto"/>
        </w:rPr>
        <w:t>—a glucagon nasal powder formulation for the treatment of severe hypoglycemia in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diabetes ages four years and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30</w:t>
      </w:r>
    </w:p>
    <w:p>
      <w:pPr>
        <w:sectPr>
          <w:pgSz w:w="11900" w:h="16838" w:orient="portrait"/>
          <w:cols w:equalWidth="0" w:num="1">
            <w:col w:w="11420"/>
          </w:cols>
          <w:pgMar w:left="240" w:top="679" w:right="239" w:bottom="1440" w:gutter="0" w:footer="0" w:header="0"/>
        </w:sectPr>
      </w:pPr>
    </w:p>
    <w:bookmarkStart w:id="30" w:name="page31"/>
    <w:bookmarkEnd w:id="30"/>
    <w:p>
      <w:pPr>
        <w:ind w:right="180"/>
        <w:spacing w:after="0" w:line="256" w:lineRule="auto"/>
        <w:rPr>
          <w:sz w:val="20"/>
          <w:szCs w:val="20"/>
          <w:color w:val="auto"/>
        </w:rPr>
      </w:pPr>
      <w:r>
        <w:rPr>
          <w:rFonts w:ascii="Arial" w:cs="Arial" w:eastAsia="Arial" w:hAnsi="Arial"/>
          <w:sz w:val="18"/>
          <w:szCs w:val="18"/>
          <w:color w:val="auto"/>
        </w:rPr>
        <w:t>The following NMEs and diagnostic agent have been submitted for regulatory review in at least one of the major geographies for potential use in the conditions described. The first quarter in which each NME and the diagnostic agent initially were submitted in any major geography for any indication is shown in parentheses:</w:t>
      </w:r>
    </w:p>
    <w:p>
      <w:pPr>
        <w:spacing w:after="0" w:line="126" w:lineRule="exact"/>
        <w:rPr>
          <w:sz w:val="20"/>
          <w:szCs w:val="20"/>
          <w:color w:val="auto"/>
        </w:rPr>
      </w:pPr>
    </w:p>
    <w:p>
      <w:pPr>
        <w:ind w:left="660" w:right="160"/>
        <w:spacing w:after="0" w:line="287" w:lineRule="auto"/>
        <w:rPr>
          <w:sz w:val="20"/>
          <w:szCs w:val="20"/>
          <w:color w:val="auto"/>
        </w:rPr>
      </w:pPr>
      <w:r>
        <w:rPr>
          <w:rFonts w:ascii="Arial" w:cs="Arial" w:eastAsia="Arial" w:hAnsi="Arial"/>
          <w:sz w:val="18"/>
          <w:szCs w:val="18"/>
          <w:b w:val="1"/>
          <w:bCs w:val="1"/>
          <w:color w:val="auto"/>
        </w:rPr>
        <w:t>Flortaucipir** (Q3 2019)</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99" w:lineRule="exact"/>
        <w:rPr>
          <w:sz w:val="20"/>
          <w:szCs w:val="20"/>
          <w:color w:val="auto"/>
        </w:rPr>
      </w:pPr>
    </w:p>
    <w:p>
      <w:pPr>
        <w:ind w:left="660" w:right="340"/>
        <w:spacing w:after="0" w:line="287" w:lineRule="auto"/>
        <w:rPr>
          <w:sz w:val="20"/>
          <w:szCs w:val="20"/>
          <w:color w:val="auto"/>
        </w:rPr>
      </w:pPr>
      <w:r>
        <w:rPr>
          <w:rFonts w:ascii="Arial" w:cs="Arial" w:eastAsia="Arial" w:hAnsi="Arial"/>
          <w:sz w:val="18"/>
          <w:szCs w:val="18"/>
          <w:b w:val="1"/>
          <w:bCs w:val="1"/>
          <w:color w:val="auto"/>
        </w:rPr>
        <w:t>Selpercatinib (Q4 2019)</w:t>
      </w:r>
      <w:r>
        <w:rPr>
          <w:rFonts w:ascii="Arial" w:cs="Arial" w:eastAsia="Arial" w:hAnsi="Arial"/>
          <w:sz w:val="18"/>
          <w:szCs w:val="18"/>
          <w:color w:val="auto"/>
        </w:rPr>
        <w:t>—an oral drug for the treatment of patients with cancers that harbor abnormalities in the rearranged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transfection (RET) kinase, specifically thyroid cancer and lung cancer.</w:t>
      </w:r>
    </w:p>
    <w:p>
      <w:pPr>
        <w:spacing w:after="0" w:line="45"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b w:val="1"/>
          <w:bCs w:val="1"/>
          <w:color w:val="auto"/>
        </w:rPr>
        <w:t>Tanezumab* (Q4 2019)</w:t>
      </w:r>
      <w:r>
        <w:rPr>
          <w:rFonts w:ascii="Arial" w:cs="Arial" w:eastAsia="Arial" w:hAnsi="Arial"/>
          <w:sz w:val="18"/>
          <w:szCs w:val="18"/>
          <w:color w:val="auto"/>
        </w:rPr>
        <w:t>—an anti-nerve growth factor monoclonal antibody for the treatment of osteoarthritis pain (in collaboration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Pfizer Inc. (Pfizer)).</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Lispro* (Q1 2019)</w:t>
      </w:r>
      <w:r>
        <w:rPr>
          <w:rFonts w:ascii="Arial" w:cs="Arial" w:eastAsia="Arial" w:hAnsi="Arial"/>
          <w:sz w:val="18"/>
          <w:szCs w:val="18"/>
          <w:color w:val="auto"/>
        </w:rPr>
        <w:t>—an ultra-rapid insulin for the treatment of type 1 and type 2 diabetes.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following NMEs are currently in Phase III clinical trial testing for potential use in the conditions described below but have not yet been submitted for regulatory approval for any indication. The first quarter in which each NME initially entered Phase III for any indication is shown in parentheses: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monoclonal antibody designed for the treatment of autoimmune diseases.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17" w:lineRule="exact"/>
        <w:rPr>
          <w:sz w:val="20"/>
          <w:szCs w:val="20"/>
          <w:color w:val="auto"/>
        </w:rPr>
      </w:pPr>
    </w:p>
    <w:p>
      <w:pPr>
        <w:ind w:left="660" w:right="180"/>
        <w:spacing w:after="0" w:line="287" w:lineRule="auto"/>
        <w:rPr>
          <w:sz w:val="20"/>
          <w:szCs w:val="20"/>
          <w:color w:val="auto"/>
        </w:rPr>
      </w:pPr>
      <w:r>
        <w:rPr>
          <w:rFonts w:ascii="Arial" w:cs="Arial" w:eastAsia="Arial" w:hAnsi="Arial"/>
          <w:sz w:val="18"/>
          <w:szCs w:val="18"/>
          <w:b w:val="1"/>
          <w:bCs w:val="1"/>
          <w:color w:val="auto"/>
        </w:rPr>
        <w:t>Tirzepatide* (Q4 2018)</w:t>
      </w:r>
      <w:r>
        <w:rPr>
          <w:rFonts w:ascii="Arial" w:cs="Arial" w:eastAsia="Arial" w:hAnsi="Arial"/>
          <w:sz w:val="18"/>
          <w:szCs w:val="18"/>
          <w:color w:val="auto"/>
        </w:rPr>
        <w:t>—a long-acting, combination therapy of glucose-dependent insulinotropic polypeptide (GIP) and glucagon-like</w:t>
      </w:r>
      <w:r>
        <w:rPr>
          <w:rFonts w:ascii="Arial" w:cs="Arial" w:eastAsia="Arial" w:hAnsi="Arial"/>
          <w:sz w:val="18"/>
          <w:szCs w:val="18"/>
          <w:b w:val="1"/>
          <w:bCs w:val="1"/>
          <w:color w:val="auto"/>
        </w:rPr>
        <w:t xml:space="preserve"> </w:t>
      </w:r>
      <w:r>
        <w:rPr>
          <w:rFonts w:ascii="Arial" w:cs="Arial" w:eastAsia="Arial" w:hAnsi="Arial"/>
          <w:sz w:val="18"/>
          <w:szCs w:val="18"/>
          <w:color w:val="auto"/>
        </w:rPr>
        <w:t>peptide 1 for the treatment of type 2 diabetes and obesity.</w:t>
      </w:r>
    </w:p>
    <w:p>
      <w:pPr>
        <w:spacing w:after="0" w:line="67" w:lineRule="exact"/>
        <w:rPr>
          <w:sz w:val="20"/>
          <w:szCs w:val="20"/>
          <w:color w:val="auto"/>
        </w:rPr>
      </w:pPr>
    </w:p>
    <w:p>
      <w:pPr>
        <w:ind w:left="340" w:right="2820" w:hanging="8"/>
        <w:spacing w:after="0" w:line="375" w:lineRule="auto"/>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Biologic molecule subject to the United States (U.S.) Biologics Price Competition and Innovation Act ** Diagnostic agent</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reflects the status of the recently approved products, NMEs, and diagnostic agent set forth above, as well as certain other developments to our late-stage pipeline since January 1, 2019:</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5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1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the U.S. in third quarter of 2019.</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Baqsimi</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Severe</w:t>
            </w:r>
          </w:p>
        </w:tc>
        <w:tc>
          <w:tcPr>
            <w:tcW w:w="12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Launched</w:t>
            </w:r>
          </w:p>
        </w:tc>
        <w:tc>
          <w:tcPr>
            <w:tcW w:w="15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Approved</w:t>
            </w:r>
          </w:p>
        </w:tc>
        <w:tc>
          <w:tcPr>
            <w:tcW w:w="12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Submitted</w:t>
            </w: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Approved in Europe in the fourth quarter of 2019.</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hypoglycemia</w:t>
            </w:r>
          </w:p>
        </w:tc>
        <w:tc>
          <w:tcPr>
            <w:tcW w:w="124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1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Submitted to the Japan regulatory authorities in</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1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Tirzepatide</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Obesity</w:t>
            </w:r>
          </w:p>
        </w:tc>
        <w:tc>
          <w:tcPr>
            <w:tcW w:w="1240" w:type="dxa"/>
            <w:vAlign w:val="bottom"/>
          </w:tcPr>
          <w:p>
            <w:pPr>
              <w:spacing w:after="0"/>
              <w:rPr>
                <w:sz w:val="19"/>
                <w:szCs w:val="19"/>
                <w:color w:val="auto"/>
              </w:rPr>
            </w:pPr>
          </w:p>
        </w:tc>
        <w:tc>
          <w:tcPr>
            <w:tcW w:w="1500" w:type="dxa"/>
            <w:vAlign w:val="bottom"/>
            <w:vMerge w:val="restart"/>
          </w:tcPr>
          <w:p>
            <w:pPr>
              <w:ind w:left="38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were initiated in the fourth quarter</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2019.</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regulatory authorities in Europe and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Japan in the first quarter of 2019. Submitted to the</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Ultra-rapid Lispro</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Type 1 and 2</w:t>
            </w:r>
          </w:p>
        </w:tc>
        <w:tc>
          <w:tcPr>
            <w:tcW w:w="1240" w:type="dxa"/>
            <w:vAlign w:val="bottom"/>
          </w:tcPr>
          <w:p>
            <w:pPr>
              <w:spacing w:after="0"/>
              <w:rPr>
                <w:sz w:val="17"/>
                <w:szCs w:val="17"/>
                <w:color w:val="auto"/>
              </w:rPr>
            </w:pPr>
          </w:p>
        </w:tc>
        <w:tc>
          <w:tcPr>
            <w:tcW w:w="1500" w:type="dxa"/>
            <w:vAlign w:val="bottom"/>
            <w:vMerge w:val="restart"/>
          </w:tcPr>
          <w:p>
            <w:pPr>
              <w:ind w:left="320"/>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U.S. Food and Drug Administration (FDA) in the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diabetes</w:t>
            </w:r>
          </w:p>
        </w:tc>
        <w:tc>
          <w:tcPr>
            <w:tcW w:w="12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third quarter of 2019. In January 2020, the</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European regulatory authorities issued a positive</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opinion recommending approval.</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Crohn's Disease</w:t>
            </w:r>
          </w:p>
        </w:tc>
        <w:tc>
          <w:tcPr>
            <w:tcW w:w="1240" w:type="dxa"/>
            <w:vAlign w:val="bottom"/>
          </w:tcPr>
          <w:p>
            <w:pPr>
              <w:spacing w:after="0"/>
              <w:rPr>
                <w:sz w:val="19"/>
                <w:szCs w:val="19"/>
                <w:color w:val="auto"/>
              </w:rPr>
            </w:pPr>
          </w:p>
        </w:tc>
        <w:tc>
          <w:tcPr>
            <w:tcW w:w="1500" w:type="dxa"/>
            <w:vAlign w:val="bottom"/>
            <w:vMerge w:val="restart"/>
          </w:tcPr>
          <w:p>
            <w:pPr>
              <w:ind w:left="38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were initiated during the third</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2019.</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6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1240" w:type="dxa"/>
            <w:vAlign w:val="bottom"/>
          </w:tcPr>
          <w:p>
            <w:pPr>
              <w:spacing w:after="0"/>
              <w:rPr>
                <w:sz w:val="11"/>
                <w:szCs w:val="11"/>
                <w:color w:val="auto"/>
              </w:rPr>
            </w:pPr>
          </w:p>
        </w:tc>
        <w:tc>
          <w:tcPr>
            <w:tcW w:w="1500" w:type="dxa"/>
            <w:vAlign w:val="bottom"/>
            <w:vMerge w:val="restart"/>
          </w:tcPr>
          <w:p>
            <w:pPr>
              <w:ind w:left="38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Ulcerative colitis</w:t>
            </w:r>
          </w:p>
        </w:tc>
        <w:tc>
          <w:tcPr>
            <w:tcW w:w="1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00" w:type="dxa"/>
            <w:vAlign w:val="bottom"/>
          </w:tcPr>
          <w:p>
            <w:pPr>
              <w:ind w:left="3900"/>
              <w:spacing w:after="0"/>
              <w:rPr>
                <w:sz w:val="20"/>
                <w:szCs w:val="20"/>
                <w:color w:val="auto"/>
              </w:rPr>
            </w:pPr>
            <w:r>
              <w:rPr>
                <w:rFonts w:ascii="Arial" w:cs="Arial" w:eastAsia="Arial" w:hAnsi="Arial"/>
                <w:sz w:val="18"/>
                <w:szCs w:val="18"/>
                <w:b w:val="1"/>
                <w:bCs w:val="1"/>
                <w:i w:val="1"/>
                <w:iCs w:val="1"/>
                <w:color w:val="auto"/>
                <w:w w:val="79"/>
              </w:rPr>
              <w:t>31</w:t>
            </w:r>
          </w:p>
        </w:tc>
        <w:tc>
          <w:tcPr>
            <w:tcW w:w="0" w:type="dxa"/>
            <w:vAlign w:val="bottom"/>
          </w:tcPr>
          <w:p>
            <w:pPr>
              <w:spacing w:after="0"/>
              <w:rPr>
                <w:sz w:val="1"/>
                <w:szCs w:val="1"/>
                <w:color w:val="auto"/>
              </w:rPr>
            </w:pPr>
          </w:p>
        </w:tc>
      </w:tr>
    </w:tbl>
    <w:p>
      <w:pPr>
        <w:sectPr>
          <w:pgSz w:w="11900" w:h="16838" w:orient="portrait"/>
          <w:cols w:equalWidth="0" w:num="1">
            <w:col w:w="11440"/>
          </w:cols>
          <w:pgMar w:left="240" w:top="679" w:right="21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5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1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European regulatory authorities in</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Cluster headache</w:t>
            </w:r>
          </w:p>
        </w:tc>
        <w:tc>
          <w:tcPr>
            <w:tcW w:w="12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Launched</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Submitted</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Phase III</w:t>
            </w: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first quarter of 2019. Approved and launched</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Emgality</w:t>
            </w: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the U.S. in the second quarter of 2019.</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w:t>
            </w:r>
          </w:p>
        </w:tc>
        <w:tc>
          <w:tcPr>
            <w:tcW w:w="1240" w:type="dxa"/>
            <w:vAlign w:val="bottom"/>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 in Europe in the first quarter of 2019.</w:t>
            </w:r>
          </w:p>
        </w:tc>
        <w:tc>
          <w:tcPr>
            <w:tcW w:w="0" w:type="dxa"/>
            <w:vAlign w:val="bottom"/>
          </w:tcPr>
          <w:p>
            <w:pPr>
              <w:spacing w:after="0"/>
              <w:rPr>
                <w:sz w:val="1"/>
                <w:szCs w:val="1"/>
                <w:color w:val="auto"/>
              </w:rPr>
            </w:pPr>
          </w:p>
        </w:tc>
      </w:tr>
      <w:tr>
        <w:trPr>
          <w:trHeight w:val="121"/>
        </w:trPr>
        <w:tc>
          <w:tcPr>
            <w:tcW w:w="174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24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2740" w:type="dxa"/>
            <w:vAlign w:val="bottom"/>
            <w:tcBorders>
              <w:right w:val="single" w:sz="8" w:color="auto"/>
            </w:tcBorders>
            <w:gridSpan w:val="2"/>
            <w:vMerge w:val="restart"/>
          </w:tcPr>
          <w:p>
            <w:pPr>
              <w:ind w:left="960"/>
              <w:spacing w:after="0" w:line="202" w:lineRule="exact"/>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8"/>
              </w:rPr>
              <w:t>Submitted</w:t>
            </w:r>
          </w:p>
        </w:tc>
        <w:tc>
          <w:tcPr>
            <w:tcW w:w="41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Submitted to Japanese regulatory authorities in</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274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Flortaucipir</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12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Submitted</w:t>
            </w:r>
          </w:p>
        </w:tc>
        <w:tc>
          <w:tcPr>
            <w:tcW w:w="2740" w:type="dxa"/>
            <w:vAlign w:val="bottom"/>
            <w:tcBorders>
              <w:right w:val="single" w:sz="8" w:color="auto"/>
            </w:tcBorders>
            <w:gridSpan w:val="2"/>
            <w:vMerge w:val="restart"/>
          </w:tcPr>
          <w:p>
            <w:pPr>
              <w:ind w:left="1000"/>
              <w:spacing w:after="0"/>
              <w:rPr>
                <w:sz w:val="20"/>
                <w:szCs w:val="20"/>
                <w:color w:val="auto"/>
              </w:rPr>
            </w:pPr>
            <w:r>
              <w:rPr>
                <w:rFonts w:ascii="Arial" w:cs="Arial" w:eastAsia="Arial" w:hAnsi="Arial"/>
                <w:sz w:val="18"/>
                <w:szCs w:val="18"/>
                <w:color w:val="auto"/>
              </w:rPr>
              <w:t>Phase III</w:t>
            </w: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 to the FDA in the third quarter of 2019.</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 diagnostic</w:t>
            </w:r>
          </w:p>
        </w:tc>
        <w:tc>
          <w:tcPr>
            <w:tcW w:w="1240" w:type="dxa"/>
            <w:vAlign w:val="bottom"/>
            <w:tcBorders>
              <w:right w:val="single" w:sz="8" w:color="auto"/>
            </w:tcBorders>
            <w:vMerge w:val="continue"/>
          </w:tcPr>
          <w:p>
            <w:pPr>
              <w:spacing w:after="0"/>
              <w:rPr>
                <w:sz w:val="9"/>
                <w:szCs w:val="9"/>
                <w:color w:val="auto"/>
              </w:rPr>
            </w:pPr>
          </w:p>
        </w:tc>
        <w:tc>
          <w:tcPr>
            <w:tcW w:w="2740" w:type="dxa"/>
            <w:vAlign w:val="bottom"/>
            <w:tcBorders>
              <w:right w:val="single" w:sz="8" w:color="auto"/>
            </w:tcBorders>
            <w:gridSpan w:val="2"/>
            <w:vMerge w:val="continue"/>
          </w:tcPr>
          <w:p>
            <w:pPr>
              <w:spacing w:after="0"/>
              <w:rPr>
                <w:sz w:val="9"/>
                <w:szCs w:val="9"/>
                <w:color w:val="auto"/>
              </w:rPr>
            </w:pPr>
          </w:p>
        </w:tc>
        <w:tc>
          <w:tcPr>
            <w:tcW w:w="4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by the FDA in the fourth quarter of</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Reyvow</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Acute treatment of</w:t>
            </w:r>
          </w:p>
        </w:tc>
        <w:tc>
          <w:tcPr>
            <w:tcW w:w="12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Launched</w:t>
            </w:r>
          </w:p>
        </w:tc>
        <w:tc>
          <w:tcPr>
            <w:tcW w:w="2740" w:type="dxa"/>
            <w:vAlign w:val="bottom"/>
            <w:tcBorders>
              <w:right w:val="single" w:sz="8" w:color="auto"/>
            </w:tcBorders>
            <w:gridSpan w:val="2"/>
            <w:vMerge w:val="restart"/>
          </w:tcPr>
          <w:p>
            <w:pPr>
              <w:ind w:left="1000"/>
              <w:spacing w:after="0"/>
              <w:rPr>
                <w:sz w:val="20"/>
                <w:szCs w:val="20"/>
                <w:color w:val="auto"/>
              </w:rPr>
            </w:pPr>
            <w:r>
              <w:rPr>
                <w:rFonts w:ascii="Arial" w:cs="Arial" w:eastAsia="Arial" w:hAnsi="Arial"/>
                <w:sz w:val="18"/>
                <w:szCs w:val="18"/>
                <w:color w:val="auto"/>
              </w:rPr>
              <w:t>Phase III</w:t>
            </w: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2019. Received Schedule V classification from the</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migraine</w:t>
            </w:r>
          </w:p>
        </w:tc>
        <w:tc>
          <w:tcPr>
            <w:tcW w:w="1240" w:type="dxa"/>
            <w:vAlign w:val="bottom"/>
            <w:tcBorders>
              <w:right w:val="single" w:sz="8" w:color="auto"/>
            </w:tcBorders>
            <w:vMerge w:val="continue"/>
          </w:tcPr>
          <w:p>
            <w:pPr>
              <w:spacing w:after="0"/>
              <w:rPr>
                <w:sz w:val="9"/>
                <w:szCs w:val="9"/>
                <w:color w:val="auto"/>
              </w:rPr>
            </w:pPr>
          </w:p>
        </w:tc>
        <w:tc>
          <w:tcPr>
            <w:tcW w:w="2740" w:type="dxa"/>
            <w:vAlign w:val="bottom"/>
            <w:tcBorders>
              <w:right w:val="single" w:sz="8" w:color="auto"/>
            </w:tcBorders>
            <w:gridSpan w:val="2"/>
            <w:vMerge w:val="continue"/>
          </w:tcPr>
          <w:p>
            <w:pPr>
              <w:spacing w:after="0"/>
              <w:rPr>
                <w:sz w:val="9"/>
                <w:szCs w:val="9"/>
                <w:color w:val="auto"/>
              </w:rPr>
            </w:pPr>
          </w:p>
        </w:tc>
        <w:tc>
          <w:tcPr>
            <w:tcW w:w="41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Drug Enforcement Agency and launched in the</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in January 2020.</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February 2020 that a Phase III trial</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Preclinical</w:t>
            </w: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for people with dominantly inherited Alzheimer's</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disease (DIAD) did not meet the primary endpoint.</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Solanezumab</w:t>
            </w:r>
          </w:p>
        </w:tc>
        <w:tc>
          <w:tcPr>
            <w:tcW w:w="16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Alzheimer's</w:t>
            </w:r>
          </w:p>
        </w:tc>
        <w:tc>
          <w:tcPr>
            <w:tcW w:w="1240" w:type="dxa"/>
            <w:vAlign w:val="bottom"/>
          </w:tcPr>
          <w:p>
            <w:pPr>
              <w:spacing w:after="0"/>
              <w:rPr>
                <w:sz w:val="9"/>
                <w:szCs w:val="9"/>
                <w:color w:val="auto"/>
              </w:rPr>
            </w:pPr>
          </w:p>
        </w:tc>
        <w:tc>
          <w:tcPr>
            <w:tcW w:w="15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continue"/>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We do not plan to pursue submission for DIAD.</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Phase III trial is ongoing for Anti-Amyloid</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Treatment in Asymptomatic Alzheimer's.</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third quarter of 2018 and the first quarter of</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2019, announced multiple Phase III trials met</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several primary endpoints. In the second quarter</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of 2019, announced the results of the long-term</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study in which the 5mg dose met two of</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Osteoarthritis pain</w:t>
            </w:r>
          </w:p>
        </w:tc>
        <w:tc>
          <w:tcPr>
            <w:tcW w:w="12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Submitted</w:t>
            </w:r>
          </w:p>
        </w:tc>
        <w:tc>
          <w:tcPr>
            <w:tcW w:w="2740" w:type="dxa"/>
            <w:vAlign w:val="bottom"/>
            <w:tcBorders>
              <w:right w:val="single" w:sz="8" w:color="auto"/>
            </w:tcBorders>
            <w:gridSpan w:val="2"/>
          </w:tcPr>
          <w:p>
            <w:pPr>
              <w:ind w:left="1000"/>
              <w:spacing w:after="0" w:line="202" w:lineRule="exact"/>
              <w:rPr>
                <w:sz w:val="20"/>
                <w:szCs w:val="20"/>
                <w:color w:val="auto"/>
              </w:rPr>
            </w:pPr>
            <w:r>
              <w:rPr>
                <w:rFonts w:ascii="Arial" w:cs="Arial" w:eastAsia="Arial" w:hAnsi="Arial"/>
                <w:sz w:val="18"/>
                <w:szCs w:val="18"/>
                <w:color w:val="auto"/>
              </w:rPr>
              <w:t>Phase III</w:t>
            </w: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three co-primary endpoints and the 2.5mg</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dose did not meet any of the three co-primary</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endpoints. In partnership with Pfizer, we submitted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to the FDA in the fourth quarter of 2019 and are</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pursuing submission in Europe and Japan in</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 the first quarter of 2019, announced Phase III</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trial met primary endpoint for the 10mg dose and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did not meet primary endpoint on the 5mg dose. In</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third quarter of 2019, announced results from</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Chronic low back</w:t>
            </w:r>
          </w:p>
        </w:tc>
        <w:tc>
          <w:tcPr>
            <w:tcW w:w="1240" w:type="dxa"/>
            <w:vAlign w:val="bottom"/>
          </w:tcPr>
          <w:p>
            <w:pPr>
              <w:spacing w:after="0"/>
              <w:rPr>
                <w:sz w:val="17"/>
                <w:szCs w:val="17"/>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 Phase III study evaluating long-term safety and</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pain</w:t>
            </w:r>
          </w:p>
        </w:tc>
        <w:tc>
          <w:tcPr>
            <w:tcW w:w="12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efficacy in Japan. In partnership with Pfizer,</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announced in the third quarter of 2019 that we are</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not planning regulatory submissions. We plan to</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maintain an open dialogue with regulatory</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authorities on potential future regulatory pathways.</w:t>
            </w:r>
          </w:p>
        </w:tc>
        <w:tc>
          <w:tcPr>
            <w:tcW w:w="0" w:type="dxa"/>
            <w:vAlign w:val="bottom"/>
          </w:tcPr>
          <w:p>
            <w:pPr>
              <w:spacing w:after="0"/>
              <w:rPr>
                <w:sz w:val="1"/>
                <w:szCs w:val="1"/>
                <w:color w:val="auto"/>
              </w:rPr>
            </w:pPr>
          </w:p>
        </w:tc>
      </w:tr>
      <w:tr>
        <w:trPr>
          <w:trHeight w:val="257"/>
        </w:trPr>
        <w:tc>
          <w:tcPr>
            <w:tcW w:w="1740" w:type="dxa"/>
            <w:vAlign w:val="bottom"/>
            <w:tcBorders>
              <w:left w:val="single" w:sz="8" w:color="auto"/>
              <w:right w:val="single" w:sz="8" w:color="auto"/>
            </w:tcBorders>
          </w:tcPr>
          <w:p>
            <w:pPr>
              <w:spacing w:after="0"/>
              <w:rPr>
                <w:sz w:val="22"/>
                <w:szCs w:val="22"/>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2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22"/>
                <w:szCs w:val="22"/>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426"/>
        </w:trPr>
        <w:tc>
          <w:tcPr>
            <w:tcW w:w="1740" w:type="dxa"/>
            <w:vAlign w:val="bottom"/>
          </w:tcPr>
          <w:p>
            <w:pPr>
              <w:spacing w:after="0"/>
              <w:rPr>
                <w:sz w:val="20"/>
                <w:szCs w:val="20"/>
                <w:color w:val="auto"/>
              </w:rPr>
            </w:pPr>
            <w:r>
              <w:rPr>
                <w:rFonts w:ascii="Arial" w:cs="Arial" w:eastAsia="Arial" w:hAnsi="Arial"/>
                <w:sz w:val="18"/>
                <w:szCs w:val="18"/>
                <w:b w:val="1"/>
                <w:bCs w:val="1"/>
                <w:i w:val="1"/>
                <w:iCs w:val="1"/>
                <w:color w:val="auto"/>
              </w:rPr>
              <w:t>32</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5" w:right="21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5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0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the first quarter of 2019, announced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confirmatory phase III trial did not meet primary</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endpoint. As this trial did not confirm clinical</w:t>
            </w:r>
          </w:p>
        </w:tc>
        <w:tc>
          <w:tcPr>
            <w:tcW w:w="0" w:type="dxa"/>
            <w:vAlign w:val="bottom"/>
          </w:tcPr>
          <w:p>
            <w:pPr>
              <w:spacing w:after="0"/>
              <w:rPr>
                <w:sz w:val="1"/>
                <w:szCs w:val="1"/>
                <w:color w:val="auto"/>
              </w:rPr>
            </w:pPr>
          </w:p>
        </w:tc>
      </w:tr>
      <w:tr>
        <w:trPr>
          <w:trHeight w:val="257"/>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Lartruvo</w:t>
            </w:r>
            <w:r>
              <w:rPr>
                <w:rFonts w:ascii="Arial" w:cs="Arial" w:eastAsia="Arial" w:hAnsi="Arial"/>
                <w:sz w:val="21"/>
                <w:szCs w:val="21"/>
                <w:color w:val="auto"/>
                <w:vertAlign w:val="superscript"/>
              </w:rPr>
              <w:t>®</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Soft tissue</w:t>
            </w:r>
          </w:p>
        </w:tc>
        <w:tc>
          <w:tcPr>
            <w:tcW w:w="1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Withdrawn</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Withdrawing</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Not</w:t>
            </w:r>
          </w:p>
        </w:tc>
        <w:tc>
          <w:tcPr>
            <w:tcW w:w="4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benefit, we suspended promotion globally and</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7"/>
                <w:szCs w:val="17"/>
                <w:color w:val="auto"/>
              </w:rPr>
              <w:t>sarcoma</w:t>
            </w:r>
          </w:p>
        </w:tc>
        <w:tc>
          <w:tcPr>
            <w:tcW w:w="12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7"/>
                <w:szCs w:val="17"/>
                <w:color w:val="auto"/>
              </w:rPr>
              <w:t>Submitting</w:t>
            </w:r>
          </w:p>
        </w:tc>
        <w:tc>
          <w:tcPr>
            <w:tcW w:w="4080" w:type="dxa"/>
            <w:vAlign w:val="bottom"/>
            <w:tcBorders>
              <w:right w:val="single" w:sz="8" w:color="auto"/>
            </w:tcBorders>
          </w:tcPr>
          <w:p>
            <w:pPr>
              <w:spacing w:after="0" w:line="148" w:lineRule="exact"/>
              <w:rPr>
                <w:sz w:val="20"/>
                <w:szCs w:val="20"/>
                <w:color w:val="auto"/>
              </w:rPr>
            </w:pPr>
            <w:r>
              <w:rPr>
                <w:rFonts w:ascii="Arial" w:cs="Arial" w:eastAsia="Arial" w:hAnsi="Arial"/>
                <w:sz w:val="17"/>
                <w:szCs w:val="17"/>
                <w:color w:val="auto"/>
              </w:rPr>
              <w:t>withdrew the product in the U.S. in the third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quarter of 2019. For countries in Europe, we have</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withdrawn or are in the process of withdrawing the</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product.</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the fourth quarter of 2019, announced phase III</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trial did not meet primary endpoint of overall</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Pegilodecakin</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Pancreatic cancer</w:t>
            </w:r>
          </w:p>
        </w:tc>
        <w:tc>
          <w:tcPr>
            <w:tcW w:w="12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9"/>
              </w:rPr>
              <w:t>Not Submitting</w:t>
            </w: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survival. Phase II trials for other indications also</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did not meet primary endpoint. We do not plan to</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initiate any new trials.</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the fourth quarter of 2019, submitted to the FDA</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Thyroid Cancer</w:t>
            </w:r>
          </w:p>
        </w:tc>
        <w:tc>
          <w:tcPr>
            <w:tcW w:w="2740" w:type="dxa"/>
            <w:vAlign w:val="bottom"/>
            <w:tcBorders>
              <w:right w:val="single" w:sz="8" w:color="auto"/>
            </w:tcBorders>
            <w:gridSpan w:val="2"/>
          </w:tcPr>
          <w:p>
            <w:pPr>
              <w:ind w:left="940"/>
              <w:spacing w:after="0" w:line="202" w:lineRule="exact"/>
              <w:rPr>
                <w:sz w:val="20"/>
                <w:szCs w:val="20"/>
                <w:color w:val="auto"/>
              </w:rPr>
            </w:pPr>
            <w:r>
              <w:rPr>
                <w:rFonts w:ascii="Arial" w:cs="Arial" w:eastAsia="Arial" w:hAnsi="Arial"/>
                <w:sz w:val="18"/>
                <w:szCs w:val="18"/>
                <w:color w:val="auto"/>
              </w:rPr>
              <w:t>Submitted</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Phase III</w:t>
            </w:r>
          </w:p>
        </w:tc>
        <w:tc>
          <w:tcPr>
            <w:tcW w:w="40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and European regulatory authorities based on</w:t>
            </w:r>
          </w:p>
        </w:tc>
        <w:tc>
          <w:tcPr>
            <w:tcW w:w="0" w:type="dxa"/>
            <w:vAlign w:val="bottom"/>
          </w:tcPr>
          <w:p>
            <w:pPr>
              <w:spacing w:after="0"/>
              <w:rPr>
                <w:sz w:val="1"/>
                <w:szCs w:val="1"/>
                <w:color w:val="auto"/>
              </w:rPr>
            </w:pPr>
          </w:p>
        </w:tc>
      </w:tr>
      <w:tr>
        <w:trPr>
          <w:trHeight w:val="200"/>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Selpercatinib</w:t>
            </w: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Phase II data. Granted Breakthrough Therapy</w:t>
            </w:r>
          </w:p>
        </w:tc>
        <w:tc>
          <w:tcPr>
            <w:tcW w:w="0" w:type="dxa"/>
            <w:vAlign w:val="bottom"/>
          </w:tcPr>
          <w:p>
            <w:pPr>
              <w:spacing w:after="0"/>
              <w:rPr>
                <w:sz w:val="1"/>
                <w:szCs w:val="1"/>
                <w:color w:val="auto"/>
              </w:rPr>
            </w:pPr>
          </w:p>
        </w:tc>
      </w:tr>
      <w:tr>
        <w:trPr>
          <w:trHeight w:val="98"/>
        </w:trPr>
        <w:tc>
          <w:tcPr>
            <w:tcW w:w="1740" w:type="dxa"/>
            <w:vAlign w:val="bottom"/>
            <w:tcBorders>
              <w:left w:val="single" w:sz="8" w:color="auto"/>
              <w:right w:val="single" w:sz="8" w:color="auto"/>
            </w:tcBorders>
            <w:vMerge w:val="continue"/>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4080" w:type="dxa"/>
            <w:vAlign w:val="bottom"/>
            <w:tcBorders>
              <w:right w:val="single" w:sz="8" w:color="auto"/>
            </w:tcBorders>
            <w:vMerge w:val="restart"/>
          </w:tcPr>
          <w:p>
            <w:pPr>
              <w:spacing w:after="0" w:line="205" w:lineRule="exact"/>
              <w:rPr>
                <w:sz w:val="20"/>
                <w:szCs w:val="20"/>
                <w:color w:val="auto"/>
              </w:rPr>
            </w:pPr>
            <w:r>
              <w:rPr>
                <w:rFonts w:ascii="Arial" w:cs="Arial" w:eastAsia="Arial" w:hAnsi="Arial"/>
                <w:sz w:val="18"/>
                <w:szCs w:val="18"/>
                <w:color w:val="auto"/>
              </w:rPr>
              <w:t>Designation</w:t>
            </w:r>
            <w:r>
              <w:rPr>
                <w:rFonts w:ascii="Arial" w:cs="Arial" w:eastAsia="Arial" w:hAnsi="Arial"/>
                <w:sz w:val="21"/>
                <w:szCs w:val="21"/>
                <w:color w:val="auto"/>
                <w:vertAlign w:val="superscript"/>
              </w:rPr>
              <w:t>(1)</w:t>
            </w:r>
            <w:r>
              <w:rPr>
                <w:rFonts w:ascii="Arial" w:cs="Arial" w:eastAsia="Arial" w:hAnsi="Arial"/>
                <w:sz w:val="18"/>
                <w:szCs w:val="18"/>
                <w:color w:val="auto"/>
              </w:rPr>
              <w:t>. Granted Priority Review</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from the</w:t>
            </w:r>
          </w:p>
        </w:tc>
        <w:tc>
          <w:tcPr>
            <w:tcW w:w="0" w:type="dxa"/>
            <w:vAlign w:val="bottom"/>
          </w:tcPr>
          <w:p>
            <w:pPr>
              <w:spacing w:after="0"/>
              <w:rPr>
                <w:sz w:val="1"/>
                <w:szCs w:val="1"/>
                <w:color w:val="auto"/>
              </w:rPr>
            </w:pPr>
          </w:p>
        </w:tc>
      </w:tr>
      <w:tr>
        <w:trPr>
          <w:trHeight w:val="87"/>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(LOXO-292)</w:t>
            </w:r>
          </w:p>
        </w:tc>
        <w:tc>
          <w:tcPr>
            <w:tcW w:w="1620" w:type="dxa"/>
            <w:vAlign w:val="bottom"/>
            <w:tcBorders>
              <w:right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740" w:type="dxa"/>
            <w:vAlign w:val="bottom"/>
            <w:tcBorders>
              <w:left w:val="single" w:sz="8" w:color="auto"/>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FDA in first quarter of 2020. Phase III trials were</w:t>
            </w:r>
          </w:p>
        </w:tc>
        <w:tc>
          <w:tcPr>
            <w:tcW w:w="0" w:type="dxa"/>
            <w:vAlign w:val="bottom"/>
          </w:tcPr>
          <w:p>
            <w:pPr>
              <w:spacing w:after="0"/>
              <w:rPr>
                <w:sz w:val="1"/>
                <w:szCs w:val="1"/>
                <w:color w:val="auto"/>
              </w:rPr>
            </w:pPr>
          </w:p>
        </w:tc>
      </w:tr>
      <w:tr>
        <w:trPr>
          <w:trHeight w:val="79"/>
        </w:trPr>
        <w:tc>
          <w:tcPr>
            <w:tcW w:w="1740" w:type="dxa"/>
            <w:vAlign w:val="bottom"/>
            <w:tcBorders>
              <w:left w:val="single" w:sz="8" w:color="auto"/>
              <w:right w:val="single" w:sz="8" w:color="auto"/>
            </w:tcBorders>
          </w:tcPr>
          <w:p>
            <w:pPr>
              <w:spacing w:after="0"/>
              <w:rPr>
                <w:sz w:val="6"/>
                <w:szCs w:val="6"/>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Lung Cancer</w:t>
            </w:r>
          </w:p>
        </w:tc>
        <w:tc>
          <w:tcPr>
            <w:tcW w:w="2740" w:type="dxa"/>
            <w:vAlign w:val="bottom"/>
            <w:tcBorders>
              <w:right w:val="single" w:sz="8" w:color="auto"/>
            </w:tcBorders>
            <w:gridSpan w:val="2"/>
            <w:vMerge w:val="restart"/>
          </w:tcPr>
          <w:p>
            <w:pPr>
              <w:ind w:left="940"/>
              <w:spacing w:after="0"/>
              <w:rPr>
                <w:sz w:val="20"/>
                <w:szCs w:val="20"/>
                <w:color w:val="auto"/>
              </w:rPr>
            </w:pPr>
            <w:r>
              <w:rPr>
                <w:rFonts w:ascii="Arial" w:cs="Arial" w:eastAsia="Arial" w:hAnsi="Arial"/>
                <w:sz w:val="18"/>
                <w:szCs w:val="18"/>
                <w:color w:val="auto"/>
              </w:rPr>
              <w:t>Submitted</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Phase III</w:t>
            </w:r>
          </w:p>
        </w:tc>
        <w:tc>
          <w:tcPr>
            <w:tcW w:w="40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vMerge w:val="continue"/>
          </w:tcPr>
          <w:p>
            <w:pPr>
              <w:spacing w:after="0"/>
              <w:rPr>
                <w:sz w:val="17"/>
                <w:szCs w:val="17"/>
                <w:color w:val="auto"/>
              </w:rPr>
            </w:pPr>
          </w:p>
        </w:tc>
        <w:tc>
          <w:tcPr>
            <w:tcW w:w="2740" w:type="dxa"/>
            <w:vAlign w:val="bottom"/>
            <w:tcBorders>
              <w:right w:val="single" w:sz="8" w:color="auto"/>
            </w:tcBorders>
            <w:gridSpan w:val="2"/>
            <w:vMerge w:val="continue"/>
          </w:tcPr>
          <w:p>
            <w:pPr>
              <w:spacing w:after="0"/>
              <w:rPr>
                <w:sz w:val="17"/>
                <w:szCs w:val="17"/>
                <w:color w:val="auto"/>
              </w:rPr>
            </w:pPr>
          </w:p>
        </w:tc>
        <w:tc>
          <w:tcPr>
            <w:tcW w:w="1260" w:type="dxa"/>
            <w:vAlign w:val="bottom"/>
            <w:tcBorders>
              <w:right w:val="single" w:sz="8" w:color="auto"/>
            </w:tcBorders>
            <w:vMerge w:val="continue"/>
          </w:tcPr>
          <w:p>
            <w:pPr>
              <w:spacing w:after="0"/>
              <w:rPr>
                <w:sz w:val="17"/>
                <w:szCs w:val="17"/>
                <w:color w:val="auto"/>
              </w:rPr>
            </w:pPr>
          </w:p>
        </w:tc>
        <w:tc>
          <w:tcPr>
            <w:tcW w:w="40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initiated in the fourth quarter of 2019 in all major</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geographies.</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right="720" w:hanging="172"/>
        <w:spacing w:after="0" w:line="225" w:lineRule="auto"/>
        <w:tabs>
          <w:tab w:leader="none" w:pos="153" w:val="left"/>
        </w:tabs>
        <w:numPr>
          <w:ilvl w:val="0"/>
          <w:numId w:val="31"/>
        </w:numPr>
        <w:rPr>
          <w:rFonts w:ascii="Arial" w:cs="Arial" w:eastAsia="Arial" w:hAnsi="Arial"/>
          <w:sz w:val="17"/>
          <w:szCs w:val="17"/>
          <w:color w:val="auto"/>
          <w:vertAlign w:val="superscript"/>
        </w:rPr>
      </w:pPr>
      <w:r>
        <w:rPr>
          <w:rFonts w:ascii="Arial" w:cs="Arial" w:eastAsia="Arial" w:hAnsi="Arial"/>
          <w:sz w:val="14"/>
          <w:szCs w:val="14"/>
          <w:color w:val="auto"/>
        </w:rPr>
        <w:t>The 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97" w:lineRule="exact"/>
        <w:rPr>
          <w:rFonts w:ascii="Arial" w:cs="Arial" w:eastAsia="Arial" w:hAnsi="Arial"/>
          <w:sz w:val="17"/>
          <w:szCs w:val="17"/>
          <w:color w:val="auto"/>
          <w:vertAlign w:val="superscript"/>
        </w:rPr>
      </w:pPr>
    </w:p>
    <w:p>
      <w:pPr>
        <w:ind w:left="180" w:right="380" w:hanging="172"/>
        <w:spacing w:after="0" w:line="218" w:lineRule="auto"/>
        <w:tabs>
          <w:tab w:leader="none" w:pos="168"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Priority Review is designed to expedite the review of potential medicines that, if approved, would be significant improvements in the safety or effectiveness of the treatment, diagnosis, or prevention of serious conditions when compared to standard applications.</w:t>
      </w:r>
    </w:p>
    <w:p>
      <w:pPr>
        <w:spacing w:after="0" w:line="9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There are many difficulties and uncertainties inherent in pharmaceutical research and development and the introduction of new products. There is a high rate of failure inherent in new drug discovery and development. To bring a drug from the discovery phase to market can take over a decade and often costs in excess of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limited scope of approved uses, changes in the relevant treatment standards or the availability of new or better competitive products, difficulty or excessive costs to manufacture, or infringement of the patents or intellectual property rights of others. Regulatory agencies continue to establish increasingly high hurdles for the efficacy and safety of new products. Delays and uncertainties in drug approval processes can result in delays in product launches and lost market opportunity. In addition, it can be very difficult to predict revenue growth rates of new products.</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manage research and development spending across our portfolio of molecules, and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199" w:lineRule="exact"/>
        <w:rPr>
          <w:sz w:val="20"/>
          <w:szCs w:val="20"/>
          <w:color w:val="auto"/>
        </w:rPr>
      </w:pPr>
    </w:p>
    <w:p>
      <w:pPr>
        <w:ind w:left="11240"/>
        <w:spacing w:after="0"/>
        <w:rPr>
          <w:sz w:val="20"/>
          <w:szCs w:val="20"/>
          <w:color w:val="auto"/>
        </w:rPr>
      </w:pPr>
      <w:r>
        <w:rPr>
          <w:rFonts w:ascii="Arial" w:cs="Arial" w:eastAsia="Arial" w:hAnsi="Arial"/>
          <w:sz w:val="17"/>
          <w:szCs w:val="17"/>
          <w:b w:val="1"/>
          <w:bCs w:val="1"/>
          <w:i w:val="1"/>
          <w:iCs w:val="1"/>
          <w:color w:val="auto"/>
        </w:rPr>
        <w:t>33</w:t>
      </w:r>
    </w:p>
    <w:p>
      <w:pPr>
        <w:sectPr>
          <w:pgSz w:w="11900" w:h="16838" w:orient="portrait"/>
          <w:cols w:equalWidth="0" w:num="1">
            <w:col w:w="11440"/>
          </w:cols>
          <w:pgMar w:left="240" w:top="795"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w:t>
      </w:r>
    </w:p>
    <w:p>
      <w:pPr>
        <w:spacing w:after="0" w:line="115"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We lost our patent exclusivity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generic versions of Strattera were approved in the same month. Following a settlement related to the compound patent challenge for Effient</w:t>
      </w:r>
      <w:r>
        <w:rPr>
          <w:rFonts w:ascii="Arial" w:cs="Arial" w:eastAsia="Arial" w:hAnsi="Arial"/>
          <w:sz w:val="21"/>
          <w:szCs w:val="21"/>
          <w:color w:val="auto"/>
          <w:vertAlign w:val="superscript"/>
        </w:rPr>
        <w:t>®</w:t>
      </w:r>
      <w:r>
        <w:rPr>
          <w:rFonts w:ascii="Arial" w:cs="Arial" w:eastAsia="Arial" w:hAnsi="Arial"/>
          <w:sz w:val="18"/>
          <w:szCs w:val="18"/>
          <w:color w:val="auto"/>
        </w:rPr>
        <w:t>, generic products launched in the U.S. in the third quarter of 2017. The entry of generic competition for these products has caused a rapid and severe decline in revenue, which, in the aggregate, has had a material adverse effect on our consolidated results of operations and cash flows.</w:t>
      </w:r>
    </w:p>
    <w:p>
      <w:pPr>
        <w:spacing w:after="0" w:line="10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expired in major European markets and the U.S. in November 2017; however, in the U.S., we were granted pediatric exclusivity through May 2018. Another later expiring patent (October 2020) was the subject of U.S. patent litigation and pursuant to a settlement agreement related thereto, generic tadalafil entered the U.S. market in September 2018. We have faced and remain exposed to generic competition following the loss of exclusivity, which has rapidly and severely eroded revenue and is likely to continue to erode revenue.</w:t>
      </w:r>
    </w:p>
    <w:p>
      <w:pPr>
        <w:spacing w:after="0" w:line="10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formulation patents for Forteo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December 2018, and our use patents expired in August 2019 in major European markets and the U.S. Both the formulation patent and the use patent expired in August 2019 in Japan. We expect further volume decline as a result of the entry of generic and biosimilar competition following the loss of patent exclusivity in these markets. In the aggregate, we expect that the decline in revenue will have a material adverse effect on our consolidated results of operations and cash flows.</w:t>
      </w:r>
    </w:p>
    <w:p>
      <w:pPr>
        <w:spacing w:after="0" w:line="10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we expect to provide us with patent protection for Alimta through June 2021 in Japan and major European countries, and through May 2022 in the U.S., have been challenged in each of these jurisdictions. In the U.S., we and Eagle Pharmaceuticals, Inc. (Eagle) reached an agreement in December 2019 to settle all pending litigation, allowing Eagle a limited initial entry into the market with its product starting February 2022 (up to an approximate three-week supply) and subsequent unlimited entry starting April</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2022. Our vitamin regimen patents have also been challenged in other smaller European jurisdictions. Our compound patent for Alimta expired in the U.S. in January 2017, and expired in major European countries and Japan in December 2015. We are aware that several companies have received approval to market generic versions of pemetrexed in major European markets (including Germany, France, and the Netherlands) and that additional generic competitors may choose to launch at risk. Although we will continue to seek to remove any such products, generic product entry is resulting in some loss in revenue in these jurisdictions. We expect that further entry of generic competition for Alimta following the loss of effective patent protection will cause a rapid and severe decline in revenue for the product, which will, in the aggregate, have a material adverse effect on our consolidated results of operations and cash flows. See Note 16 to the consolidated financial statements for a more detailed account of the legal proceedings currently pending in the U.S., Europe, and Japan regarding our Alimta patents.</w:t>
      </w:r>
    </w:p>
    <w:p>
      <w:pPr>
        <w:spacing w:after="0" w:line="9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 While there is uncertainty in the future movements in foreign exchange rates, fluctuations in these rates could negatively impact our future consolidated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34</w:t>
      </w:r>
    </w:p>
    <w:p>
      <w:pPr>
        <w:sectPr>
          <w:pgSz w:w="11900" w:h="16838" w:orient="portrait"/>
          <w:cols w:equalWidth="0" w:num="1">
            <w:col w:w="11400"/>
          </w:cols>
          <w:pgMar w:left="240" w:top="71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initiatives affecting biopharmaceuticals include:</w:t>
      </w:r>
    </w:p>
    <w:p>
      <w:pPr>
        <w:spacing w:after="0" w:line="9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reference pricing in Medicare and private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modifications to Medicare Parts B and 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that would allow the Department of Health and Human Services to negotiate prices for biologics and drugs in Medicare,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reduction in biologic data exclusivity,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proposals related to Medicaid prescription drug coverage and manufacturer drug rebates,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proposals that would require biopharmaceutical manufacturers to disclose proprietary drug pricing information; and</w:t>
      </w:r>
    </w:p>
    <w:p>
      <w:pPr>
        <w:spacing w:after="0" w:line="117"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state-level proposals related to prescription drug prices and reducing the cost of pharmaceuticals purchased by government health care programs.</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California and several other states have enacted legislation related to prescription drug pricing transparency and it is unclear the effect this legislation will have on our business. The Bipartisan Budget Act, enacted in February 2018, requires manufacturers of brand-name drugs, biologics, and biosimilars to pay a 70 percent discount in the Medicare Part D Coverage Gap, up from the previous 50 percent discount. This increase in coverage gap discounts became effective at the beginning of 2019. In 2019, the White House signed into law targeted amendments to the Medicaid Drug Rebate Program statute, as well as the Fair and Accurate Medicaid Pricing Act, which was part of the Continuing Appropriations Act. We do not believe these will have a material impact to our business. Several states passed importation legislation, including Colorado, Florida, Maine, and Vermont. Specifically, the state of Florida is working with the Administration to implement an importation program from Canada as early as 2020. We are currently reviewing the state legislation, as well as corresponding proposed federal rulemaking and guidance recently published by the Department of Health and Human Services and the FDA, the impact of which is uncertain at this time.</w:t>
      </w:r>
    </w:p>
    <w:p>
      <w:pPr>
        <w:spacing w:after="0" w:line="10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pharmaceuticals. Health plans, pharmacy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Value-based agreements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could continue to negatively affect future consolidated results of operations. In addition to formulary placement, changes in insurance designs continue to drive greater consumer cost sharing through high deductible plans and higher co-insurance or co-pays (including co-pay accumulator and maximizer programs). We continue to invest in patient affordability solutions (resulting in lower revenue) in an effort to assist patients in affording their medicines.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35</w:t>
      </w:r>
    </w:p>
    <w:p>
      <w:pPr>
        <w:sectPr>
          <w:pgSz w:w="11900" w:h="16838" w:orient="portrait"/>
          <w:cols w:equalWidth="0" w:num="1">
            <w:col w:w="11420"/>
          </w:cols>
          <w:pgMar w:left="240" w:top="661" w:right="239" w:bottom="1440" w:gutter="0" w:footer="0" w:header="0"/>
        </w:sectPr>
      </w:pPr>
    </w:p>
    <w:bookmarkStart w:id="35" w:name="page36"/>
    <w:bookmarkEnd w:id="35"/>
    <w:p>
      <w:pPr>
        <w:ind w:right="120"/>
        <w:spacing w:after="0" w:line="252"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could adversely affect our effective tax rate, results of operations, and cash flows. Countries around the world, including the U.S., actively consider and enact tax law changes. Further, actions taken with respect to tax-related matters by associations such as the Organisation for Economic Co-operation and Development and the European Commission could influence tax policy in countries in which we operate. Modifications to U.S. and foreign tax laws or regulations are frequently enacted and could result in material impacts to our results of operations and financial position.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strategically invest in external research and technologies that we believe to complement and strengthen our own efforts. These investments can take many forms, including licensing arrangements, collaborations, and acquisitions. We view our business development activity as an important way to achieve our strategies, as we seek to bolster our pipeline and enhance shareholder value. We continue to evaluate business development transactions that have the potential to strengthen our business.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February 2019, we acquired all shares of Loxo for a purchase price of $6.92 billion, net of cash acquired. Under the terms of the agreement, we acquired a pipeline of investigational medicines, including selpercatinib (LOXO-292), an oral RET inhibitor that has been granted Breakthrough Therapy designation by the FDA, and LOXO-305, an oral BTK inhibitor.</w:t>
      </w:r>
    </w:p>
    <w:p>
      <w:pPr>
        <w:spacing w:after="0" w:line="9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On January 10, 2020, we announced an agreement to acquire Dermira, Inc. for a purchase price of $ 18.75 per share, or approximately $1.1 billion.The acquisition will expand our immunology pipeline with the addition of lebrikizumab, a novel, investigational, monoclonal antibody designed to bind IL-13 with high affinity that is being evaluated in a Phase III clinical development program for the treatment of moderate-to-severe atopic dermatitis. Lebrikizumab was granted Fast Track designation from the FDA. The FDA's fast track designation is designed to expedite the development and review of new therapies to treat serious conditions and address unmet medical needs.The acquisition will also expand our portfolio of marketed dermatology medicines with the addition of Qbrexza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 The transaction is not subject to any financing condition and is expected to close by the end of the first quarter of 2020, subject to customary closing conditions, including receipt of required regulatory approvals and the tender of a majority of the outstanding shares of Dermira's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discussion regarding our recent acquisitions.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w:t>
      </w:r>
    </w:p>
    <w:p>
      <w:pPr>
        <w:sectPr>
          <w:pgSz w:w="11900" w:h="16838" w:orient="portrait"/>
          <w:cols w:equalWidth="0" w:num="1">
            <w:col w:w="11420"/>
          </w:cols>
          <w:pgMar w:left="240" w:top="67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CC0000"/>
        </w:rPr>
        <w:t>Operating Results—2019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4"/>
        </w:trPr>
        <w:tc>
          <w:tcPr>
            <w:tcW w:w="5960" w:type="dxa"/>
            <w:vAlign w:val="bottom"/>
            <w:tcBorders>
              <w:bottom w:val="single" w:sz="8" w:color="D8D8D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5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U.S.</w:t>
            </w:r>
            <w:r>
              <w:rPr>
                <w:rFonts w:ascii="Arial" w:cs="Arial" w:eastAsia="Arial" w:hAnsi="Arial"/>
                <w:sz w:val="21"/>
                <w:szCs w:val="21"/>
                <w:color w:val="auto"/>
                <w:vertAlign w:val="superscript"/>
              </w:rPr>
              <w:t>(1)</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12,722.6</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12,391.9</w:t>
            </w:r>
          </w:p>
        </w:tc>
        <w:tc>
          <w:tcPr>
            <w:tcW w:w="120" w:type="dxa"/>
            <w:vAlign w:val="bottom"/>
            <w:shd w:val="clear" w:color="auto" w:fill="D8D8D8"/>
          </w:tcPr>
          <w:p>
            <w:pPr>
              <w:spacing w:after="0"/>
              <w:rPr>
                <w:sz w:val="23"/>
                <w:szCs w:val="23"/>
                <w:color w:val="auto"/>
              </w:rPr>
            </w:pPr>
          </w:p>
        </w:tc>
        <w:tc>
          <w:tcPr>
            <w:tcW w:w="1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3</w:t>
            </w:r>
          </w:p>
        </w:tc>
      </w:tr>
      <w:tr>
        <w:trPr>
          <w:trHeight w:val="264"/>
        </w:trPr>
        <w:tc>
          <w:tcPr>
            <w:tcW w:w="5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9,596.8</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9,101.4</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D8D8D8"/>
            </w:tcBorders>
          </w:tcPr>
          <w:p>
            <w:pPr>
              <w:jc w:val="center"/>
              <w:spacing w:after="0"/>
              <w:rPr>
                <w:sz w:val="20"/>
                <w:szCs w:val="20"/>
                <w:color w:val="auto"/>
              </w:rPr>
            </w:pPr>
            <w:r>
              <w:rPr>
                <w:rFonts w:ascii="Arial" w:cs="Arial" w:eastAsia="Arial" w:hAnsi="Arial"/>
                <w:sz w:val="18"/>
                <w:szCs w:val="18"/>
                <w:color w:val="auto"/>
                <w:w w:val="99"/>
              </w:rPr>
              <w:t>5</w:t>
            </w:r>
          </w:p>
        </w:tc>
      </w:tr>
      <w:tr>
        <w:trPr>
          <w:trHeight w:val="277"/>
        </w:trPr>
        <w:tc>
          <w:tcPr>
            <w:tcW w:w="5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22,319.5</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21,493.3</w:t>
            </w:r>
          </w:p>
        </w:tc>
        <w:tc>
          <w:tcPr>
            <w:tcW w:w="120" w:type="dxa"/>
            <w:vAlign w:val="bottom"/>
            <w:tcBorders>
              <w:bottom w:val="single" w:sz="8" w:color="auto"/>
            </w:tcBorders>
            <w:shd w:val="clear" w:color="auto" w:fill="D8D8D8"/>
          </w:tcPr>
          <w:p>
            <w:pPr>
              <w:spacing w:after="0"/>
              <w:rPr>
                <w:sz w:val="24"/>
                <w:szCs w:val="24"/>
                <w:color w:val="auto"/>
              </w:rPr>
            </w:pPr>
          </w:p>
        </w:tc>
        <w:tc>
          <w:tcPr>
            <w:tcW w:w="18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4</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 vs. 2018</w:t>
            </w:r>
          </w:p>
        </w:tc>
        <w:tc>
          <w:tcPr>
            <w:tcW w:w="1360" w:type="dxa"/>
            <w:vAlign w:val="bottom"/>
            <w:tcBorders>
              <w:bottom w:val="single" w:sz="8" w:color="auto"/>
            </w:tcBorders>
          </w:tcPr>
          <w:p>
            <w:pPr>
              <w:spacing w:after="0"/>
              <w:rPr>
                <w:sz w:val="17"/>
                <w:szCs w:val="17"/>
                <w:color w:val="auto"/>
              </w:rPr>
            </w:pPr>
          </w:p>
        </w:tc>
      </w:tr>
      <w:tr>
        <w:trPr>
          <w:trHeight w:val="250"/>
        </w:trPr>
        <w:tc>
          <w:tcPr>
            <w:tcW w:w="7000" w:type="dxa"/>
            <w:vAlign w:val="bottom"/>
            <w:tcBorders>
              <w:bottom w:val="single" w:sz="8" w:color="D8D8D8"/>
            </w:tcBorders>
          </w:tcPr>
          <w:p>
            <w:pPr>
              <w:spacing w:after="0"/>
              <w:rPr>
                <w:sz w:val="21"/>
                <w:szCs w:val="21"/>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U.S.</w:t>
            </w:r>
          </w:p>
        </w:tc>
        <w:tc>
          <w:tcPr>
            <w:tcW w:w="6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Outside U.S.</w:t>
            </w: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794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66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6 %</w:t>
            </w:r>
          </w:p>
        </w:tc>
        <w:tc>
          <w:tcPr>
            <w:tcW w:w="1460" w:type="dxa"/>
            <w:vAlign w:val="bottom"/>
            <w:shd w:val="clear" w:color="auto" w:fill="D8D8D8"/>
          </w:tcPr>
          <w:p>
            <w:pPr>
              <w:jc w:val="right"/>
              <w:ind w:right="96"/>
              <w:spacing w:after="0"/>
              <w:rPr>
                <w:sz w:val="20"/>
                <w:szCs w:val="20"/>
                <w:color w:val="auto"/>
              </w:rPr>
            </w:pPr>
            <w:r>
              <w:rPr>
                <w:rFonts w:ascii="Arial" w:cs="Arial" w:eastAsia="Arial" w:hAnsi="Arial"/>
                <w:sz w:val="18"/>
                <w:szCs w:val="18"/>
                <w:color w:val="auto"/>
              </w:rPr>
              <w:t>10 %</w:t>
            </w:r>
          </w:p>
        </w:tc>
        <w:tc>
          <w:tcPr>
            <w:tcW w:w="13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40" w:type="dxa"/>
            <w:vAlign w:val="bottom"/>
            <w:tcBorders>
              <w:bottom w:val="single" w:sz="8" w:color="auto"/>
            </w:tcBorders>
            <w:shd w:val="clear" w:color="auto" w:fill="D8D8D8"/>
          </w:tcPr>
          <w:p>
            <w:pPr>
              <w:spacing w:after="0"/>
              <w:rPr>
                <w:sz w:val="22"/>
                <w:szCs w:val="22"/>
                <w:color w:val="auto"/>
              </w:rPr>
            </w:pPr>
          </w:p>
        </w:tc>
        <w:tc>
          <w:tcPr>
            <w:tcW w:w="66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700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3 %</w:t>
            </w:r>
          </w:p>
        </w:tc>
        <w:tc>
          <w:tcPr>
            <w:tcW w:w="14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5 %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1"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the U.S., the revenue increase in 2019 was driven by increased volume for Trulicity</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Verzenio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Emgality, and Basaglar</w:t>
      </w:r>
      <w:r>
        <w:rPr>
          <w:rFonts w:ascii="Arial" w:cs="Arial" w:eastAsia="Arial" w:hAnsi="Arial"/>
          <w:sz w:val="21"/>
          <w:szCs w:val="21"/>
          <w:color w:val="auto"/>
          <w:vertAlign w:val="superscript"/>
        </w:rPr>
        <w:t>®</w:t>
      </w:r>
      <w:r>
        <w:rPr>
          <w:rFonts w:ascii="Arial" w:cs="Arial" w:eastAsia="Arial" w:hAnsi="Arial"/>
          <w:sz w:val="18"/>
          <w:szCs w:val="18"/>
          <w:color w:val="auto"/>
        </w:rPr>
        <w:t>. The increase in revenue was partially offset by decreased volume for products that have lost exclusivity, primarily Cialis, lower volume for Forteo, and the impact from the product withdrawal of Lartruvo</w:t>
      </w:r>
      <w:r>
        <w:rPr>
          <w:rFonts w:ascii="Arial" w:cs="Arial" w:eastAsia="Arial" w:hAnsi="Arial"/>
          <w:sz w:val="21"/>
          <w:szCs w:val="21"/>
          <w:color w:val="auto"/>
          <w:vertAlign w:val="superscript"/>
        </w:rPr>
        <w:t>®</w:t>
      </w:r>
      <w:r>
        <w:rPr>
          <w:rFonts w:ascii="Arial" w:cs="Arial" w:eastAsia="Arial" w:hAnsi="Arial"/>
          <w:sz w:val="18"/>
          <w:szCs w:val="18"/>
          <w:color w:val="auto"/>
        </w:rPr>
        <w:t>. Additionally, the increase in revenue was partially offset by lower realized prices for several products, primarily Trulicity.</w:t>
      </w:r>
    </w:p>
    <w:p>
      <w:pPr>
        <w:spacing w:after="0" w:line="107"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Outside the U.S., the revenue increase in 2019 was primarily driven by increased volume for Trulicity, Olumiant</w:t>
      </w:r>
      <w:r>
        <w:rPr>
          <w:rFonts w:ascii="Arial" w:cs="Arial" w:eastAsia="Arial" w:hAnsi="Arial"/>
          <w:sz w:val="20"/>
          <w:szCs w:val="20"/>
          <w:color w:val="auto"/>
          <w:vertAlign w:val="superscript"/>
        </w:rPr>
        <w:t>®</w:t>
      </w:r>
      <w:r>
        <w:rPr>
          <w:rFonts w:ascii="Arial" w:cs="Arial" w:eastAsia="Arial" w:hAnsi="Arial"/>
          <w:sz w:val="17"/>
          <w:szCs w:val="17"/>
          <w:color w:val="auto"/>
        </w:rPr>
        <w:t>, Taltz, and Jardiance. The increase in revenue was partially offset by the unfavorable impact of foreign exchange rates and, to a lesser extent, lower realized prices.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37</w:t>
      </w:r>
    </w:p>
    <w:p>
      <w:pPr>
        <w:sectPr>
          <w:pgSz w:w="11900" w:h="16838" w:orient="portrait"/>
          <w:cols w:equalWidth="0" w:num="1">
            <w:col w:w="11420"/>
          </w:cols>
          <w:pgMar w:left="240" w:top="54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table summarizes our revenue activity in 2019 compared with 2018:</w:t>
      </w:r>
    </w:p>
    <w:p>
      <w:pPr>
        <w:sectPr>
          <w:pgSz w:w="11900" w:h="16838" w:orient="portrait"/>
          <w:cols w:equalWidth="0" w:num="1">
            <w:col w:w="11420"/>
          </w:cols>
          <w:pgMar w:left="240" w:top="6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Product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Trulicity</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Humalog</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Alimta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Forteo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Taltz</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Basaglar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(3)</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Cialis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Cymbalta</w:t>
      </w:r>
      <w:r>
        <w:rPr>
          <w:rFonts w:ascii="Arial" w:cs="Arial" w:eastAsia="Arial" w:hAnsi="Arial"/>
          <w:sz w:val="21"/>
          <w:szCs w:val="21"/>
          <w:color w:val="auto"/>
          <w:vertAlign w:val="superscript"/>
        </w:rPr>
        <w:t>®</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®(4)</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Verzenio</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Olumiant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Zyprexa</w:t>
      </w:r>
      <w:r>
        <w:rPr>
          <w:rFonts w:ascii="Arial" w:cs="Arial" w:eastAsia="Arial" w:hAnsi="Arial"/>
          <w:sz w:val="21"/>
          <w:szCs w:val="21"/>
          <w:color w:val="auto"/>
          <w:vertAlign w:val="superscript"/>
        </w:rPr>
        <w: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Strattera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Emgality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products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04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480" w:type="dxa"/>
            <w:vAlign w:val="bottom"/>
          </w:tcPr>
          <w:p>
            <w:pPr>
              <w:spacing w:after="0"/>
              <w:rPr>
                <w:sz w:val="17"/>
                <w:szCs w:val="17"/>
                <w:color w:val="auto"/>
              </w:rPr>
            </w:pPr>
          </w:p>
        </w:tc>
      </w:tr>
      <w:tr>
        <w:trPr>
          <w:trHeight w:val="270"/>
        </w:trPr>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3,155.2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972.7</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4,127.8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3,199.1</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29</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1,669.7</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1,151.0</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2,820.7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2,996.5</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(6)</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1,219.5</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896.4</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2,115.8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2,132.9</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(1)</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645.5</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759.1</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1,404.7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1,575.6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(11)</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1,016.8</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349.6</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1,366.4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937.5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46</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879.7</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410.4</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1,290.1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1,331.4</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(3)</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876.2</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236.3</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1,112.6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801.2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39</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565.9</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378.3</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944.2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658.3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43</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335.3</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589.9</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925.1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821.4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231.7</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658.8</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890.5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1,851.8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(52)</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49.6</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675.8</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725.4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708.0</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224.8</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365.8</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590.6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574.7</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3</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454.8</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124.9</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579.7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255.0</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487.9</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55.4</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543.4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635.3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(14)</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42.2</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384.7</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426.9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202.5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41.0</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377.6</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418.7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471.3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(11)</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30.8</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211.7</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242.5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450.8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(46)</w:t>
            </w:r>
          </w:p>
        </w:tc>
      </w:tr>
      <w:tr>
        <w:trPr>
          <w:trHeight w:val="270"/>
        </w:trPr>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154.9</w:t>
            </w:r>
          </w:p>
        </w:tc>
        <w:tc>
          <w:tcPr>
            <w:tcW w:w="30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7.7</w:t>
            </w:r>
          </w:p>
        </w:tc>
        <w:tc>
          <w:tcPr>
            <w:tcW w:w="4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162.5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7"/>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641.1</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990.7</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1,631.9</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1,885.1</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77"/>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12,722.6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9,596.8</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22,319.5</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21,493.3</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-3463925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-3112135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-2769235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-2426335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-2083435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-1740535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-1397000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-1054100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-711200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-368300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3400" w:space="720"/>
            <w:col w:w="7300"/>
          </w:cols>
          <w:pgMar w:left="240" w:top="679" w:right="239" w:bottom="1440" w:gutter="0" w:footer="0" w:header="0"/>
          <w:type w:val="continuous"/>
        </w:sect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74"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Humalog revenue includes insulin lispro.</w:t>
      </w:r>
    </w:p>
    <w:p>
      <w:pPr>
        <w:spacing w:after="0" w:line="92"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Jardiance revenue includes Glyxambi</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Synjardy</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63"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Trajenta revenue includes Jentadueto</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Revenue of Trulicity, a treatment for type 2 diabetes, increased 25 percent in the U.S., driven by higher demand, partially offset by lower realized prices. Revenue outside the U.S. increased 42 percent primarily driven by increased volume, partially offset by the unfavorable impact of foreign exchange rates and, to a lesser extent, lower realized prices.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of Humalog, an injectable human insulin analog for the treatment of diabetes, decreased 7 percent in the U.S., primarily driven by lower realized prices and decreased demand. Revenue outside the U.S. decreased 5 percent, primarily driven by the unfavorable impact of foreign exchange rates. Included in the revenue of Humalog in the U.S. is our own insulin lispro authorized generic, which was launched in the second quarter of 2019 in order to lower out-of-pocket costs for patients. A competitor launched a similar version of insulin lispro in certain European markets in 2017 and in the U.S. in the second quarter of 2018. While it is difficult to estimate the severity of the impact of similar insulin lispro products entering the market, we do not expect and have not experienced a rapid severe decline in revenue. However, due to the impact of competition and due to pricing pressure in the U.S. and some international markets, we expect some price decline and loss of market share to continue over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w:t>
      </w:r>
    </w:p>
    <w:p>
      <w:pPr>
        <w:sectPr>
          <w:pgSz w:w="11900" w:h="16838" w:orient="portrait"/>
          <w:cols w:equalWidth="0" w:num="1">
            <w:col w:w="11420"/>
          </w:cols>
          <w:pgMar w:left="240" w:top="679" w:right="239" w:bottom="1440" w:gutter="0" w:footer="0" w:header="0"/>
          <w:type w:val="continuous"/>
        </w:sectPr>
      </w:pPr>
    </w:p>
    <w:bookmarkStart w:id="38" w:name="page39"/>
    <w:bookmarkEnd w:id="38"/>
    <w:p>
      <w:pPr>
        <w:ind w:right="40"/>
        <w:spacing w:after="0" w:line="274" w:lineRule="auto"/>
        <w:rPr>
          <w:sz w:val="20"/>
          <w:szCs w:val="20"/>
          <w:color w:val="auto"/>
        </w:rPr>
      </w:pPr>
      <w:r>
        <w:rPr>
          <w:rFonts w:ascii="Arial" w:cs="Arial" w:eastAsia="Arial" w:hAnsi="Arial"/>
          <w:sz w:val="17"/>
          <w:szCs w:val="17"/>
          <w:color w:val="auto"/>
        </w:rPr>
        <w:t>Revenue of Alimta, a treatment for various cancers, increased 8 percent in the U.S., driven by increased demand, partially offset by lower realized prices. Revenue outside the U.S. decreased 11 percent, driven by lower realized prices, and to a lesser extent, the unfavorable impact of foreign exchange rates and lower volume resulting from the entry of generic pemetrexed in Germany. We have faced and remain exposed to generic entry in multiple countries, which has eroded revenue and is likely to continue to erode revenue in those countries from current levels.</w:t>
      </w:r>
    </w:p>
    <w:p>
      <w:pPr>
        <w:spacing w:after="0" w:line="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15 percent in the U.S., primarily driven by decreased demand. Revenue outside the U.S. decreased 7 percent, driven by decreased volume and, to a lesser extent, the unfavorable impact of foreign exchange rates and lower realized prices. We expect further volume decline as a result of competitive dynamics in the U.S. and the entry of generic and biosimilar competition following the loss of patent exclusivity in the third quarter of 2019 in the U.S., Japan, and major European markets. See "Executive Overview - Other Matters - Patent Matters" for more information.</w:t>
      </w:r>
    </w:p>
    <w:p>
      <w:pPr>
        <w:spacing w:after="0" w:line="101"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Revenue of Taltz, a treatment for moderate-to-severe plaque psoriasis, active psoriatic arthritis, and ankylosing spondylitis, increased 38 percent in the U.S., primarily driven by increased demand, partially offset by lower realized prices. Revenue outside the U.S. increased 76 percent, driven by increased volume from recent launches, partially offset by the unfavorable impact of foreign exchange rates.</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of Humulin, an injectable human insulin for the treatment of diabetes, decreased 3 percent in the U.S., driven by lower realized prices, partially offset by increased volume. Revenue outside the U.S. decreased 3 percent, primarily driven by the unfavorable impact of foreign exchange rates, partially offset by increased volume and, to a lesser extent, higher realized prices.</w:t>
      </w:r>
    </w:p>
    <w:p>
      <w:pPr>
        <w:spacing w:after="0" w:line="94"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Revenue of Basaglar, a long-acting human insulin analog for the treatment of diabetes, increased 41 percent in the U.S., driven by higher realized prices and increased demand. Revenue outside the U.S. increased 32 percent driven by increased volume, partially offset by the unfavorable impact of foreign exchange rates and, to a lesser extent, lower realized prices.</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41 percent in the U.S., driven by increased demand. Revenue outside the U.S. increased 47 percent, primarily driven by increased volume, partially offset by the unfavorable impact of foreign exchange rates.</w:t>
      </w:r>
    </w:p>
    <w:p>
      <w:pPr>
        <w:spacing w:after="0" w:line="9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Revenue of Cyramza, a treatment for various cancers, increased 15 percent in the U.S., driven by increased demand and, to a lesser extent, higher realized prices. Revenue outside the U.S. increased 11 percent, primarily due to increased volume, partially offset by the unfavorable impact of foreign exchange rates and lower realized prices.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of Cialis, a treatment for erectile dysfunction and benign prostatic hyperplasia, decreased 79 percent in the U.S., driven by decreased demand due to generic competition. Revenue outside the U.S. decreased 9 percent, driven by the unfavorable impact of foreign exchange rates, lower volume due to the loss of exclusivity in Europe and, to a lesser extent, lower realized prices. We lost our compound patent protection for Cialis in major European markets in November 2017 and U.S. exclusivity ended in late September 2018. We have faced and remain exposed to generic competition following the loss of exclusivity, which has eroded revenue and is likely to continue to rapidly and severely erode revenue from current levels. See "Results of Operations - Executive Overview - Other Matters - Patent Matters" for more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Gross margin as a percent of total revenue was 78.8 percent in 2019, an increase of 0.6 percentage points compared with 2018, primarily due to the favorable impact of foreign exchange rates on international inventories sold and lower intangibles amortization expense, partially offset by unfavorable product mix, the impact of lower realized prices on revenue, and charges resulting from the product withdrawal of Lartruvo.</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11 percent to $5.60 billion in 2019 driven by higher late-stage development expenses.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Marketing, selling, and administrative expenses increased 4 percent to $6.21 billion in 2019 primarily due to increased marketing expenses for recently launched products, partially offset by lower expenses for late life-cycle products.</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39</w:t>
      </w:r>
    </w:p>
    <w:p>
      <w:pPr>
        <w:sectPr>
          <w:pgSz w:w="11900" w:h="16838" w:orient="portrait"/>
          <w:cols w:equalWidth="0" w:num="1">
            <w:col w:w="11420"/>
          </w:cols>
          <w:pgMar w:left="240" w:top="679" w:right="239" w:bottom="1440" w:gutter="0" w:footer="0" w:header="0"/>
        </w:sectPr>
      </w:pPr>
    </w:p>
    <w:bookmarkStart w:id="39" w:name="page40"/>
    <w:bookmarkEnd w:id="39"/>
    <w:p>
      <w:pPr>
        <w:ind w:right="520"/>
        <w:spacing w:after="0" w:line="256" w:lineRule="auto"/>
        <w:rPr>
          <w:sz w:val="20"/>
          <w:szCs w:val="20"/>
          <w:color w:val="auto"/>
        </w:rPr>
      </w:pPr>
      <w:r>
        <w:rPr>
          <w:rFonts w:ascii="Arial" w:cs="Arial" w:eastAsia="Arial" w:hAnsi="Arial"/>
          <w:sz w:val="18"/>
          <w:szCs w:val="18"/>
          <w:color w:val="auto"/>
        </w:rPr>
        <w:t>We recognized acquired IPR&amp;D charges of $239.6 million in 2019 resulting from business development transactions with AC Immune, Centrexion, ImmuNext, and Avidity. In 2018, we recognized acquired IPR&amp;D charges of $1.98 billion primarily related to the acquisition of ARMO and the collaboration with Dicerna.</w:t>
      </w:r>
    </w:p>
    <w:p>
      <w:pPr>
        <w:spacing w:after="0" w:line="9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recognized asset impairment, restructuring, and other special charges of $575.6 million in 2019. The charges were primarily associated with the accelerated vesting of Loxo employee equity awards as part of the closing of the acquisition of Loxo, and, to a lesser extent, the charges associated with the decision to close and sell a research and development facility located in the U.K. In 2018, we recognized $266.9 million of asset impairment, restructuring, and other special charges primarily associated with asset impairments related to the sale of the Posilac (rbST) brand and the related sale of the Augusta, Georgia manufacturing site and with expenses associated with efforts to reduce our cost structure.</w:t>
      </w:r>
    </w:p>
    <w:p>
      <w:pPr>
        <w:spacing w:after="0" w:line="1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Other—net, (income) expense was income of $ 291.6 million in 2019 compared to income of $145.6 million in 2018 primarily driven by higher net gains on investment securities and the gain on the sale of the company's antibiotics business in China, partially offset by the charge related to the repurchase of debt and higher net interest expense.</w:t>
      </w:r>
    </w:p>
    <w:p>
      <w:pPr>
        <w:spacing w:after="0" w:line="9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effective tax rate was 11.9 percent in 2019, compared with 14.4 percent in 2018. The higher effective tax rate in 2018 was primarily due to non-deductible acquired IPR&amp;D charges.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Operating Results—2018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6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694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46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21,493.3</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19,973.8</w:t>
            </w:r>
          </w:p>
        </w:tc>
        <w:tc>
          <w:tcPr>
            <w:tcW w:w="146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8</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16,811.6</w:t>
            </w:r>
          </w:p>
        </w:tc>
        <w:tc>
          <w:tcPr>
            <w:tcW w:w="560" w:type="dxa"/>
            <w:vAlign w:val="bottom"/>
          </w:tcPr>
          <w:p>
            <w:pPr>
              <w:spacing w:after="0"/>
              <w:rPr>
                <w:sz w:val="22"/>
                <w:szCs w:val="22"/>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15,526.1</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8</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a percent of revenue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78.2%</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77.7%</w:t>
            </w:r>
          </w:p>
        </w:tc>
        <w:tc>
          <w:tcPr>
            <w:tcW w:w="1460" w:type="dxa"/>
            <w:vAlign w:val="bottom"/>
            <w:shd w:val="clear" w:color="auto" w:fill="D8D8D8"/>
          </w:tcPr>
          <w:p>
            <w:pPr>
              <w:spacing w:after="0"/>
              <w:rPr>
                <w:sz w:val="24"/>
                <w:szCs w:val="24"/>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11,026.3</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11,078.6</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1,983.9</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1,112.6</w:t>
            </w:r>
          </w:p>
        </w:tc>
        <w:tc>
          <w:tcPr>
            <w:tcW w:w="146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78</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266.9</w:t>
            </w:r>
          </w:p>
        </w:tc>
        <w:tc>
          <w:tcPr>
            <w:tcW w:w="560" w:type="dxa"/>
            <w:vAlign w:val="bottom"/>
          </w:tcPr>
          <w:p>
            <w:pPr>
              <w:spacing w:after="0"/>
              <w:rPr>
                <w:sz w:val="22"/>
                <w:szCs w:val="22"/>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1,331.6</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(80)</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3,680.1</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2,304.8</w:t>
            </w:r>
          </w:p>
        </w:tc>
        <w:tc>
          <w:tcPr>
            <w:tcW w:w="146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60</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529.5</w:t>
            </w:r>
          </w:p>
        </w:tc>
        <w:tc>
          <w:tcPr>
            <w:tcW w:w="560" w:type="dxa"/>
            <w:vAlign w:val="bottom"/>
          </w:tcPr>
          <w:p>
            <w:pPr>
              <w:spacing w:after="0"/>
              <w:rPr>
                <w:sz w:val="22"/>
                <w:szCs w:val="22"/>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2,391.2</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(78)</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3,150.6</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(86.4)</w:t>
            </w:r>
          </w:p>
        </w:tc>
        <w:tc>
          <w:tcPr>
            <w:tcW w:w="146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3,232.0</w:t>
            </w:r>
          </w:p>
        </w:tc>
        <w:tc>
          <w:tcPr>
            <w:tcW w:w="56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(204.1)</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Earnings (loss) per share from continuing operations</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3.05</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(0.08)</w:t>
            </w:r>
          </w:p>
        </w:tc>
        <w:tc>
          <w:tcPr>
            <w:tcW w:w="146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3.13</w:t>
            </w:r>
          </w:p>
        </w:tc>
        <w:tc>
          <w:tcPr>
            <w:tcW w:w="56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NM</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Revenue increased in 2018 driven by increased volume and, to a lesser extent, the favorable impact of foreign exchange rates, partially offset by lower realized prices. The increases in net income and EPS in 2018 were driven by lower income taxes, higher gross margin, and lower asset impairment, restructuring, and other special charges, partially offset by higher acquired IPR&amp;D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w:t>
      </w:r>
    </w:p>
    <w:p>
      <w:pPr>
        <w:sectPr>
          <w:pgSz w:w="11900" w:h="16838" w:orient="portrait"/>
          <w:cols w:equalWidth="0" w:num="1">
            <w:col w:w="11420"/>
          </w:cols>
          <w:pgMar w:left="240" w:top="67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Certain items affect the comparisons of our 2018 and 2017 results. The 2018 highlighted items are summarized in the "Results of Operations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 section. The 2017 highlighted items are summarized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340" w:right="40" w:hanging="8"/>
        <w:spacing w:after="0" w:line="375" w:lineRule="auto"/>
        <w:tabs>
          <w:tab w:leader="none" w:pos="6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recognized acquired IPR&amp;D charges of $1.11 billion primarily related to the acquisition of CoLucid Pharmaceuticals, Inc. (CoLucid). Asset Impairment, Restructuring, and Other Special Charges (Note 5 to the consolidated financial statements)</w:t>
      </w:r>
    </w:p>
    <w:p>
      <w:pPr>
        <w:spacing w:after="0" w:line="1"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recognized charges of $1.33 billion primarily associated with efforts to reduce our cost structure, including the U.S. voluntary early retirement program.</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Taxes (Note 14 to the consolidated financial statements)</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recognized a provisional tax expense of $1.91 billion due to the Tax Cuts and Jobs Act (2017 Tax Act).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940" w:type="dxa"/>
            <w:vAlign w:val="bottom"/>
          </w:tcPr>
          <w:p>
            <w:pPr>
              <w:spacing w:after="0"/>
              <w:rPr>
                <w:sz w:val="17"/>
                <w:szCs w:val="17"/>
                <w:color w:val="auto"/>
              </w:rPr>
            </w:pPr>
          </w:p>
        </w:tc>
      </w:tr>
      <w:tr>
        <w:trPr>
          <w:trHeight w:val="264"/>
        </w:trPr>
        <w:tc>
          <w:tcPr>
            <w:tcW w:w="5960" w:type="dxa"/>
            <w:vAlign w:val="bottom"/>
            <w:tcBorders>
              <w:bottom w:val="single" w:sz="8" w:color="D8D8D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9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5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12,391.9</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11,414.4</w:t>
            </w:r>
          </w:p>
        </w:tc>
        <w:tc>
          <w:tcPr>
            <w:tcW w:w="1940" w:type="dxa"/>
            <w:vAlign w:val="bottom"/>
            <w:shd w:val="clear" w:color="auto" w:fill="D8D8D8"/>
          </w:tcPr>
          <w:p>
            <w:pPr>
              <w:jc w:val="center"/>
              <w:ind w:left="34"/>
              <w:spacing w:after="0"/>
              <w:rPr>
                <w:sz w:val="20"/>
                <w:szCs w:val="20"/>
                <w:color w:val="auto"/>
              </w:rPr>
            </w:pPr>
            <w:r>
              <w:rPr>
                <w:rFonts w:ascii="Arial" w:cs="Arial" w:eastAsia="Arial" w:hAnsi="Arial"/>
                <w:sz w:val="18"/>
                <w:szCs w:val="18"/>
                <w:color w:val="auto"/>
                <w:w w:val="99"/>
              </w:rPr>
              <w:t>9</w:t>
            </w:r>
          </w:p>
        </w:tc>
      </w:tr>
      <w:tr>
        <w:trPr>
          <w:trHeight w:val="264"/>
        </w:trPr>
        <w:tc>
          <w:tcPr>
            <w:tcW w:w="5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9,101.4</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8,559.4</w:t>
            </w:r>
          </w:p>
        </w:tc>
        <w:tc>
          <w:tcPr>
            <w:tcW w:w="1940" w:type="dxa"/>
            <w:vAlign w:val="bottom"/>
            <w:tcBorders>
              <w:bottom w:val="single" w:sz="8" w:color="D8D8D8"/>
            </w:tcBorders>
          </w:tcPr>
          <w:p>
            <w:pPr>
              <w:jc w:val="center"/>
              <w:ind w:left="34"/>
              <w:spacing w:after="0"/>
              <w:rPr>
                <w:sz w:val="20"/>
                <w:szCs w:val="20"/>
                <w:color w:val="auto"/>
              </w:rPr>
            </w:pPr>
            <w:r>
              <w:rPr>
                <w:rFonts w:ascii="Arial" w:cs="Arial" w:eastAsia="Arial" w:hAnsi="Arial"/>
                <w:sz w:val="18"/>
                <w:szCs w:val="18"/>
                <w:color w:val="auto"/>
                <w:w w:val="99"/>
              </w:rPr>
              <w:t>6</w:t>
            </w:r>
          </w:p>
        </w:tc>
      </w:tr>
      <w:tr>
        <w:trPr>
          <w:trHeight w:val="277"/>
        </w:trPr>
        <w:tc>
          <w:tcPr>
            <w:tcW w:w="5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21,493.3</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19,973.8</w:t>
            </w:r>
          </w:p>
        </w:tc>
        <w:tc>
          <w:tcPr>
            <w:tcW w:w="1940" w:type="dxa"/>
            <w:vAlign w:val="bottom"/>
            <w:tcBorders>
              <w:bottom w:val="single" w:sz="8" w:color="auto"/>
            </w:tcBorders>
            <w:shd w:val="clear" w:color="auto" w:fill="D8D8D8"/>
          </w:tcPr>
          <w:p>
            <w:pPr>
              <w:jc w:val="center"/>
              <w:ind w:left="34"/>
              <w:spacing w:after="0"/>
              <w:rPr>
                <w:sz w:val="20"/>
                <w:szCs w:val="20"/>
                <w:color w:val="auto"/>
              </w:rPr>
            </w:pPr>
            <w:r>
              <w:rPr>
                <w:rFonts w:ascii="Arial" w:cs="Arial" w:eastAsia="Arial" w:hAnsi="Arial"/>
                <w:sz w:val="18"/>
                <w:szCs w:val="18"/>
                <w:color w:val="auto"/>
                <w:w w:val="99"/>
              </w:rPr>
              <w:t>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in 2018 compared with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 vs. 2017</w:t>
            </w:r>
          </w:p>
        </w:tc>
        <w:tc>
          <w:tcPr>
            <w:tcW w:w="1360" w:type="dxa"/>
            <w:vAlign w:val="bottom"/>
            <w:tcBorders>
              <w:bottom w:val="single" w:sz="8" w:color="auto"/>
            </w:tcBorders>
          </w:tcPr>
          <w:p>
            <w:pPr>
              <w:spacing w:after="0"/>
              <w:rPr>
                <w:sz w:val="17"/>
                <w:szCs w:val="17"/>
                <w:color w:val="auto"/>
              </w:rPr>
            </w:pPr>
          </w:p>
        </w:tc>
      </w:tr>
      <w:tr>
        <w:trPr>
          <w:trHeight w:val="250"/>
        </w:trPr>
        <w:tc>
          <w:tcPr>
            <w:tcW w:w="7000" w:type="dxa"/>
            <w:vAlign w:val="bottom"/>
            <w:tcBorders>
              <w:bottom w:val="single" w:sz="8" w:color="D8D8D8"/>
            </w:tcBorders>
          </w:tcPr>
          <w:p>
            <w:pPr>
              <w:spacing w:after="0"/>
              <w:rPr>
                <w:sz w:val="21"/>
                <w:szCs w:val="21"/>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U.S.</w:t>
            </w:r>
          </w:p>
        </w:tc>
        <w:tc>
          <w:tcPr>
            <w:tcW w:w="6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Outside U.S.</w:t>
            </w: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794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66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9 %</w:t>
            </w:r>
          </w:p>
        </w:tc>
        <w:tc>
          <w:tcPr>
            <w:tcW w:w="1460" w:type="dxa"/>
            <w:vAlign w:val="bottom"/>
            <w:shd w:val="clear" w:color="auto" w:fill="D8D8D8"/>
          </w:tcPr>
          <w:p>
            <w:pPr>
              <w:jc w:val="right"/>
              <w:ind w:right="96"/>
              <w:spacing w:after="0"/>
              <w:rPr>
                <w:sz w:val="20"/>
                <w:szCs w:val="20"/>
                <w:color w:val="auto"/>
              </w:rPr>
            </w:pPr>
            <w:r>
              <w:rPr>
                <w:rFonts w:ascii="Arial" w:cs="Arial" w:eastAsia="Arial" w:hAnsi="Arial"/>
                <w:sz w:val="18"/>
                <w:szCs w:val="18"/>
                <w:color w:val="auto"/>
              </w:rPr>
              <w:t>8 %</w:t>
            </w:r>
          </w:p>
        </w:tc>
        <w:tc>
          <w:tcPr>
            <w:tcW w:w="13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9 %</w:t>
            </w:r>
          </w:p>
        </w:tc>
      </w:tr>
      <w:tr>
        <w:trPr>
          <w:trHeight w:val="250"/>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40" w:type="dxa"/>
            <w:vAlign w:val="bottom"/>
            <w:tcBorders>
              <w:bottom w:val="single" w:sz="8" w:color="auto"/>
            </w:tcBorders>
            <w:shd w:val="clear" w:color="auto" w:fill="D8D8D8"/>
          </w:tcPr>
          <w:p>
            <w:pPr>
              <w:spacing w:after="0"/>
              <w:rPr>
                <w:sz w:val="22"/>
                <w:szCs w:val="22"/>
                <w:color w:val="auto"/>
              </w:rPr>
            </w:pPr>
          </w:p>
        </w:tc>
        <w:tc>
          <w:tcPr>
            <w:tcW w:w="66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auto"/>
            </w:tcBorders>
            <w:shd w:val="clear" w:color="auto" w:fill="D8D8D8"/>
          </w:tcPr>
          <w:p>
            <w:pPr>
              <w:jc w:val="right"/>
              <w:ind w:right="96"/>
              <w:spacing w:after="0"/>
              <w:rPr>
                <w:sz w:val="20"/>
                <w:szCs w:val="20"/>
                <w:color w:val="auto"/>
              </w:rPr>
            </w:pPr>
            <w:r>
              <w:rPr>
                <w:rFonts w:ascii="Arial" w:cs="Arial" w:eastAsia="Arial" w:hAnsi="Arial"/>
                <w:sz w:val="18"/>
                <w:szCs w:val="18"/>
                <w:color w:val="auto"/>
              </w:rPr>
              <w:t>2 %</w:t>
            </w:r>
          </w:p>
        </w:tc>
        <w:tc>
          <w:tcPr>
            <w:tcW w:w="13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1 %</w:t>
            </w:r>
          </w:p>
        </w:tc>
      </w:tr>
      <w:tr>
        <w:trPr>
          <w:trHeight w:val="264"/>
        </w:trPr>
        <w:tc>
          <w:tcPr>
            <w:tcW w:w="700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9 %</w:t>
            </w:r>
          </w:p>
        </w:tc>
        <w:tc>
          <w:tcPr>
            <w:tcW w:w="14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6 %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the U.S., the revenue increase in 2018 was driven by increased volume for newer products, including Trulicity, Basaglar, Taltz, Verzenio, and Jardiance. The increase in revenue was partially offset by decreased volume for products that have lost exclusivity, including Cialis, Effient, and Strattera, as well as lower realized prices for several products, including Trulicity, Basaglar, Forteo, and Taltz.</w:t>
      </w:r>
    </w:p>
    <w:p>
      <w:pPr>
        <w:spacing w:after="0" w:line="9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Outside the U.S., the revenue increase in 2018 was due to increased volume for several newer products, primarily driven by Trulicity, Olumiant, and Taltz and, to a lesser extent, the favorable impact of foreign exchange rates. The increase in revenue was partially offset by lower realized prices for several products.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41</w:t>
      </w:r>
    </w:p>
    <w:p>
      <w:pPr>
        <w:sectPr>
          <w:pgSz w:w="11900" w:h="16838" w:orient="portrait"/>
          <w:cols w:equalWidth="0" w:num="1">
            <w:col w:w="11420"/>
          </w:cols>
          <w:pgMar w:left="240" w:top="67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table summarizes our revenue activity in 2018 compared with 2017:</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96"/>
        </w:trPr>
        <w:tc>
          <w:tcPr>
            <w:tcW w:w="3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64"/>
        </w:trPr>
        <w:tc>
          <w:tcPr>
            <w:tcW w:w="3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760" w:type="dxa"/>
            <w:vAlign w:val="bottom"/>
          </w:tcPr>
          <w:p>
            <w:pPr>
              <w:spacing w:after="0"/>
              <w:rPr>
                <w:sz w:val="22"/>
                <w:szCs w:val="22"/>
                <w:color w:val="auto"/>
              </w:rPr>
            </w:pPr>
          </w:p>
        </w:tc>
      </w:tr>
      <w:tr>
        <w:trPr>
          <w:trHeight w:val="270"/>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90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2,515.8</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683.3</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3,199.1</w:t>
            </w:r>
          </w:p>
        </w:tc>
        <w:tc>
          <w:tcPr>
            <w:tcW w:w="100" w:type="dxa"/>
            <w:vAlign w:val="bottom"/>
            <w:shd w:val="clear" w:color="auto" w:fill="D8D8D8"/>
          </w:tcPr>
          <w:p>
            <w:pPr>
              <w:spacing w:after="0"/>
              <w:rPr>
                <w:sz w:val="22"/>
                <w:szCs w:val="22"/>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2,029.8</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58</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1,787.8</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1,208.7</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2,996.5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2,865.2</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5</w:t>
            </w:r>
          </w:p>
        </w:tc>
      </w:tr>
      <w:tr>
        <w:trPr>
          <w:trHeight w:val="277"/>
        </w:trPr>
        <w:tc>
          <w:tcPr>
            <w:tcW w:w="39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1,131.0</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1,001.9</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2,132.9</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2,062.5</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3</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1,129.2</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722.7</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1,851.8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2,323.1</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(20)</w:t>
            </w:r>
          </w:p>
        </w:tc>
      </w:tr>
      <w:tr>
        <w:trPr>
          <w:trHeight w:val="277"/>
        </w:trPr>
        <w:tc>
          <w:tcPr>
            <w:tcW w:w="39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757.9</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817.7</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1,575.6</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1,749.0</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(10)</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910.2</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421.2</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1,331.4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1,335.4</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77"/>
        </w:trPr>
        <w:tc>
          <w:tcPr>
            <w:tcW w:w="3900" w:type="dxa"/>
            <w:vAlign w:val="bottom"/>
            <w:shd w:val="clear" w:color="auto" w:fill="D8D8D8"/>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738.7</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198.7</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559.2</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68</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291.5</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529.9</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821.4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758.3</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8</w:t>
            </w:r>
          </w:p>
        </w:tc>
      </w:tr>
      <w:tr>
        <w:trPr>
          <w:trHeight w:val="257"/>
        </w:trPr>
        <w:tc>
          <w:tcPr>
            <w:tcW w:w="39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tcBorders>
              <w:bottom w:val="single" w:sz="8" w:color="D8D8D8"/>
            </w:tcBorders>
            <w:shd w:val="clear" w:color="auto" w:fill="D8D8D8"/>
          </w:tcPr>
          <w:p>
            <w:pPr>
              <w:spacing w:after="0"/>
              <w:rPr>
                <w:sz w:val="22"/>
                <w:szCs w:val="22"/>
                <w:color w:val="auto"/>
              </w:rPr>
            </w:pPr>
          </w:p>
        </w:tc>
        <w:tc>
          <w:tcPr>
            <w:tcW w:w="1060" w:type="dxa"/>
            <w:vAlign w:val="bottom"/>
            <w:tcBorders>
              <w:bottom w:val="single" w:sz="8" w:color="D8D8D8"/>
            </w:tcBorders>
            <w:shd w:val="clear" w:color="auto" w:fill="D8D8D8"/>
          </w:tcPr>
          <w:p>
            <w:pPr>
              <w:jc w:val="right"/>
              <w:ind w:right="31"/>
              <w:spacing w:after="0"/>
              <w:rPr>
                <w:sz w:val="20"/>
                <w:szCs w:val="20"/>
                <w:color w:val="auto"/>
              </w:rPr>
            </w:pPr>
            <w:r>
              <w:rPr>
                <w:rFonts w:ascii="Arial" w:cs="Arial" w:eastAsia="Arial" w:hAnsi="Arial"/>
                <w:sz w:val="18"/>
                <w:szCs w:val="18"/>
                <w:color w:val="auto"/>
              </w:rPr>
              <w:t>622.8</w:t>
            </w:r>
          </w:p>
        </w:tc>
        <w:tc>
          <w:tcPr>
            <w:tcW w:w="28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jc w:val="right"/>
              <w:ind w:right="33"/>
              <w:spacing w:after="0"/>
              <w:rPr>
                <w:sz w:val="20"/>
                <w:szCs w:val="20"/>
                <w:color w:val="auto"/>
              </w:rPr>
            </w:pPr>
            <w:r>
              <w:rPr>
                <w:rFonts w:ascii="Arial" w:cs="Arial" w:eastAsia="Arial" w:hAnsi="Arial"/>
                <w:sz w:val="18"/>
                <w:szCs w:val="18"/>
                <w:color w:val="auto"/>
              </w:rPr>
              <w:t>178.5</w:t>
            </w:r>
          </w:p>
        </w:tc>
        <w:tc>
          <w:tcPr>
            <w:tcW w:w="560" w:type="dxa"/>
            <w:vAlign w:val="bottom"/>
            <w:tcBorders>
              <w:bottom w:val="single" w:sz="8" w:color="D8D8D8"/>
            </w:tcBorders>
            <w:shd w:val="clear" w:color="auto" w:fill="D8D8D8"/>
          </w:tcPr>
          <w:p>
            <w:pPr>
              <w:spacing w:after="0"/>
              <w:rPr>
                <w:sz w:val="22"/>
                <w:szCs w:val="22"/>
                <w:color w:val="auto"/>
              </w:rPr>
            </w:pPr>
          </w:p>
        </w:tc>
        <w:tc>
          <w:tcPr>
            <w:tcW w:w="900" w:type="dxa"/>
            <w:vAlign w:val="bottom"/>
            <w:tcBorders>
              <w:bottom w:val="single" w:sz="8" w:color="D8D8D8"/>
            </w:tcBorders>
            <w:shd w:val="clear" w:color="auto" w:fill="D8D8D8"/>
          </w:tcPr>
          <w:p>
            <w:pPr>
              <w:jc w:val="right"/>
              <w:ind w:right="31"/>
              <w:spacing w:after="0"/>
              <w:rPr>
                <w:sz w:val="20"/>
                <w:szCs w:val="20"/>
                <w:color w:val="auto"/>
              </w:rPr>
            </w:pPr>
            <w:r>
              <w:rPr>
                <w:rFonts w:ascii="Arial" w:cs="Arial" w:eastAsia="Arial" w:hAnsi="Arial"/>
                <w:sz w:val="18"/>
                <w:szCs w:val="18"/>
                <w:color w:val="auto"/>
              </w:rPr>
              <w:t>801.2</w:t>
            </w:r>
          </w:p>
        </w:tc>
        <w:tc>
          <w:tcPr>
            <w:tcW w:w="100" w:type="dxa"/>
            <w:vAlign w:val="bottom"/>
            <w:tcBorders>
              <w:bottom w:val="single" w:sz="8" w:color="D8D8D8"/>
            </w:tcBorders>
            <w:shd w:val="clear" w:color="auto" w:fill="D8D8D8"/>
          </w:tcPr>
          <w:p>
            <w:pPr>
              <w:spacing w:after="0"/>
              <w:rPr>
                <w:sz w:val="22"/>
                <w:szCs w:val="22"/>
                <w:color w:val="auto"/>
              </w:rPr>
            </w:pPr>
          </w:p>
        </w:tc>
        <w:tc>
          <w:tcPr>
            <w:tcW w:w="320" w:type="dxa"/>
            <w:vAlign w:val="bottom"/>
            <w:tcBorders>
              <w:bottom w:val="single" w:sz="8" w:color="D8D8D8"/>
            </w:tcBorders>
            <w:shd w:val="clear" w:color="auto" w:fill="D8D8D8"/>
          </w:tcPr>
          <w:p>
            <w:pPr>
              <w:spacing w:after="0"/>
              <w:rPr>
                <w:sz w:val="22"/>
                <w:szCs w:val="22"/>
                <w:color w:val="auto"/>
              </w:rPr>
            </w:pPr>
          </w:p>
        </w:tc>
        <w:tc>
          <w:tcPr>
            <w:tcW w:w="1040" w:type="dxa"/>
            <w:vAlign w:val="bottom"/>
            <w:tcBorders>
              <w:bottom w:val="single" w:sz="8" w:color="D8D8D8"/>
            </w:tcBorders>
            <w:shd w:val="clear" w:color="auto" w:fill="D8D8D8"/>
          </w:tcPr>
          <w:p>
            <w:pPr>
              <w:jc w:val="right"/>
              <w:ind w:right="12"/>
              <w:spacing w:after="0"/>
              <w:rPr>
                <w:sz w:val="20"/>
                <w:szCs w:val="20"/>
                <w:color w:val="auto"/>
              </w:rPr>
            </w:pPr>
            <w:r>
              <w:rPr>
                <w:rFonts w:ascii="Arial" w:cs="Arial" w:eastAsia="Arial" w:hAnsi="Arial"/>
                <w:sz w:val="18"/>
                <w:szCs w:val="18"/>
                <w:color w:val="auto"/>
              </w:rPr>
              <w:t>432.1</w:t>
            </w:r>
          </w:p>
        </w:tc>
        <w:tc>
          <w:tcPr>
            <w:tcW w:w="1760" w:type="dxa"/>
            <w:vAlign w:val="bottom"/>
            <w:tcBorders>
              <w:bottom w:val="single" w:sz="8" w:color="D8D8D8"/>
            </w:tcBorders>
            <w:shd w:val="clear" w:color="auto" w:fill="D8D8D8"/>
          </w:tcPr>
          <w:p>
            <w:pPr>
              <w:jc w:val="right"/>
              <w:ind w:right="351"/>
              <w:spacing w:after="0"/>
              <w:rPr>
                <w:sz w:val="20"/>
                <w:szCs w:val="20"/>
                <w:color w:val="auto"/>
              </w:rPr>
            </w:pPr>
            <w:r>
              <w:rPr>
                <w:rFonts w:ascii="Arial" w:cs="Arial" w:eastAsia="Arial" w:hAnsi="Arial"/>
                <w:sz w:val="18"/>
                <w:szCs w:val="18"/>
                <w:color w:val="auto"/>
              </w:rPr>
              <w:t>85</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54.3</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653.7</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757.2</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(6)</w:t>
            </w:r>
          </w:p>
        </w:tc>
      </w:tr>
      <w:tr>
        <w:trPr>
          <w:trHeight w:val="277"/>
        </w:trPr>
        <w:tc>
          <w:tcPr>
            <w:tcW w:w="3900" w:type="dxa"/>
            <w:vAlign w:val="bottom"/>
            <w:shd w:val="clear" w:color="auto" w:fill="D8D8D8"/>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(2)</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400.2</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258.1</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658.3</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447.5</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47</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531.6</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103.8</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645.9</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(2)</w:t>
            </w:r>
          </w:p>
        </w:tc>
      </w:tr>
      <w:tr>
        <w:trPr>
          <w:trHeight w:val="277"/>
        </w:trPr>
        <w:tc>
          <w:tcPr>
            <w:tcW w:w="390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(3)</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224.2</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350.5</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574.7</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537.9</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7</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435.1</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581.2</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(19)</w:t>
            </w:r>
          </w:p>
        </w:tc>
      </w:tr>
      <w:tr>
        <w:trPr>
          <w:trHeight w:val="277"/>
        </w:trPr>
        <w:tc>
          <w:tcPr>
            <w:tcW w:w="39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89.7</w:t>
            </w:r>
          </w:p>
        </w:tc>
        <w:tc>
          <w:tcPr>
            <w:tcW w:w="2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361.1</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450.8</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618.2</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(27)</w:t>
            </w:r>
          </w:p>
        </w:tc>
      </w:tr>
      <w:tr>
        <w:trPr>
          <w:trHeight w:val="264"/>
        </w:trPr>
        <w:tc>
          <w:tcPr>
            <w:tcW w:w="39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products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1,170.8</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1,176.5</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2,347.5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2,271.3</w:t>
            </w:r>
          </w:p>
        </w:tc>
        <w:tc>
          <w:tcPr>
            <w:tcW w:w="1760" w:type="dxa"/>
            <w:vAlign w:val="bottom"/>
            <w:tcBorders>
              <w:bottom w:val="single" w:sz="8" w:color="D8D8D8"/>
            </w:tcBorders>
          </w:tcPr>
          <w:p>
            <w:pPr>
              <w:jc w:val="right"/>
              <w:ind w:right="351"/>
              <w:spacing w:after="0"/>
              <w:rPr>
                <w:sz w:val="20"/>
                <w:szCs w:val="20"/>
                <w:color w:val="auto"/>
              </w:rPr>
            </w:pPr>
            <w:r>
              <w:rPr>
                <w:rFonts w:ascii="Arial" w:cs="Arial" w:eastAsia="Arial" w:hAnsi="Arial"/>
                <w:sz w:val="18"/>
                <w:szCs w:val="18"/>
                <w:color w:val="auto"/>
              </w:rPr>
              <w:t>3</w:t>
            </w:r>
          </w:p>
        </w:tc>
      </w:tr>
      <w:tr>
        <w:trPr>
          <w:trHeight w:val="277"/>
        </w:trPr>
        <w:tc>
          <w:tcPr>
            <w:tcW w:w="390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12,391.9</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9,101.4</w:t>
            </w:r>
          </w:p>
        </w:tc>
        <w:tc>
          <w:tcPr>
            <w:tcW w:w="560" w:type="dxa"/>
            <w:vAlign w:val="bottom"/>
            <w:tcBorders>
              <w:bottom w:val="single" w:sz="8" w:color="auto"/>
            </w:tcBorders>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21,493.3</w:t>
            </w:r>
          </w:p>
        </w:tc>
        <w:tc>
          <w:tcPr>
            <w:tcW w:w="100" w:type="dxa"/>
            <w:vAlign w:val="bottom"/>
            <w:tcBorders>
              <w:bottom w:val="single" w:sz="8" w:color="auto"/>
            </w:tcBorders>
            <w:shd w:val="clear" w:color="auto" w:fill="D8D8D8"/>
          </w:tcPr>
          <w:p>
            <w:pPr>
              <w:spacing w:after="0"/>
              <w:rPr>
                <w:sz w:val="24"/>
                <w:szCs w:val="24"/>
                <w:color w:val="auto"/>
              </w:rPr>
            </w:pP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19,973.8</w:t>
            </w:r>
          </w:p>
        </w:tc>
        <w:tc>
          <w:tcPr>
            <w:tcW w:w="176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 and Synjardy.</w:t>
      </w:r>
    </w:p>
    <w:p>
      <w:pPr>
        <w:spacing w:after="0" w:line="99"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p>
    <w:p>
      <w:pPr>
        <w:spacing w:after="0" w:line="9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Revenue of Trulicity increased 56 percent in the U.S., driven by higher demand. Revenue outside the U.S. increased 63 percent primarily driven by increased volume and, to a lesser extent, the favorable impact of foreign exchange rates, partially offset by lower realized prices.</w:t>
      </w:r>
    </w:p>
    <w:p>
      <w:pPr>
        <w:spacing w:after="0" w:line="8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Revenue of Humalog increased 4 percent in the U.S., primarily driven by increased demand and, to a lesser extent, higher realized prices due to changes in estimates to rebates and discounts. Revenue outside the U.S. increased 5 percent, driven by increased volume and, to a lesser extent, the favorable impact of foreign exchange rates, partially offset by lower realized prices.</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Revenue of Alimta increased 9 percent in the U.S., driven by increased demand and higher realized prices. Revenue outside the U.S. decreased 3 percent, driven by lower volume due to competitive pressure and the loss of exclusivity in certain European countries, including Germany, and lower realized prices, partially offset by the favorable impact of foreign exchange rates.</w:t>
      </w:r>
    </w:p>
    <w:p>
      <w:pPr>
        <w:spacing w:after="0" w:line="9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Revenue of Cialis decreased 17 percent in the U.S., driven by decreased demand primarily due to the entry of generic tadalafil, partially offset by higher realized prices. Revenue outside the U.S. decreased 25 percent, driven by the loss of exclusivity in Europe.</w:t>
      </w:r>
    </w:p>
    <w:p>
      <w:pPr>
        <w:spacing w:after="0" w:line="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 of Forteo decreased 21 percent in the U.S., driven by decreased demand, and, to a lesser extent, lower realized prices. Revenue outside the U.S. increased 4 percent, driven by increased volume and the favorable impact of foreign exchange rates, partially offset by lower realized prices.</w:t>
      </w:r>
    </w:p>
    <w:p>
      <w:pPr>
        <w:spacing w:after="0" w:line="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Revenue of Humulin increased 3 percent in the U.S., driven by increased volume, partially offset by lower realized prices primarily due to changes in segment mix and, to a lesser extent, the impact of patient affordability programs. Revenue outside the U.S. decreased 7 percent, primarily driven by decreased volume and, to a lesser extent, lower realized prices.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w:t>
      </w:r>
    </w:p>
    <w:p>
      <w:pPr>
        <w:sectPr>
          <w:pgSz w:w="11900" w:h="16838" w:orient="portrait"/>
          <w:cols w:equalWidth="0" w:num="1">
            <w:col w:w="11420"/>
          </w:cols>
          <w:pgMar w:left="240" w:top="679" w:right="239" w:bottom="1440" w:gutter="0" w:footer="0" w:header="0"/>
        </w:sectPr>
      </w:pPr>
    </w:p>
    <w:bookmarkStart w:id="42" w:name="page43"/>
    <w:bookmarkEnd w:id="42"/>
    <w:p>
      <w:pPr>
        <w:jc w:val="both"/>
        <w:ind w:right="400"/>
        <w:spacing w:after="0" w:line="291" w:lineRule="auto"/>
        <w:rPr>
          <w:sz w:val="20"/>
          <w:szCs w:val="20"/>
          <w:color w:val="auto"/>
        </w:rPr>
      </w:pPr>
      <w:r>
        <w:rPr>
          <w:rFonts w:ascii="Arial" w:cs="Arial" w:eastAsia="Arial" w:hAnsi="Arial"/>
          <w:sz w:val="17"/>
          <w:szCs w:val="17"/>
          <w:color w:val="auto"/>
        </w:rPr>
        <w:t>Revenue of Taltz increased 52 percent in the U.S., primarily driven by increased demand, partially offset by lower realized prices. Revenue outside the U.S. increased $125.6 million, driven by increased volume from recent launches, partially offset by lower realized prices.</w:t>
      </w:r>
    </w:p>
    <w:p>
      <w:pPr>
        <w:spacing w:after="0" w:line="66"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Revenue of Cyramza increased 5 percent in the U.S., driven by increased demand and, to a lesser extent, higher realized prices. Revenue outside the U.S. increased 10 percent, primarily due to increased volume and, to a lesser extent, the favorable impact of foreign exchange rates, partially offset by lower realized prices.</w:t>
      </w:r>
    </w:p>
    <w:p>
      <w:pPr>
        <w:spacing w:after="0" w:line="94"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Revenue of Basaglar increased $311.7 million in the U.S., driven by increased demand, partially offset by lower realized prices due to increased volume in Medicare Part D. Revenue outside the U.S. increased $57.5 million primarily driven by increased volume.</w:t>
      </w:r>
    </w:p>
    <w:p>
      <w:pPr>
        <w:spacing w:after="0" w:line="88"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Revenue of Cymbalta, a treatment for major depressive disorder, diabetic peripheral neuropathic pain, generalized anxiety disorder, chronic musculoskeletal pain, and the management of fibromyalgia, decreased 53 percent in the U.S. driven by decreased volume, partially offset by higher realized prices. Revenue outside the U.S. increased 2 percent, driven by increased volume in Japan.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Gross margin as a percent of total revenue was 78.2 percent in 2018, an increase of 0.5 percentage points compared with 2017, primarily due to manufacturing efficiencies and lower amortization expenses, offset by the impact of foreign exchange rates on international inventories sold, the timing of manufacturing production, and the negative impact of price on revenue.</w:t>
      </w:r>
    </w:p>
    <w:p>
      <w:pPr>
        <w:spacing w:after="0" w:line="9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Research and development expenses decreased 1 percent to $5.05 billion in 2018 driven by lower development expenses for lanabecestat, partially offset by higher expenses for other late-stage assets.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Marketing, selling, and administrative expenses remained flat in 2018 compared to 2017.</w:t>
      </w:r>
    </w:p>
    <w:p>
      <w:pPr>
        <w:spacing w:after="0" w:line="11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Both research and development expenses and marketing, selling, and administrative expenses benefited during 2018 from actions taken to reduce our cost structure.</w:t>
      </w:r>
    </w:p>
    <w:p>
      <w:pPr>
        <w:spacing w:after="0" w:line="88"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We recognized acquired IPR&amp;D charges of $1.98 billion in 2018 primarily related to the acquisition of ARMO and the collaboration with Dicerna. In 2017, we recognized acquired IPR&amp;D charges of $1.11 billion primarily related to the acquisition of CoLucid.</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recognized asset impairment, restructuring, and other special charges of $266.9 million in 2018. The charges are primarily associated with asset impairments related to the sale of the Posilac (rbST) brand and the related sale of the Augusta, Georgia manufacturing site and with expenses associated with efforts to reduce our cost structure. In 2017, we recognized $1.33 billion of asset impairment, restructuring, and other special charges primarily associated with efforts to reduce our cost structure, including the U.S. voluntary early retirement program, and asset impairments related to lower projected revenue for Posilac (rbST).</w:t>
      </w:r>
    </w:p>
    <w:p>
      <w:pPr>
        <w:spacing w:after="0" w:line="9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Other—net, (income) expense was income of $145.6 million in 2018 compared to income of $301.5 million in 2017 driven by lower net gains on sales of investments.</w:t>
      </w:r>
    </w:p>
    <w:p>
      <w:pPr>
        <w:spacing w:after="0" w:line="88" w:lineRule="exact"/>
        <w:rPr>
          <w:sz w:val="20"/>
          <w:szCs w:val="20"/>
          <w:color w:val="auto"/>
        </w:rPr>
      </w:pPr>
    </w:p>
    <w:p>
      <w:pPr>
        <w:jc w:val="both"/>
        <w:ind w:right="400"/>
        <w:spacing w:after="0" w:line="254" w:lineRule="auto"/>
        <w:rPr>
          <w:sz w:val="20"/>
          <w:szCs w:val="20"/>
          <w:color w:val="auto"/>
        </w:rPr>
      </w:pPr>
      <w:r>
        <w:rPr>
          <w:rFonts w:ascii="Arial" w:cs="Arial" w:eastAsia="Arial" w:hAnsi="Arial"/>
          <w:sz w:val="18"/>
          <w:szCs w:val="18"/>
          <w:color w:val="auto"/>
        </w:rPr>
        <w:t>During 2018, we recorded income tax expense of $529.5 million while earning $3.68 billion of income before income taxes. We recognized $313.3 million of income tax benefit primarily due to measurement period adjustments to the Toll Tax and GILTI. During 2017, we recorded income tax expense of $2.40 billion, which included a provisional tax charge of $1.91 billion, despite earning $2.30 billion of income before income taxes. The provisional tax charge was a result of the 2017 Tax Act, including the Toll Tax.</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43</w:t>
      </w:r>
    </w:p>
    <w:p>
      <w:pPr>
        <w:sectPr>
          <w:pgSz w:w="11900" w:h="16838" w:orient="portrait"/>
          <w:cols w:equalWidth="0" w:num="1">
            <w:col w:w="11420"/>
          </w:cols>
          <w:pgMar w:left="240" w:top="67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CC0000"/>
        </w:rPr>
        <w:t>FINANCIAL CONDITION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Cash and cash equivalents decreased to $2.34 billion as of December 31, 2019, compared with $7.32 billion at December 31, 2018. Net cash provided by operating activities was $4.84 billion in 2019, compared with $5.52 billion in 2018. Net cash provided by operating activities in 2019 included approximately $360 million of cash paid to settle the accelerated vesting of Loxo employee equity awards (see Note 5 to the consolidated financial statements). Net cash provided by operating activities in 2018 included approximately $500 million of net cash provided by operating activities related to our discontinued operations (See Note 19 to the consolidated financial statements). Refer to the consolidated statements of cash flows for additional details on the significant sources and uses of cash for the years ended December 31, 2019 and 2018.</w:t>
      </w:r>
    </w:p>
    <w:p>
      <w:pPr>
        <w:spacing w:after="0" w:line="10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$2.06 billion and $2.09 billion as of December 31, 2019 and 2018, respectively. See Note 7 to the consolidated financial statements for additional details.</w:t>
      </w:r>
    </w:p>
    <w:p>
      <w:pPr>
        <w:spacing w:after="0" w:line="8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February 2019, we completed our acquisition of Loxo for $235 per share or approximately $6.9 billion, which was funded through a mixture of cash and debt. See Note 3 to the consolidated financial statements for additional information.</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2019, total debt was $15.32 billion, an increase of $5.02 billion compared with $10.30 billion at December 31, 2018. The increase primarily related to the net proceeds of $4.45 billion from the issuance of senior notes in February 2019. The proceeds from these notes were used to repay commercial paper that was issued in connection with the acquisition of Loxo and for general corporate purposes. See Note 11 to the consolidated financial statements for additional details.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2019, we had a total of $5.21 billion of unused committed bank credit facilities, $5.00 billion of which is available to support our commercial paper program. See Note 11 to the consolidated financial statements for additional details. We believe that amounts accessible through existing commercial paper markets should be adequate to fund any short-term borrowing needs.</w:t>
      </w:r>
    </w:p>
    <w:p>
      <w:pPr>
        <w:spacing w:after="0" w:line="20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 134</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consecutive year, we distributed dividends to our shareholders. Dividends of $2.58 per share and $ 2.25 per share were paid in 2019 and 2018, respectively. In the fourth quarter of 2019, effective for the dividend to be paid in the first quarter of 2020, the quarterly dividend was increased to $0.74 per share, resulting in an indicated annual rate for 2020 of $2.96 per share.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of $1.03 billion during 2019, compared to $1.21 billion in 2018.</w:t>
      </w: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2019, we repurchased $4.40 billion of shares under our $8.00 billion share repurchase program authorized in June 2018. As of December 31, 2019, we had $1.50 billion remaining under this program. See Note 13 to the consolidated financial statements for additional details.</w:t>
      </w:r>
    </w:p>
    <w:p>
      <w:pPr>
        <w:spacing w:after="0" w:line="20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which resulted in a reduction in shares of our common stock outstanding by approximately 65 million as of that date.</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January 2020, we announced an agreement to acquire Dermira, Inc. for $18.75 per share, or approximately $1.1 billion. The acquisition will be funded through cash on hand and the issuance of commercial paper. See Note 3 to the consolidated financial statements for additional information.</w:t>
      </w:r>
    </w:p>
    <w:p>
      <w:pPr>
        <w:spacing w:after="0" w:line="9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See "Results of Operations - Executive Overview - Other Matters - Patent Matters" for information regarding recent and upcoming losses of patent protection.</w:t>
      </w:r>
    </w:p>
    <w:p>
      <w:pPr>
        <w:spacing w:after="0" w:line="8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We believe cash provided by operating activities, along with available cash and cash equivalents, should be sufficient to fund our normal operating needs, including installment payments of the Toll Tax, dividends paid to shareholders, share repurchases, and capital expenditures.</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and various international government funding levels.</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normal course of business, our operations are exposed to fluctuations in interest rates and currency values. These fluctuations can vary the costs of financing, investing, and operating. We seek to address a portion of these risks through a controlled program of risk management that includes the use of derivative financial instruments. The objective of this risk management program is to limit the impact on earnings of fluctuations in interest and currency exchange rates. All derivative activities are for purposes other than trading.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44</w:t>
      </w:r>
    </w:p>
    <w:p>
      <w:pPr>
        <w:sectPr>
          <w:pgSz w:w="11900" w:h="16838" w:orient="portrait"/>
          <w:cols w:equalWidth="0" w:num="1">
            <w:col w:w="11400"/>
          </w:cols>
          <w:pgMar w:left="240" w:top="549" w:right="259" w:bottom="1440" w:gutter="0" w:footer="0" w:header="0"/>
        </w:sectPr>
      </w:pPr>
    </w:p>
    <w:bookmarkStart w:id="44" w:name="page45"/>
    <w:bookmarkEnd w:id="44"/>
    <w:p>
      <w:pPr>
        <w:ind w:right="160"/>
        <w:spacing w:after="0" w:line="252"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 rate exposures, we strive to achieve an acceptable balance between fixed and floating rate debt positions and may enter into interest rate derivatives to help maintain that balance. Based on our overall interest rate exposure at December 31, 2019 and 2018, including derivatives and other interest rate risk-sensitive instruments, a hypothetical 10 percent change in interest rates applied to the fair value of the instruments as of December 31, 2019 and 2018, respectively, would not have a material impact on earnings, cash flows, or fair values of interest rate risk-sensitive instruments over a one-year period.</w:t>
      </w:r>
    </w:p>
    <w:p>
      <w:pPr>
        <w:spacing w:after="0" w:line="1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and Japanese yen.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may enter into foreign currency forward or option derivative contracts to reduce the effect of fluctuating currency exchange rates (principally the euro and the Japanese yen).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2019 and 2018,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product in the event that regulatory approval for marketing is obtained. Because of the contingent nature of these payments, they are not included in the table of contractual obligations below.</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Individually, these arrangements are generally not material in any one annual reporting period. However, if milestones for multiple products covered by these arrangements were reached in the same reporting period, the aggregate charge to expense or aggregate milestone payments made could be material to our results of operations or cash flows, respectively, in that period. See Note 4 to the consolidated financial statements for additional details. These arrangements often give us the discretion to unilaterally terminate development of the product, which would allow us to avoid making the contingent payments; however, we are unlikely to cease development if the compound successfully achieves milestone objectives. We also note that, from a business perspective, we view these payments as positive because they signify that the product is successfully moving through development and is now generating or is more likely to generate cash flows from sales of products.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45</w:t>
      </w:r>
    </w:p>
    <w:p>
      <w:pPr>
        <w:sectPr>
          <w:pgSz w:w="11900" w:h="16838" w:orient="portrait"/>
          <w:cols w:equalWidth="0" w:num="1">
            <w:col w:w="11420"/>
          </w:cols>
          <w:pgMar w:left="240" w:top="67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Our current noncancelable contractual obligations that will require future cash payments were as follows as of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Payments Due by Period</w:t>
            </w: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75"/>
        </w:trPr>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Arial" w:cs="Arial" w:eastAsia="Arial" w:hAnsi="Arial"/>
                <w:sz w:val="14"/>
                <w:szCs w:val="14"/>
                <w:b w:val="1"/>
                <w:bCs w:val="1"/>
                <w:color w:val="auto"/>
              </w:rPr>
              <w:t>Less Than</w:t>
            </w:r>
          </w:p>
        </w:tc>
        <w:tc>
          <w:tcPr>
            <w:tcW w:w="48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1-3</w:t>
            </w:r>
          </w:p>
        </w:tc>
        <w:tc>
          <w:tcPr>
            <w:tcW w:w="36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15"/>
                <w:szCs w:val="15"/>
                <w:color w:val="auto"/>
              </w:rPr>
            </w:pPr>
          </w:p>
        </w:tc>
        <w:tc>
          <w:tcPr>
            <w:tcW w:w="1060" w:type="dxa"/>
            <w:vAlign w:val="bottom"/>
          </w:tcPr>
          <w:p>
            <w:pPr>
              <w:jc w:val="right"/>
              <w:ind w:right="174"/>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 Year</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Years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5 Years</w:t>
            </w:r>
          </w:p>
        </w:tc>
      </w:tr>
      <w:tr>
        <w:trPr>
          <w:trHeight w:val="270"/>
        </w:trPr>
        <w:tc>
          <w:tcPr>
            <w:tcW w:w="470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Long-term debt, including interest payments</w:t>
            </w:r>
            <w:r>
              <w:rPr>
                <w:rFonts w:ascii="Arial" w:cs="Arial" w:eastAsia="Arial" w:hAnsi="Arial"/>
                <w:sz w:val="21"/>
                <w:szCs w:val="21"/>
                <w:color w:val="auto"/>
                <w:vertAlign w:val="superscript"/>
              </w:rPr>
              <w:t>(1)</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20,934.9</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382.2</w:t>
            </w:r>
          </w:p>
        </w:tc>
        <w:tc>
          <w:tcPr>
            <w:tcW w:w="48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2,173.8</w:t>
            </w:r>
          </w:p>
        </w:tc>
        <w:tc>
          <w:tcPr>
            <w:tcW w:w="3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1,381.3</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16,997.6</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Finance lease obligations</w:t>
            </w:r>
          </w:p>
        </w:tc>
        <w:tc>
          <w:tcPr>
            <w:tcW w:w="2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470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D8D8D8"/>
          </w:tcPr>
          <w:p>
            <w:pPr>
              <w:spacing w:after="0"/>
              <w:rPr>
                <w:sz w:val="24"/>
                <w:szCs w:val="24"/>
                <w:color w:val="auto"/>
              </w:rPr>
            </w:pPr>
          </w:p>
        </w:tc>
        <w:tc>
          <w:tcPr>
            <w:tcW w:w="9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720.4</w:t>
            </w:r>
          </w:p>
        </w:tc>
        <w:tc>
          <w:tcPr>
            <w:tcW w:w="30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138.1</w:t>
            </w:r>
          </w:p>
        </w:tc>
        <w:tc>
          <w:tcPr>
            <w:tcW w:w="4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193.3</w:t>
            </w:r>
          </w:p>
        </w:tc>
        <w:tc>
          <w:tcPr>
            <w:tcW w:w="36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116.3</w:t>
            </w:r>
          </w:p>
        </w:tc>
        <w:tc>
          <w:tcPr>
            <w:tcW w:w="2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272.7</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15,897.1</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15,452.8</w:t>
            </w:r>
          </w:p>
        </w:tc>
        <w:tc>
          <w:tcPr>
            <w:tcW w:w="4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239.6</w:t>
            </w:r>
          </w:p>
        </w:tc>
        <w:tc>
          <w:tcPr>
            <w:tcW w:w="36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204.7</w:t>
            </w:r>
          </w:p>
        </w:tc>
        <w:tc>
          <w:tcPr>
            <w:tcW w:w="28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D8D8D8"/>
          </w:tcPr>
          <w:p>
            <w:pPr>
              <w:ind w:left="40"/>
              <w:spacing w:after="0"/>
              <w:rPr>
                <w:sz w:val="20"/>
                <w:szCs w:val="20"/>
                <w:color w:val="auto"/>
              </w:rPr>
            </w:pPr>
            <w:r>
              <w:rPr>
                <w:rFonts w:ascii="Arial" w:cs="Arial" w:eastAsia="Arial" w:hAnsi="Arial"/>
                <w:sz w:val="18"/>
                <w:szCs w:val="18"/>
                <w:color w:val="auto"/>
              </w:rPr>
              <w:t>2017 Tax Act Toll Tax</w:t>
            </w:r>
            <w:r>
              <w:rPr>
                <w:rFonts w:ascii="Arial" w:cs="Arial" w:eastAsia="Arial" w:hAnsi="Arial"/>
                <w:sz w:val="21"/>
                <w:szCs w:val="21"/>
                <w:color w:val="auto"/>
                <w:vertAlign w:val="superscript"/>
              </w:rPr>
              <w:t>(3)</w:t>
            </w:r>
          </w:p>
        </w:tc>
        <w:tc>
          <w:tcPr>
            <w:tcW w:w="28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2,630.0</w:t>
            </w:r>
          </w:p>
        </w:tc>
        <w:tc>
          <w:tcPr>
            <w:tcW w:w="3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225.3</w:t>
            </w:r>
          </w:p>
        </w:tc>
        <w:tc>
          <w:tcPr>
            <w:tcW w:w="4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507.4</w:t>
            </w:r>
          </w:p>
        </w:tc>
        <w:tc>
          <w:tcPr>
            <w:tcW w:w="36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1,109.9</w:t>
            </w:r>
          </w:p>
        </w:tc>
        <w:tc>
          <w:tcPr>
            <w:tcW w:w="2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787.4</w:t>
            </w:r>
          </w:p>
        </w:tc>
      </w:tr>
      <w:tr>
        <w:trPr>
          <w:trHeight w:val="270"/>
        </w:trPr>
        <w:tc>
          <w:tcPr>
            <w:tcW w:w="47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long-term liabilities reflected on our balance sheet</w:t>
            </w:r>
            <w:r>
              <w:rPr>
                <w:rFonts w:ascii="Arial" w:cs="Arial" w:eastAsia="Arial" w:hAnsi="Arial"/>
                <w:sz w:val="21"/>
                <w:szCs w:val="21"/>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1,800.1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421.2</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193.8</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1,185.1</w:t>
            </w:r>
          </w:p>
        </w:tc>
      </w:tr>
      <w:tr>
        <w:trPr>
          <w:trHeight w:val="271"/>
        </w:trPr>
        <w:tc>
          <w:tcPr>
            <w:tcW w:w="4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42,001.5</w:t>
            </w:r>
          </w:p>
        </w:tc>
        <w:tc>
          <w:tcPr>
            <w:tcW w:w="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16,205.4</w:t>
            </w:r>
          </w:p>
        </w:tc>
        <w:tc>
          <w:tcPr>
            <w:tcW w:w="48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3,544.1</w:t>
            </w:r>
          </w:p>
        </w:tc>
        <w:tc>
          <w:tcPr>
            <w:tcW w:w="3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3,009.2</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19,242.8</w:t>
            </w:r>
          </w:p>
        </w:tc>
      </w:tr>
    </w:tbl>
    <w:p>
      <w:pPr>
        <w:spacing w:after="0" w:line="113" w:lineRule="exact"/>
        <w:rPr>
          <w:sz w:val="20"/>
          <w:szCs w:val="20"/>
          <w:color w:val="auto"/>
        </w:rPr>
      </w:pPr>
    </w:p>
    <w:p>
      <w:pPr>
        <w:ind w:left="180" w:right="60" w:hanging="172"/>
        <w:spacing w:after="0" w:line="225" w:lineRule="auto"/>
        <w:tabs>
          <w:tab w:leader="none" w:pos="153" w:val="left"/>
        </w:tabs>
        <w:numPr>
          <w:ilvl w:val="0"/>
          <w:numId w:val="39"/>
        </w:numPr>
        <w:rPr>
          <w:rFonts w:ascii="Arial" w:cs="Arial" w:eastAsia="Arial" w:hAnsi="Arial"/>
          <w:sz w:val="17"/>
          <w:szCs w:val="17"/>
          <w:color w:val="auto"/>
          <w:vertAlign w:val="superscript"/>
        </w:rPr>
      </w:pPr>
      <w:r>
        <w:rPr>
          <w:rFonts w:ascii="Arial" w:cs="Arial" w:eastAsia="Arial" w:hAnsi="Arial"/>
          <w:sz w:val="14"/>
          <w:szCs w:val="14"/>
          <w:color w:val="auto"/>
        </w:rPr>
        <w:t>Our long-term debt obligations include both our expected principal and interest obligations and our interest rate swaps. We used the interest rate forward curve at December 31, 2019, to compute the amount of the contractual obligation for interest on the variable rate debt instruments and swaps.</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39"/>
        </w:numPr>
        <w:rPr>
          <w:rFonts w:ascii="Arial" w:cs="Arial" w:eastAsia="Arial" w:hAnsi="Arial"/>
          <w:sz w:val="16"/>
          <w:szCs w:val="16"/>
          <w:color w:val="auto"/>
          <w:vertAlign w:val="superscript"/>
        </w:rPr>
      </w:pPr>
      <w:r>
        <w:rPr>
          <w:rFonts w:ascii="Arial" w:cs="Arial" w:eastAsia="Arial" w:hAnsi="Arial"/>
          <w:sz w:val="13"/>
          <w:szCs w:val="13"/>
          <w:color w:val="auto"/>
        </w:rPr>
        <w:t>We have included the following:</w:t>
      </w:r>
    </w:p>
    <w:p>
      <w:pPr>
        <w:spacing w:after="0" w:line="97" w:lineRule="exact"/>
        <w:rPr>
          <w:rFonts w:ascii="Arial" w:cs="Arial" w:eastAsia="Arial" w:hAnsi="Arial"/>
          <w:sz w:val="16"/>
          <w:szCs w:val="16"/>
          <w:color w:val="auto"/>
          <w:vertAlign w:val="superscript"/>
        </w:rPr>
      </w:pPr>
    </w:p>
    <w:p>
      <w:pPr>
        <w:ind w:left="820" w:right="360" w:hanging="326"/>
        <w:spacing w:after="0" w:line="258" w:lineRule="auto"/>
        <w:tabs>
          <w:tab w:leader="none" w:pos="8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Purchase obligations consisting primarily of all open purchase orders as of December 31, 2019. Some of these purchase orders may be cancelable; however, for purposes of this disclosure, we have not distinguished between cancelable and noncancelable purchase obligations.</w:t>
      </w:r>
    </w:p>
    <w:p>
      <w:pPr>
        <w:spacing w:after="0" w:line="86" w:lineRule="exact"/>
        <w:rPr>
          <w:rFonts w:ascii="Arial" w:cs="Arial" w:eastAsia="Arial" w:hAnsi="Arial"/>
          <w:sz w:val="14"/>
          <w:szCs w:val="14"/>
          <w:color w:val="auto"/>
        </w:rPr>
      </w:pPr>
    </w:p>
    <w:p>
      <w:pPr>
        <w:ind w:left="820" w:hanging="326"/>
        <w:spacing w:after="0"/>
        <w:tabs>
          <w:tab w:leader="none" w:pos="8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Contractual payment obligations with each of our significant vendors, which are noncancelable and are not contingent.</w:t>
      </w:r>
    </w:p>
    <w:p>
      <w:pPr>
        <w:spacing w:after="0" w:line="109" w:lineRule="exact"/>
        <w:rPr>
          <w:rFonts w:ascii="Arial" w:cs="Arial" w:eastAsia="Arial" w:hAnsi="Arial"/>
          <w:sz w:val="14"/>
          <w:szCs w:val="14"/>
          <w:color w:val="auto"/>
        </w:rPr>
      </w:pPr>
    </w:p>
    <w:p>
      <w:pPr>
        <w:ind w:left="180" w:right="380" w:hanging="172"/>
        <w:spacing w:after="0" w:line="225" w:lineRule="auto"/>
        <w:tabs>
          <w:tab w:leader="none" w:pos="153" w:val="left"/>
        </w:tabs>
        <w:numPr>
          <w:ilvl w:val="0"/>
          <w:numId w:val="39"/>
        </w:numPr>
        <w:rPr>
          <w:rFonts w:ascii="Arial" w:cs="Arial" w:eastAsia="Arial" w:hAnsi="Arial"/>
          <w:sz w:val="17"/>
          <w:szCs w:val="17"/>
          <w:color w:val="auto"/>
          <w:vertAlign w:val="superscript"/>
        </w:rPr>
      </w:pPr>
      <w:r>
        <w:rPr>
          <w:rFonts w:ascii="Arial" w:cs="Arial" w:eastAsia="Arial" w:hAnsi="Arial"/>
          <w:sz w:val="14"/>
          <w:szCs w:val="14"/>
          <w:color w:val="auto"/>
        </w:rPr>
        <w:t>The 2017 Tax Act provided an election to taxpayers subject to the Toll Tax to make payments over an eight-year period. We made this election; therefore, we have included future Toll Tax payments accordingly.</w:t>
      </w:r>
    </w:p>
    <w:p>
      <w:pPr>
        <w:spacing w:after="0" w:line="97" w:lineRule="exact"/>
        <w:rPr>
          <w:rFonts w:ascii="Arial" w:cs="Arial" w:eastAsia="Arial" w:hAnsi="Arial"/>
          <w:sz w:val="17"/>
          <w:szCs w:val="17"/>
          <w:color w:val="auto"/>
          <w:vertAlign w:val="superscript"/>
        </w:rPr>
      </w:pPr>
    </w:p>
    <w:p>
      <w:pPr>
        <w:ind w:left="180" w:right="420" w:hanging="172"/>
        <w:spacing w:after="0" w:line="225" w:lineRule="auto"/>
        <w:tabs>
          <w:tab w:leader="none" w:pos="153" w:val="left"/>
        </w:tabs>
        <w:numPr>
          <w:ilvl w:val="0"/>
          <w:numId w:val="39"/>
        </w:numPr>
        <w:rPr>
          <w:rFonts w:ascii="Arial" w:cs="Arial" w:eastAsia="Arial" w:hAnsi="Arial"/>
          <w:sz w:val="17"/>
          <w:szCs w:val="17"/>
          <w:color w:val="auto"/>
          <w:vertAlign w:val="superscript"/>
        </w:rPr>
      </w:pPr>
      <w:r>
        <w:rPr>
          <w:rFonts w:ascii="Arial" w:cs="Arial" w:eastAsia="Arial" w:hAnsi="Arial"/>
          <w:sz w:val="14"/>
          <w:szCs w:val="14"/>
          <w:color w:val="auto"/>
        </w:rPr>
        <w:t>We have included long-term liabilities consisting primarily of our nonqualified supplemental pension funding requirements and other post-employment benefit liabilities. We excluded long-term income taxes payable of $1.20 billion, because we cannot reasonably estimate the timing of future cash outflows associated with those liabilities.</w:t>
      </w:r>
    </w:p>
    <w:p>
      <w:pPr>
        <w:spacing w:after="0" w:line="9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contractual obligations table is as of December 31, 2019. We expect the amount of these obligations to change materially over time as new contracts are initiated and existing contracts are completed, terminated, or modified.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APPLICATION OF CRITICAL ACCOUNTING ESTIMATES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(GAAP),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Our most critical accounting estimates have been discussed with our audit committee and are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Revenue Recognition and Sales Return, Rebate, and Discount Accruals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For product sales to customers, provisions for returns, rebate and discounts are established in the same period the related product sales are recognized. To determine the appropriate transaction price for our product sales at the time we recognize a sale to a direct customer, we estimate any rebates or discounts that ultimately will be due to the direct customer and other customers in the distribution chain under the terms of our contracts. Significant judgments are required in making these estimates. The largest of our sales rebate and discount amounts are rebates associated with sales covered by managed care, Medicare, Medicaid, and chargeback contracts in the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46</w:t>
      </w:r>
    </w:p>
    <w:p>
      <w:pPr>
        <w:sectPr>
          <w:pgSz w:w="11900" w:h="16838" w:orient="portrait"/>
          <w:cols w:equalWidth="0" w:num="1">
            <w:col w:w="11400"/>
          </w:cols>
          <w:pgMar w:left="240" w:top="679" w:right="259" w:bottom="1440" w:gutter="0" w:footer="0" w:header="0"/>
        </w:sectPr>
      </w:pPr>
    </w:p>
    <w:bookmarkStart w:id="46" w:name="page47"/>
    <w:bookmarkEnd w:id="46"/>
    <w:p>
      <w:pPr>
        <w:ind w:right="260"/>
        <w:spacing w:after="0" w:line="262" w:lineRule="auto"/>
        <w:rPr>
          <w:sz w:val="20"/>
          <w:szCs w:val="20"/>
          <w:color w:val="auto"/>
        </w:rPr>
      </w:pPr>
      <w:r>
        <w:rPr>
          <w:rFonts w:ascii="Arial" w:cs="Arial" w:eastAsia="Arial" w:hAnsi="Arial"/>
          <w:sz w:val="18"/>
          <w:szCs w:val="18"/>
          <w:color w:val="auto"/>
        </w:rPr>
        <w:t>Refer to Note 2 to the consolidated financial statements for further information on revenue recognition and sales return, rebate, and discount accruals.</w:t>
      </w:r>
    </w:p>
    <w:p>
      <w:pPr>
        <w:spacing w:after="0" w:line="8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Revenue recognized from collaborations and other arrangements will include our share of profits from the collaboration, as well as royalties, upfront and milestone payments we receive under these types of contracts.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global rebate and discount liabilities are included in sales rebates and discounts on our consolidated balance sheet. Our global sales return liability is included in other current liabilities and other noncurrent liabilities on our consolidated balance sheet. As of December 31, 2019, a 5 percent change in our global sales return, rebate, and discount liability would have led to an approximate $270 million effect on our income before income taxes.</w:t>
      </w:r>
    </w:p>
    <w:p>
      <w:pPr>
        <w:spacing w:after="0" w:line="9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portion of our global sales return, rebate, and discount liability resulting from sales of our products in the U.S. was approximately 90 percent as of December 31, 2019 and 2018.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 roll-forward of our most significant U.S. sales return, rebate, and discount liability balances, including managed 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Medicare, and Medicaid: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70"/>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Sales return, rebate, and discount liabilities, beginning of year</w:t>
            </w:r>
          </w:p>
        </w:tc>
        <w:tc>
          <w:tcPr>
            <w:tcW w:w="26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4,670.9</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4,134.0</w:t>
            </w:r>
          </w:p>
        </w:tc>
      </w:tr>
      <w:tr>
        <w:trPr>
          <w:trHeight w:val="270"/>
        </w:trPr>
        <w:tc>
          <w:tcPr>
            <w:tcW w:w="8780" w:type="dxa"/>
            <w:vAlign w:val="bottom"/>
          </w:tcPr>
          <w:p>
            <w:pPr>
              <w:ind w:left="280"/>
              <w:spacing w:after="0"/>
              <w:rPr>
                <w:sz w:val="20"/>
                <w:szCs w:val="20"/>
                <w:color w:val="auto"/>
              </w:rPr>
            </w:pPr>
            <w:r>
              <w:rPr>
                <w:rFonts w:ascii="Arial" w:cs="Arial" w:eastAsia="Arial" w:hAnsi="Arial"/>
                <w:sz w:val="18"/>
                <w:szCs w:val="18"/>
                <w:color w:val="auto"/>
              </w:rPr>
              <w:t>Reduction of net sales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b w:val="1"/>
                <w:bCs w:val="1"/>
                <w:color w:val="auto"/>
              </w:rPr>
              <w:t>15,490.2</w:t>
            </w:r>
          </w:p>
        </w:tc>
        <w:tc>
          <w:tcPr>
            <w:tcW w:w="34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13,424.9</w:t>
            </w:r>
          </w:p>
        </w:tc>
      </w:tr>
      <w:tr>
        <w:trPr>
          <w:trHeight w:val="270"/>
        </w:trPr>
        <w:tc>
          <w:tcPr>
            <w:tcW w:w="87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Cash payments</w:t>
            </w:r>
          </w:p>
        </w:tc>
        <w:tc>
          <w:tcPr>
            <w:tcW w:w="26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(15,525.6)</w:t>
            </w:r>
          </w:p>
        </w:tc>
        <w:tc>
          <w:tcPr>
            <w:tcW w:w="34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(12,888.0)</w:t>
            </w:r>
          </w:p>
        </w:tc>
      </w:tr>
      <w:tr>
        <w:trPr>
          <w:trHeight w:val="271"/>
        </w:trPr>
        <w:tc>
          <w:tcPr>
            <w:tcW w:w="8780" w:type="dxa"/>
            <w:vAlign w:val="bottom"/>
          </w:tcPr>
          <w:p>
            <w:pPr>
              <w:ind w:left="40"/>
              <w:spacing w:after="0"/>
              <w:rPr>
                <w:sz w:val="20"/>
                <w:szCs w:val="20"/>
                <w:color w:val="auto"/>
              </w:rPr>
            </w:pPr>
            <w:r>
              <w:rPr>
                <w:rFonts w:ascii="Arial" w:cs="Arial" w:eastAsia="Arial" w:hAnsi="Arial"/>
                <w:sz w:val="18"/>
                <w:szCs w:val="18"/>
                <w:color w:val="auto"/>
              </w:rPr>
              <w:t>Sales return, rebate, and discount liabilities, end of year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4,635.5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4,670.9</w:t>
            </w:r>
          </w:p>
        </w:tc>
      </w:tr>
    </w:tbl>
    <w:p>
      <w:pPr>
        <w:spacing w:after="0" w:line="47"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3"/>
          <w:szCs w:val="13"/>
          <w:color w:val="auto"/>
        </w:rPr>
        <w:t>Adjustments of the estimates for these returns, rebates, and discounts to actual results were approximately 1 percent of consolidated net sales for each of the years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 Litigation Liabilities and Other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Product litigation liabilities and other contingencies are, by their nature, uncertain and based upon complex judgments and probabilities. The factors we consider in developing our product litigation liability reserves and other contingent liability amounts include the merits and jurisdiction of the litigation, the nature and the number of other similar current and past matters, the nature of the product and the current assessment of the science subject to the litigation, and the likelihood of settlement and current state of settlement discussions, if any. In addition, we accrue for certain product liability claims incurred, but not filed, to the extent we can formulate a reasonable estimate of their costs based primarily on historical claims experience and data regarding product usage. We accrue legal defense costs expected to be incurred in connection with significant product liability contingencies when both probable and reasonably estimable.</w:t>
      </w:r>
    </w:p>
    <w:p>
      <w:pPr>
        <w:spacing w:after="0" w:line="9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product liability insurance, we are self-insured for product liability losses for all our currently marketed products. In addition to insurance coverage, we consider any third-party indemnification to which we are entitled or under which we are obligated. With respect to our third-party indemnification rights, these considerations include the nature of the indemnification, the financial condition of the indemnifying party, and the possibility of and length of time for collection.</w:t>
      </w:r>
    </w:p>
    <w:p>
      <w:pPr>
        <w:spacing w:after="0" w:line="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have been reflected on a gross basis as liabilities and assets, respectively, on our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47</w:t>
      </w:r>
    </w:p>
    <w:p>
      <w:pPr>
        <w:sectPr>
          <w:pgSz w:w="11900" w:h="16838" w:orient="portrait"/>
          <w:cols w:equalWidth="0" w:num="1">
            <w:col w:w="11420"/>
          </w:cols>
          <w:pgMar w:left="240" w:top="679" w:right="239" w:bottom="1440" w:gutter="0" w:footer="0" w:header="0"/>
        </w:sectPr>
      </w:pPr>
    </w:p>
    <w:bookmarkStart w:id="47" w:name="page48"/>
    <w:bookmarkEnd w:id="47"/>
    <w:p>
      <w:pPr>
        <w:ind w:right="120"/>
        <w:spacing w:after="0" w:line="252"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expense at the acquisition date, and goodwill is not recorded. Refer to Note 3 to the consolidated financial statements for additional information.</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estimates and assumptions that are deemed reasonable by management. Significant estimates and assumptions include, but are not limited to, probability of technical success, revenue growth and discount rate. Depending on the facts and circumstances, we may deem it necessary to engage an independent valuation expert to assist in valuing significant assets and liabilities.</w:t>
      </w:r>
    </w:p>
    <w:p>
      <w:pPr>
        <w:spacing w:after="0" w:line="10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fair values of identifiable intangible assets are primarily determined using an "income method," as described in Note 8 to the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Impairment of Indefinite-Lived and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on a periodic basis and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Goodwill and indefinite-lived intangible assets are reviewed for impairment at least annually, or more frequently if impairment indicators are present, by first assessing qualitative factors to determine whether it is more likely than not that the fair value of the intangible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w:t>
      </w:r>
    </w:p>
    <w:p>
      <w:pPr>
        <w:spacing w:after="0" w:line="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as described in Note 8 to the consolidated financial statements.</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“Results of Operations - Executive Overview - Late-Stage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96" w:lineRule="exact"/>
        <w:rPr>
          <w:sz w:val="20"/>
          <w:szCs w:val="20"/>
          <w:color w:val="auto"/>
        </w:rPr>
      </w:pPr>
    </w:p>
    <w:p>
      <w:pPr>
        <w:ind w:right="1100"/>
        <w:spacing w:after="0" w:line="262"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Retirement Benefits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expected return on plan assets, and retirement age. These assumptions have a significant effect on the amounts reported. In addition to the analysis below, see Note 15 to the consolidated financial statements for additional information regarding our retirement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w:t>
      </w:r>
    </w:p>
    <w:p>
      <w:pPr>
        <w:sectPr>
          <w:pgSz w:w="11900" w:h="16838" w:orient="portrait"/>
          <w:cols w:equalWidth="0" w:num="1">
            <w:col w:w="11400"/>
          </w:cols>
          <w:pgMar w:left="240" w:top="679" w:right="259" w:bottom="1440" w:gutter="0" w:footer="0" w:header="0"/>
        </w:sectPr>
      </w:pPr>
    </w:p>
    <w:bookmarkStart w:id="48" w:name="page49"/>
    <w:bookmarkEnd w:id="48"/>
    <w:p>
      <w:pPr>
        <w:ind w:right="20"/>
        <w:spacing w:after="0" w:line="252"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70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9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Annually, we determine the fair value of the plan assets in our defined benefit pension and retiree health benefit plans. Approximately 40 percent of our plan assets are in hedge funds and private equity-like investment funds (collectively, alternative assets). We value these alternative investments using significant unobservable inputs or using the net asset value reported by the counterparty, adjusted as necessary. Inputs include underlying net asset values, discounted cash flows valuations, comparable market valuations, and adjustments for currency, credit, liquidity and other risks.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the 2019 discount rate for the U.S. defined benefit pension and retiree health benefit plans (U.S. plans) were to change by a quarter percentage point, income before income taxes would change by $29.6 million. If the 2019 expected return on plan assets for U.S. plans were to change by a quarter percentage point, income before income taxes would change by $26.5 million. If our assumption regarding the 2019 expected age of future retirees for U.S. plans were adjusted by one year, our income before income taxes would be affected by $45.9 million. The U.S. plans, including Puerto Rico, represent approximately 75 percent and 80 percent of the total projected benefit obligation and total plan assets, respectively, at December 31, 2019.</w:t>
      </w:r>
    </w:p>
    <w:p>
      <w:pPr>
        <w:spacing w:after="0" w:line="10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Adjustments to the fair value of plan assets are not recognized in pension and retiree health benefit expense in the year that the adjustments occur. Such changes are deferred, along with other actuarial gains and losses, and are amortized into expense over the expected remaining service life of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prepare and file tax returns based upon our interpretation of tax laws and regulations and record estimates based upon these interpretations. In the normal course of business, our tax returns are subject to examination by various taxing authorities, which may result in future tax, interest, and penalty assessments. Inherent uncertainties exist in estimates of many tax positions due to changes in tax law resulting from legislation and regulation as concluded through the various jurisdictions’ tax court systems.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For example, adjustments could result from changes to existing tax law, the issuance of regulations by the taxing authorities, new information obtained during a tax examination, or resolution of a tax examination. We believe our estimates for uncertain tax positions are appropriate and sufficient to pay assessments that may result from examinations of our tax returns. We recognize both accrued interest and penalties related to unrecognized tax benefits in income tax expense.</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and tax credit carryforwards in certain taxing jurisdictions. In evaluating whether we would more likely than not recover these deferred tax assets, we have not assumed any future taxable income or tax planning strategies in the jurisdictions associated with these carryforwards where history does not support such an assumption. Implementation of tax planning strategies to recover these deferred tax assets or future income generation in these jurisdictions could lead to the reversal of these valuation allowances and a reduction of income tax expense.</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49</w:t>
      </w:r>
    </w:p>
    <w:p>
      <w:pPr>
        <w:sectPr>
          <w:pgSz w:w="11900" w:h="16838" w:orient="portrait"/>
          <w:cols w:equalWidth="0" w:num="1">
            <w:col w:w="11420"/>
          </w:cols>
          <w:pgMar w:left="240" w:top="67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December 31, 2019, a 5 percent change in the amount of uncertain tax positions and the valuation allowance would result in a change in net income of $76.5 million and $30.8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AND REGULATORY MATTERS</w:t>
      </w:r>
    </w:p>
    <w:p>
      <w:pPr>
        <w:spacing w:after="0" w:line="13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Information relating to certain legal proceedings can be found in Note 16 to the consolidated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EXPECTATIONS FOR 2020</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full year of 2020, we expect EPS to be in the range of $6.18 to $6.28, which includes the anticipated impact of the Dermira acquisition. We anticipate that total revenue will be between $23.7 billion and $24.2 billion. Revenue growth is expected to be driven by volume from Trulicity, Taltz, Basaglar, Jardiance, Verzenio, Cyramza, Olumiant, Emgality, Baqsimi, and the launch of Reyvow. Revenue growth is expected to be partially offset by lower revenue for products that have lost patent exclusivity, including the expected entry of generic competition for Forteo in the U.S. Revenue growth is also expected to be partially offset by a low-single digit net price decline in the U.S. driven primarily by rebates and legislated increases to Medicare Part D cost sharing, patient affordability programs, and net price declines in China, Japan and Europe.</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anticipate that gross margin as a percent of revenue will be approximately 79 percent in 2020. Research and development expenses are expected to be in the range of $5.6 billion to $5.9 billion. Marketing, selling, and administrative expenses are expected to be in the range of $6.2 billion to $6.4 billion. Other—net, (income) expense is expected to be expense in the range of $100 million to $250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2020 effective tax rate is expected to be approximately 15 percent.</w:t>
      </w:r>
    </w:p>
    <w:p>
      <w:pPr>
        <w:spacing w:after="0" w:line="8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7A.Quantitative and Qualitative Disclosures About Market Risk</w:t>
      </w:r>
    </w:p>
    <w:p>
      <w:pPr>
        <w:spacing w:after="0" w:line="19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You can find quantitative and qualitative disclosures about market risk (</w:t>
      </w:r>
      <w:r>
        <w:rPr>
          <w:rFonts w:ascii="Arial" w:cs="Arial" w:eastAsia="Arial" w:hAnsi="Arial"/>
          <w:sz w:val="18"/>
          <w:szCs w:val="18"/>
          <w:i w:val="1"/>
          <w:iCs w:val="1"/>
          <w:color w:val="auto"/>
        </w:rPr>
        <w:t>e.g.,</w:t>
      </w:r>
      <w:r>
        <w:rPr>
          <w:rFonts w:ascii="Arial" w:cs="Arial" w:eastAsia="Arial" w:hAnsi="Arial"/>
          <w:sz w:val="18"/>
          <w:szCs w:val="18"/>
          <w:color w:val="auto"/>
        </w:rPr>
        <w:t xml:space="preserve"> interest rate risk) at Item 7, “Management’s Discussion and Analysis - Financial Condition.” That information is incorporated in this report by reference.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w:t>
      </w:r>
    </w:p>
    <w:p>
      <w:pPr>
        <w:sectPr>
          <w:pgSz w:w="11900" w:h="16838" w:orient="portrait"/>
          <w:cols w:equalWidth="0" w:num="1">
            <w:col w:w="11320"/>
          </w:cols>
          <w:pgMar w:left="240" w:top="661" w:right="339" w:bottom="1440" w:gutter="0" w:footer="0" w:header="0"/>
        </w:sectPr>
      </w:pPr>
    </w:p>
    <w:bookmarkStart w:id="50" w:name="page51"/>
    <w:bookmarkEnd w:id="50"/>
    <w:p>
      <w:pPr>
        <w:ind w:right="2980"/>
        <w:spacing w:after="0" w:line="427" w:lineRule="auto"/>
        <w:rPr>
          <w:sz w:val="20"/>
          <w:szCs w:val="20"/>
          <w:color w:val="auto"/>
        </w:rPr>
      </w:pPr>
      <w:r>
        <w:rPr>
          <w:rFonts w:ascii="Arial" w:cs="Arial" w:eastAsia="Arial" w:hAnsi="Arial"/>
          <w:sz w:val="32"/>
          <w:szCs w:val="32"/>
          <w:b w:val="1"/>
          <w:bCs w:val="1"/>
          <w:i w:val="1"/>
          <w:iCs w:val="1"/>
          <w:color w:val="CC0000"/>
        </w:rPr>
        <w:t xml:space="preserve">Item 8. Financial Statements and Supplementary Data </w:t>
      </w:r>
      <w:r>
        <w:rPr>
          <w:rFonts w:ascii="Arial" w:cs="Arial" w:eastAsia="Arial" w:hAnsi="Arial"/>
          <w:sz w:val="32"/>
          <w:szCs w:val="32"/>
          <w:i w:val="1"/>
          <w:iCs w:val="1"/>
          <w:color w:val="CC0000"/>
        </w:rPr>
        <w:t>Consolidated Statements of Operations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millions and shares in thousands, except per-share</w:t>
            </w:r>
          </w:p>
        </w:tc>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454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2500" w:type="dxa"/>
            <w:vAlign w:val="bottom"/>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3" w:lineRule="exact"/>
        <w:rPr>
          <w:sz w:val="20"/>
          <w:szCs w:val="20"/>
          <w:color w:val="auto"/>
        </w:rPr>
      </w:pPr>
    </w:p>
    <w:p>
      <w:pPr>
        <w:ind w:left="180" w:right="1540"/>
        <w:spacing w:after="0" w:line="246" w:lineRule="auto"/>
        <w:rPr>
          <w:sz w:val="20"/>
          <w:szCs w:val="20"/>
          <w:color w:val="auto"/>
        </w:rPr>
      </w:pPr>
      <w:r>
        <w:rPr>
          <w:rFonts w:ascii="Arial" w:cs="Arial" w:eastAsia="Arial" w:hAnsi="Arial"/>
          <w:sz w:val="18"/>
          <w:szCs w:val="18"/>
          <w:color w:val="auto"/>
        </w:rPr>
        <w:t>Asset impairment, restructuring, and other special charges (Note 5)</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 from discontinued operations (Note 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from continuing operations - basic</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from discontinued operations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from continuing operations - diluted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from discontinued operations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(loss)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22,319.5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21,493.3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19,973.8</w:t>
            </w:r>
          </w:p>
        </w:tc>
      </w:tr>
      <w:tr>
        <w:trPr>
          <w:trHeight w:val="540"/>
        </w:trPr>
        <w:tc>
          <w:tcPr>
            <w:tcW w:w="3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4,721.2</w:t>
            </w:r>
          </w:p>
        </w:tc>
        <w:tc>
          <w:tcPr>
            <w:tcW w:w="4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4,681.7</w:t>
            </w:r>
          </w:p>
        </w:tc>
        <w:tc>
          <w:tcPr>
            <w:tcW w:w="4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4,447.7</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5,595.0</w:t>
            </w:r>
          </w:p>
        </w:tc>
        <w:tc>
          <w:tcPr>
            <w:tcW w:w="4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5,051.2</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5,096.2</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6,213.8</w:t>
            </w:r>
          </w:p>
        </w:tc>
        <w:tc>
          <w:tcPr>
            <w:tcW w:w="4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5,975.1</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5,982.4</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239.6</w:t>
            </w:r>
          </w:p>
        </w:tc>
        <w:tc>
          <w:tcPr>
            <w:tcW w:w="4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1,983.9</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1,112.6</w:t>
            </w:r>
          </w:p>
        </w:tc>
      </w:tr>
      <w:tr>
        <w:trPr>
          <w:trHeight w:val="459"/>
        </w:trPr>
        <w:tc>
          <w:tcPr>
            <w:tcW w:w="3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575.6</w:t>
            </w:r>
          </w:p>
        </w:tc>
        <w:tc>
          <w:tcPr>
            <w:tcW w:w="4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266.9</w:t>
            </w:r>
          </w:p>
        </w:tc>
        <w:tc>
          <w:tcPr>
            <w:tcW w:w="4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1,331.6</w:t>
            </w:r>
          </w:p>
        </w:tc>
      </w:tr>
      <w:tr>
        <w:trPr>
          <w:trHeight w:val="277"/>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(291.6)</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(145.6)</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r>
      <w:tr>
        <w:trPr>
          <w:trHeight w:val="264"/>
        </w:trPr>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17,053.6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17,813.2</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17,669.0</w:t>
            </w:r>
          </w:p>
        </w:tc>
      </w:tr>
      <w:tr>
        <w:trPr>
          <w:trHeight w:val="257"/>
        </w:trPr>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5,265.9</w:t>
            </w:r>
          </w:p>
        </w:tc>
        <w:tc>
          <w:tcPr>
            <w:tcW w:w="4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3,680.1</w:t>
            </w:r>
          </w:p>
        </w:tc>
        <w:tc>
          <w:tcPr>
            <w:tcW w:w="4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2,304.8</w:t>
            </w:r>
          </w:p>
        </w:tc>
      </w:tr>
      <w:tr>
        <w:trPr>
          <w:trHeight w:val="277"/>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628.0</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529.5</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2,391.2</w:t>
            </w:r>
          </w:p>
        </w:tc>
      </w:tr>
      <w:tr>
        <w:trPr>
          <w:trHeight w:val="257"/>
        </w:trPr>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4,637.9</w:t>
            </w:r>
          </w:p>
        </w:tc>
        <w:tc>
          <w:tcPr>
            <w:tcW w:w="4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3,150.6</w:t>
            </w: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77"/>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3,680.5</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81.4</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8,318.4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3,232.0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r>
      <w:tr>
        <w:trPr>
          <w:trHeight w:val="851"/>
        </w:trPr>
        <w:tc>
          <w:tcPr>
            <w:tcW w:w="3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4.98</w:t>
            </w:r>
          </w:p>
        </w:tc>
        <w:tc>
          <w:tcPr>
            <w:tcW w:w="4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3.07</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7"/>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3.95</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0.07</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8.93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r>
      <w:tr>
        <w:trPr>
          <w:trHeight w:val="554"/>
        </w:trPr>
        <w:tc>
          <w:tcPr>
            <w:tcW w:w="3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4.96</w:t>
            </w:r>
          </w:p>
        </w:tc>
        <w:tc>
          <w:tcPr>
            <w:tcW w:w="4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3.05</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7"/>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3.93</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0.08</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8.89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3.13</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r>
    </w:tbl>
    <w:p>
      <w:pPr>
        <w:spacing w:after="0" w:line="200" w:lineRule="exact"/>
        <w:rPr>
          <w:sz w:val="20"/>
          <w:szCs w:val="20"/>
          <w:color w:val="auto"/>
        </w:rPr>
      </w:pPr>
    </w:p>
    <w:p>
      <w:pPr>
        <w:sectPr>
          <w:pgSz w:w="11900" w:h="16838" w:orient="portrait"/>
          <w:cols w:equalWidth="0" w:num="2">
            <w:col w:w="6360" w:space="720"/>
            <w:col w:w="4340"/>
          </w:cols>
          <w:pgMar w:left="240" w:top="536" w:right="2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used in calculation of earnings (loss)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20" w:type="dxa"/>
            <w:vAlign w:val="bottom"/>
          </w:tcPr>
          <w:p>
            <w:pPr>
              <w:ind w:left="180"/>
              <w:spacing w:after="0"/>
              <w:rPr>
                <w:sz w:val="20"/>
                <w:szCs w:val="20"/>
                <w:color w:val="auto"/>
              </w:rPr>
            </w:pPr>
            <w:r>
              <w:rPr>
                <w:rFonts w:ascii="Arial" w:cs="Arial" w:eastAsia="Arial" w:hAnsi="Arial"/>
                <w:sz w:val="18"/>
                <w:szCs w:val="18"/>
                <w:color w:val="auto"/>
              </w:rPr>
              <w:t>Basic</w:t>
            </w:r>
          </w:p>
        </w:tc>
        <w:tc>
          <w:tcPr>
            <w:tcW w:w="4460" w:type="dxa"/>
            <w:vAlign w:val="bottom"/>
          </w:tcPr>
          <w:p>
            <w:pPr>
              <w:jc w:val="right"/>
              <w:ind w:right="250"/>
              <w:spacing w:after="0"/>
              <w:rPr>
                <w:sz w:val="20"/>
                <w:szCs w:val="20"/>
                <w:color w:val="auto"/>
              </w:rPr>
            </w:pPr>
            <w:r>
              <w:rPr>
                <w:rFonts w:ascii="Arial" w:cs="Arial" w:eastAsia="Arial" w:hAnsi="Arial"/>
                <w:sz w:val="18"/>
                <w:szCs w:val="18"/>
                <w:b w:val="1"/>
                <w:bCs w:val="1"/>
                <w:color w:val="auto"/>
              </w:rPr>
              <w:t>931,059</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1,027,721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1,052,023</w:t>
            </w:r>
          </w:p>
        </w:tc>
      </w:tr>
      <w:tr>
        <w:trPr>
          <w:trHeight w:val="277"/>
        </w:trPr>
        <w:tc>
          <w:tcPr>
            <w:tcW w:w="42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Diluted</w:t>
            </w:r>
          </w:p>
        </w:tc>
        <w:tc>
          <w:tcPr>
            <w:tcW w:w="4460" w:type="dxa"/>
            <w:vAlign w:val="bottom"/>
            <w:shd w:val="clear" w:color="auto" w:fill="D8D8D8"/>
          </w:tcPr>
          <w:p>
            <w:pPr>
              <w:jc w:val="right"/>
              <w:ind w:right="250"/>
              <w:spacing w:after="0"/>
              <w:rPr>
                <w:sz w:val="20"/>
                <w:szCs w:val="20"/>
                <w:color w:val="auto"/>
              </w:rPr>
            </w:pPr>
            <w:r>
              <w:rPr>
                <w:rFonts w:ascii="Arial" w:cs="Arial" w:eastAsia="Arial" w:hAnsi="Arial"/>
                <w:sz w:val="18"/>
                <w:szCs w:val="18"/>
                <w:b w:val="1"/>
                <w:bCs w:val="1"/>
                <w:color w:val="auto"/>
              </w:rPr>
              <w:t>935,684</w:t>
            </w:r>
          </w:p>
        </w:tc>
        <w:tc>
          <w:tcPr>
            <w:tcW w:w="148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1,033,667</w:t>
            </w:r>
          </w:p>
        </w:tc>
        <w:tc>
          <w:tcPr>
            <w:tcW w:w="12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1,052,023</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51</w:t>
      </w:r>
    </w:p>
    <w:p>
      <w:pPr>
        <w:sectPr>
          <w:pgSz w:w="11900" w:h="16838" w:orient="portrait"/>
          <w:cols w:equalWidth="0" w:num="1">
            <w:col w:w="11420"/>
          </w:cols>
          <w:pgMar w:left="240" w:top="536"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32"/>
          <w:szCs w:val="32"/>
          <w:i w:val="1"/>
          <w:iCs w:val="1"/>
          <w:color w:val="CC0000"/>
        </w:rPr>
        <w:t>Consolidated Statements of Comprehensive Income (Loss)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51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w:t>
            </w:r>
          </w:p>
        </w:tc>
        <w:tc>
          <w:tcPr>
            <w:tcW w:w="2240" w:type="dxa"/>
            <w:vAlign w:val="bottom"/>
            <w:shd w:val="clear" w:color="auto" w:fill="D8D8D8"/>
          </w:tcPr>
          <w:p>
            <w:pPr>
              <w:spacing w:after="0"/>
              <w:rPr>
                <w:sz w:val="23"/>
                <w:szCs w:val="23"/>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8,318.4</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3,232.0</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from continuing operations:</w:t>
            </w:r>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22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(89.9)</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(429.6)</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Change in net unrealized gains (losses) on securities</w:t>
            </w:r>
          </w:p>
        </w:tc>
        <w:tc>
          <w:tcPr>
            <w:tcW w:w="2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34.4</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77"/>
        </w:trPr>
        <w:tc>
          <w:tcPr>
            <w:tcW w:w="74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Change in defined benefit pension and retiree health benefit plans (Note 15)</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(970.0)</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544.0</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Change in effective portion of cash flow hedges</w:t>
            </w:r>
          </w:p>
        </w:tc>
        <w:tc>
          <w:tcPr>
            <w:tcW w:w="2240" w:type="dxa"/>
            <w:vAlign w:val="bottom"/>
            <w:tcBorders>
              <w:bottom w:val="single" w:sz="8" w:color="D8D8D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34.3</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0"/>
        </w:trPr>
        <w:tc>
          <w:tcPr>
            <w:tcW w:w="74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from continuing operations before income taxes</w:t>
            </w: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(991.2)</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99.6</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29"/>
        </w:trPr>
        <w:tc>
          <w:tcPr>
            <w:tcW w:w="7400" w:type="dxa"/>
            <w:vAlign w:val="bottom"/>
            <w:gridSpan w:val="2"/>
          </w:tcPr>
          <w:p>
            <w:pPr>
              <w:ind w:left="180"/>
              <w:spacing w:after="0"/>
              <w:rPr>
                <w:sz w:val="20"/>
                <w:szCs w:val="20"/>
                <w:color w:val="auto"/>
              </w:rPr>
            </w:pPr>
            <w:r>
              <w:rPr>
                <w:rFonts w:ascii="Arial" w:cs="Arial" w:eastAsia="Arial" w:hAnsi="Arial"/>
                <w:sz w:val="18"/>
                <w:szCs w:val="18"/>
                <w:color w:val="auto"/>
              </w:rPr>
              <w:t>Benefit (provision) for income taxes related to other comprehensive income (loss) from</w:t>
            </w:r>
          </w:p>
        </w:tc>
        <w:tc>
          <w:tcPr>
            <w:tcW w:w="300" w:type="dxa"/>
            <w:vAlign w:val="bottom"/>
          </w:tcPr>
          <w:p>
            <w:pPr>
              <w:spacing w:after="0"/>
              <w:rPr>
                <w:sz w:val="19"/>
                <w:szCs w:val="19"/>
                <w:color w:val="auto"/>
              </w:rPr>
            </w:pPr>
          </w:p>
        </w:tc>
        <w:tc>
          <w:tcPr>
            <w:tcW w:w="100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151.0</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D8D8D8"/>
            </w:tcBorders>
          </w:tcPr>
          <w:p>
            <w:pPr>
              <w:ind w:left="340"/>
              <w:spacing w:after="0"/>
              <w:rPr>
                <w:sz w:val="20"/>
                <w:szCs w:val="20"/>
                <w:color w:val="auto"/>
              </w:rPr>
            </w:pPr>
            <w:r>
              <w:rPr>
                <w:rFonts w:ascii="Arial" w:cs="Arial" w:eastAsia="Arial" w:hAnsi="Arial"/>
                <w:sz w:val="18"/>
                <w:szCs w:val="18"/>
                <w:color w:val="auto"/>
              </w:rPr>
              <w:t>continuing operations</w:t>
            </w:r>
          </w:p>
        </w:tc>
        <w:tc>
          <w:tcPr>
            <w:tcW w:w="2240" w:type="dxa"/>
            <w:vAlign w:val="bottom"/>
            <w:tcBorders>
              <w:bottom w:val="single" w:sz="8" w:color="D8D8D8"/>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70"/>
        </w:trPr>
        <w:tc>
          <w:tcPr>
            <w:tcW w:w="740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Other comprehensive income (loss) from continuing operations, net of tax (Note 17)</w:t>
            </w: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(840.2)</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69.3</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D8D8D8"/>
            </w:tcBorders>
            <w:gridSpan w:val="2"/>
          </w:tcPr>
          <w:p>
            <w:pPr>
              <w:ind w:left="40"/>
              <w:spacing w:after="0"/>
              <w:rPr>
                <w:sz w:val="20"/>
                <w:szCs w:val="20"/>
                <w:color w:val="auto"/>
              </w:rPr>
            </w:pPr>
            <w:r>
              <w:rPr>
                <w:rFonts w:ascii="Arial" w:cs="Arial" w:eastAsia="Arial" w:hAnsi="Arial"/>
                <w:sz w:val="18"/>
                <w:szCs w:val="18"/>
                <w:color w:val="auto"/>
              </w:rPr>
              <w:t>Other comprehensive income (loss) from discontinued operations, net of tax (Note 17)</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56.8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14.3</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0"/>
        </w:trPr>
        <w:tc>
          <w:tcPr>
            <w:tcW w:w="516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comprehensive income (loss), net of tax (Note 17)</w:t>
            </w:r>
          </w:p>
        </w:tc>
        <w:tc>
          <w:tcPr>
            <w:tcW w:w="2240" w:type="dxa"/>
            <w:vAlign w:val="bottom"/>
            <w:shd w:val="clear" w:color="auto" w:fill="D8D8D8"/>
          </w:tcPr>
          <w:p>
            <w:pPr>
              <w:spacing w:after="0"/>
              <w:rPr>
                <w:sz w:val="23"/>
                <w:szCs w:val="23"/>
                <w:color w:val="auto"/>
              </w:rPr>
            </w:pPr>
          </w:p>
        </w:tc>
        <w:tc>
          <w:tcPr>
            <w:tcW w:w="3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(783.4)</w:t>
            </w:r>
          </w:p>
        </w:tc>
        <w:tc>
          <w:tcPr>
            <w:tcW w:w="38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51"/>
              <w:spacing w:after="0"/>
              <w:rPr>
                <w:sz w:val="20"/>
                <w:szCs w:val="20"/>
                <w:color w:val="auto"/>
              </w:rPr>
            </w:pPr>
            <w:r>
              <w:rPr>
                <w:rFonts w:ascii="Arial" w:cs="Arial" w:eastAsia="Arial" w:hAnsi="Arial"/>
                <w:sz w:val="18"/>
                <w:szCs w:val="18"/>
                <w:color w:val="auto"/>
              </w:rPr>
              <w:t>83.6</w:t>
            </w:r>
          </w:p>
        </w:tc>
        <w:tc>
          <w:tcPr>
            <w:tcW w:w="38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1"/>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24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7,535.0</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3,315.6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w:t>
      </w:r>
    </w:p>
    <w:p>
      <w:pPr>
        <w:sectPr>
          <w:pgSz w:w="11900" w:h="16838" w:orient="portrait"/>
          <w:cols w:equalWidth="0" w:num="1">
            <w:col w:w="11420"/>
          </w:cols>
          <w:pgMar w:left="240" w:top="541" w:right="239" w:bottom="1440" w:gutter="0" w:footer="0" w:header="0"/>
        </w:sectPr>
      </w:pPr>
    </w:p>
    <w:bookmarkStart w:id="52" w:name="page53"/>
    <w:bookmarkEnd w:id="52"/>
    <w:p>
      <w:pPr>
        <w:spacing w:after="0" w:line="26" w:lineRule="exact"/>
        <w:rPr>
          <w:sz w:val="20"/>
          <w:szCs w:val="20"/>
          <w:color w:val="auto"/>
        </w:rPr>
      </w:pPr>
    </w:p>
    <w:p>
      <w:pPr>
        <w:spacing w:after="0"/>
        <w:rPr>
          <w:sz w:val="20"/>
          <w:szCs w:val="20"/>
          <w:color w:val="auto"/>
        </w:rPr>
      </w:pPr>
      <w:r>
        <w:rPr>
          <w:rFonts w:ascii="Arial" w:cs="Arial" w:eastAsia="Arial" w:hAnsi="Arial"/>
          <w:sz w:val="32"/>
          <w:szCs w:val="32"/>
          <w:i w:val="1"/>
          <w:iCs w:val="1"/>
          <w:color w:val="CC0000"/>
        </w:rPr>
        <w:t>Consolidated Balance Sheets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3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4"/>
                <w:szCs w:val="14"/>
                <w:b w:val="1"/>
                <w:bCs w:val="1"/>
                <w:color w:val="auto"/>
              </w:rPr>
              <w:t>(Dollars in millions, shares in thousands)</w:t>
            </w:r>
          </w:p>
        </w:tc>
        <w:tc>
          <w:tcPr>
            <w:tcW w:w="3400" w:type="dxa"/>
            <w:vAlign w:val="bottom"/>
          </w:tcPr>
          <w:p>
            <w:pPr>
              <w:ind w:left="206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65" w:orient="portrait"/>
          <w:cols w:equalWidth="0" w:num="1">
            <w:col w:w="11420"/>
          </w:cols>
          <w:pgMar w:left="240" w:top="704" w:right="239" w:bottom="0"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 (Note 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investments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$22.4 (2019)</w:t>
      </w:r>
      <w:r>
        <w:rPr>
          <w:rFonts w:ascii="Arial" w:cs="Arial" w:eastAsia="Arial" w:hAnsi="Arial"/>
          <w:sz w:val="18"/>
          <w:szCs w:val="18"/>
          <w:color w:val="auto"/>
        </w:rPr>
        <w:t xml:space="preserve"> and $24.1 (2018)</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(Note 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Current assets of discontinued operations (Note 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(Note 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intangibles, net (Note 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assets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 (Note 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assets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noncurrent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Noncurrent assets of discontinued operations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Liabilities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maturities of long-term debt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Sales rebates and discounts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taxes payable (Note 14)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Current liabilities of discontinued operations (Note 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Liabilities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Noncurrent operating lease liabilities (Note 10)</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retirement benefits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income taxes payable (Note 14)</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tax liabilities (Note 14)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Noncurrent liabilities of discontinued operations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liabilities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Commitments and Contingencies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Eli Lilly and Company Shareholders' Equity (Notes 12 and 13)</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stock—no par value</w:t>
      </w:r>
    </w:p>
    <w:p>
      <w:pPr>
        <w:ind w:left="280"/>
        <w:spacing w:after="0" w:line="234" w:lineRule="auto"/>
        <w:rPr>
          <w:sz w:val="20"/>
          <w:szCs w:val="20"/>
          <w:color w:val="auto"/>
        </w:rPr>
      </w:pPr>
      <w:r>
        <w:rPr>
          <w:rFonts w:ascii="Arial" w:cs="Arial" w:eastAsia="Arial" w:hAnsi="Arial"/>
          <w:sz w:val="18"/>
          <w:szCs w:val="18"/>
          <w:color w:val="auto"/>
        </w:rPr>
        <w:t>Authorized shares: 3,200,000</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958,056 (2019)</w:t>
      </w:r>
      <w:r>
        <w:rPr>
          <w:rFonts w:ascii="Arial" w:cs="Arial" w:eastAsia="Arial" w:hAnsi="Arial"/>
          <w:sz w:val="18"/>
          <w:szCs w:val="18"/>
          <w:color w:val="auto"/>
        </w:rPr>
        <w:t xml:space="preserve"> and 1,057,639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benefit trust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Accumulated other comprehensive loss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Cost of common stock in treasury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Eli Lilly and Company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40" w:val="left"/>
          <w:tab w:leader="none" w:pos="1480" w:val="left"/>
          <w:tab w:leader="none" w:pos="21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2,337.5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7,320.7</w:t>
      </w:r>
    </w:p>
    <w:p>
      <w:pPr>
        <w:spacing w:after="0" w:line="63" w:lineRule="exact"/>
        <w:rPr>
          <w:sz w:val="20"/>
          <w:szCs w:val="20"/>
          <w:color w:val="auto"/>
        </w:rPr>
      </w:pPr>
    </w:p>
    <w:p>
      <w:pPr>
        <w:ind w:left="820"/>
        <w:spacing w:after="0"/>
        <w:tabs>
          <w:tab w:leader="none" w:pos="238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8"/>
          <w:szCs w:val="18"/>
          <w:color w:val="auto"/>
        </w:rPr>
        <w:t>88.2</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4,547.3</w:t>
      </w:r>
      <w:r>
        <w:rPr>
          <w:sz w:val="20"/>
          <w:szCs w:val="20"/>
          <w:color w:val="auto"/>
        </w:rPr>
        <w:tab/>
      </w:r>
      <w:r>
        <w:rPr>
          <w:rFonts w:ascii="Arial" w:cs="Arial" w:eastAsia="Arial" w:hAnsi="Arial"/>
          <w:sz w:val="17"/>
          <w:szCs w:val="17"/>
          <w:color w:val="auto"/>
        </w:rPr>
        <w:t>4,593.9</w:t>
      </w:r>
    </w:p>
    <w:p>
      <w:pPr>
        <w:spacing w:after="0" w:line="63" w:lineRule="exact"/>
        <w:rPr>
          <w:sz w:val="20"/>
          <w:szCs w:val="20"/>
          <w:color w:val="auto"/>
        </w:rPr>
      </w:pPr>
    </w:p>
    <w:p>
      <w:pPr>
        <w:ind w:left="820"/>
        <w:spacing w:after="0"/>
        <w:tabs>
          <w:tab w:leader="none" w:pos="2140" w:val="left"/>
        </w:tabs>
        <w:rPr>
          <w:sz w:val="20"/>
          <w:szCs w:val="20"/>
          <w:color w:val="auto"/>
        </w:rPr>
      </w:pPr>
      <w:r>
        <w:rPr>
          <w:rFonts w:ascii="Arial" w:cs="Arial" w:eastAsia="Arial" w:hAnsi="Arial"/>
          <w:sz w:val="18"/>
          <w:szCs w:val="18"/>
          <w:b w:val="1"/>
          <w:bCs w:val="1"/>
          <w:color w:val="auto"/>
        </w:rPr>
        <w:t>994.2</w:t>
      </w:r>
      <w:r>
        <w:rPr>
          <w:sz w:val="20"/>
          <w:szCs w:val="20"/>
          <w:color w:val="auto"/>
        </w:rPr>
        <w:tab/>
      </w:r>
      <w:r>
        <w:rPr>
          <w:rFonts w:ascii="Arial" w:cs="Arial" w:eastAsia="Arial" w:hAnsi="Arial"/>
          <w:sz w:val="17"/>
          <w:szCs w:val="17"/>
          <w:color w:val="auto"/>
        </w:rPr>
        <w:t>1,182.9</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3,190.7</w:t>
      </w:r>
      <w:r>
        <w:rPr>
          <w:sz w:val="20"/>
          <w:szCs w:val="20"/>
          <w:color w:val="auto"/>
        </w:rPr>
        <w:tab/>
      </w:r>
      <w:r>
        <w:rPr>
          <w:rFonts w:ascii="Arial" w:cs="Arial" w:eastAsia="Arial" w:hAnsi="Arial"/>
          <w:sz w:val="17"/>
          <w:szCs w:val="17"/>
          <w:color w:val="auto"/>
        </w:rPr>
        <w:t>3,098.1</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2,538.9</w:t>
      </w:r>
      <w:r>
        <w:rPr>
          <w:sz w:val="20"/>
          <w:szCs w:val="20"/>
          <w:color w:val="auto"/>
        </w:rPr>
        <w:tab/>
      </w:r>
      <w:r>
        <w:rPr>
          <w:rFonts w:ascii="Arial" w:cs="Arial" w:eastAsia="Arial" w:hAnsi="Arial"/>
          <w:sz w:val="17"/>
          <w:szCs w:val="17"/>
          <w:color w:val="auto"/>
        </w:rPr>
        <w:t>2,036.7</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color w:val="auto"/>
        </w:rPr>
        <w:t>2,229.1</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13,709.6</w:t>
      </w:r>
      <w:r>
        <w:rPr>
          <w:rFonts w:ascii="Arial" w:cs="Arial" w:eastAsia="Arial" w:hAnsi="Arial"/>
          <w:sz w:val="17"/>
          <w:szCs w:val="17"/>
          <w:color w:val="auto"/>
        </w:rPr>
        <w:t>20,549.6</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1,962.4</w:t>
      </w:r>
      <w:r>
        <w:rPr>
          <w:rFonts w:ascii="Arial" w:cs="Arial" w:eastAsia="Arial" w:hAnsi="Arial"/>
          <w:sz w:val="17"/>
          <w:szCs w:val="17"/>
          <w:color w:val="auto"/>
        </w:rPr>
        <w:t>2,005.4</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3,679.4</w:t>
      </w:r>
      <w:r>
        <w:rPr>
          <w:rFonts w:ascii="Arial" w:cs="Arial" w:eastAsia="Arial" w:hAnsi="Arial"/>
          <w:sz w:val="17"/>
          <w:szCs w:val="17"/>
          <w:color w:val="auto"/>
        </w:rPr>
        <w:t>1,366.6</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6,618.0</w:t>
      </w:r>
      <w:r>
        <w:rPr>
          <w:rFonts w:ascii="Arial" w:cs="Arial" w:eastAsia="Arial" w:hAnsi="Arial"/>
          <w:sz w:val="17"/>
          <w:szCs w:val="17"/>
          <w:color w:val="auto"/>
        </w:rPr>
        <w:t>1,068.0</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2,572.6</w:t>
      </w:r>
      <w:r>
        <w:rPr>
          <w:rFonts w:ascii="Arial" w:cs="Arial" w:eastAsia="Arial" w:hAnsi="Arial"/>
          <w:sz w:val="17"/>
          <w:szCs w:val="17"/>
          <w:color w:val="auto"/>
        </w:rPr>
        <w:t>2,613.7</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7,872.9</w:t>
      </w:r>
      <w:r>
        <w:rPr>
          <w:rFonts w:ascii="Arial" w:cs="Arial" w:eastAsia="Arial" w:hAnsi="Arial"/>
          <w:sz w:val="17"/>
          <w:szCs w:val="17"/>
          <w:color w:val="auto"/>
        </w:rPr>
        <w:t>7,996.1</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532.1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-1179830</wp:posOffset>
            </wp:positionV>
            <wp:extent cx="18180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2,339.1</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1,824.9</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6,484.1</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39,286.1</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43,908.4</w:t>
            </w:r>
          </w:p>
        </w:tc>
      </w:tr>
      <w:tr>
        <w:trPr>
          <w:trHeight w:val="797"/>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1,499.3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1,102.2</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1,405.3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1,207.1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915.5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955.6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4,933.6</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4,849.5</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671.5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650.8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160.6</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2,189.4</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2,036.7</w:t>
            </w:r>
          </w:p>
        </w:tc>
      </w:tr>
    </w:tbl>
    <w:p>
      <w:pPr>
        <w:spacing w:after="0" w:line="3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692.8</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11,775.2</w:t>
      </w:r>
      <w:r>
        <w:rPr>
          <w:rFonts w:ascii="Arial" w:cs="Arial" w:eastAsia="Arial" w:hAnsi="Arial"/>
          <w:sz w:val="17"/>
          <w:szCs w:val="17"/>
          <w:color w:val="auto"/>
        </w:rPr>
        <w:t>11,888.1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18180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13" w:lineRule="exact"/>
        <w:rPr>
          <w:sz w:val="20"/>
          <w:szCs w:val="20"/>
          <w:color w:val="auto"/>
        </w:rPr>
      </w:pPr>
    </w:p>
    <w:p>
      <w:pPr>
        <w:ind w:left="560"/>
        <w:spacing w:after="0"/>
        <w:tabs>
          <w:tab w:leader="none" w:pos="2140" w:val="left"/>
        </w:tabs>
        <w:rPr>
          <w:sz w:val="20"/>
          <w:szCs w:val="20"/>
          <w:color w:val="auto"/>
        </w:rPr>
      </w:pPr>
      <w:r>
        <w:rPr>
          <w:rFonts w:ascii="Arial" w:cs="Arial" w:eastAsia="Arial" w:hAnsi="Arial"/>
          <w:sz w:val="18"/>
          <w:szCs w:val="18"/>
          <w:b w:val="1"/>
          <w:bCs w:val="1"/>
          <w:color w:val="auto"/>
        </w:rPr>
        <w:t>13,817.9</w:t>
      </w:r>
      <w:r>
        <w:rPr>
          <w:sz w:val="20"/>
          <w:szCs w:val="20"/>
          <w:color w:val="auto"/>
        </w:rPr>
        <w:tab/>
      </w:r>
      <w:r>
        <w:rPr>
          <w:rFonts w:ascii="Arial" w:cs="Arial" w:eastAsia="Arial" w:hAnsi="Arial"/>
          <w:sz w:val="17"/>
          <w:szCs w:val="17"/>
          <w:color w:val="auto"/>
        </w:rPr>
        <w:t>9,196.4</w:t>
      </w:r>
    </w:p>
    <w:p>
      <w:pPr>
        <w:spacing w:after="0" w:line="63" w:lineRule="exact"/>
        <w:rPr>
          <w:sz w:val="20"/>
          <w:szCs w:val="20"/>
          <w:color w:val="auto"/>
        </w:rPr>
      </w:pPr>
    </w:p>
    <w:p>
      <w:pPr>
        <w:ind w:left="820"/>
        <w:spacing w:after="0"/>
        <w:tabs>
          <w:tab w:leader="none" w:pos="2560" w:val="left"/>
        </w:tabs>
        <w:rPr>
          <w:sz w:val="20"/>
          <w:szCs w:val="20"/>
          <w:color w:val="auto"/>
        </w:rPr>
      </w:pPr>
      <w:r>
        <w:rPr>
          <w:rFonts w:ascii="Arial" w:cs="Arial" w:eastAsia="Arial" w:hAnsi="Arial"/>
          <w:sz w:val="18"/>
          <w:szCs w:val="18"/>
          <w:b w:val="1"/>
          <w:bCs w:val="1"/>
          <w:color w:val="auto"/>
        </w:rPr>
        <w:t>486.7</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3,698.2</w:t>
      </w:r>
      <w:r>
        <w:rPr>
          <w:sz w:val="20"/>
          <w:szCs w:val="20"/>
          <w:color w:val="auto"/>
        </w:rPr>
        <w:tab/>
      </w:r>
      <w:r>
        <w:rPr>
          <w:rFonts w:ascii="Arial" w:cs="Arial" w:eastAsia="Arial" w:hAnsi="Arial"/>
          <w:sz w:val="17"/>
          <w:szCs w:val="17"/>
          <w:color w:val="auto"/>
        </w:rPr>
        <w:t>2,802.2</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3,607.2</w:t>
      </w:r>
      <w:r>
        <w:rPr>
          <w:sz w:val="20"/>
          <w:szCs w:val="20"/>
          <w:color w:val="auto"/>
        </w:rPr>
        <w:tab/>
      </w:r>
      <w:r>
        <w:rPr>
          <w:rFonts w:ascii="Arial" w:cs="Arial" w:eastAsia="Arial" w:hAnsi="Arial"/>
          <w:sz w:val="17"/>
          <w:szCs w:val="17"/>
          <w:color w:val="auto"/>
        </w:rPr>
        <w:t>3,700.0</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1,014.3</w:t>
      </w:r>
      <w:r>
        <w:rPr>
          <w:sz w:val="20"/>
          <w:szCs w:val="20"/>
          <w:color w:val="auto"/>
        </w:rPr>
        <w:tab/>
      </w:r>
      <w:r>
        <w:rPr>
          <w:rFonts w:ascii="Arial" w:cs="Arial" w:eastAsia="Arial" w:hAnsi="Arial"/>
          <w:sz w:val="17"/>
          <w:szCs w:val="17"/>
          <w:color w:val="auto"/>
        </w:rPr>
        <w:t>1,357.6</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2,187.5</w:t>
      </w:r>
      <w:r>
        <w:rPr>
          <w:sz w:val="20"/>
          <w:szCs w:val="20"/>
          <w:color w:val="auto"/>
        </w:rPr>
        <w:tab/>
      </w:r>
      <w:r>
        <w:rPr>
          <w:rFonts w:ascii="Arial" w:cs="Arial" w:eastAsia="Arial" w:hAnsi="Arial"/>
          <w:sz w:val="17"/>
          <w:szCs w:val="17"/>
          <w:color w:val="auto"/>
        </w:rPr>
        <w:t>1,312.7</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color w:val="auto"/>
        </w:rPr>
        <w:t>2,742.3</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24,811.8</w:t>
      </w:r>
      <w:r>
        <w:rPr>
          <w:rFonts w:ascii="Arial" w:cs="Arial" w:eastAsia="Arial" w:hAnsi="Arial"/>
          <w:sz w:val="17"/>
          <w:szCs w:val="17"/>
          <w:color w:val="auto"/>
        </w:rPr>
        <w:t>21,111.2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598.8</w:t>
      </w:r>
      <w:r>
        <w:rPr>
          <w:sz w:val="20"/>
          <w:szCs w:val="20"/>
          <w:color w:val="auto"/>
        </w:rPr>
        <w:tab/>
      </w:r>
      <w:r>
        <w:rPr>
          <w:rFonts w:ascii="Arial" w:cs="Arial" w:eastAsia="Arial" w:hAnsi="Arial"/>
          <w:sz w:val="18"/>
          <w:szCs w:val="18"/>
          <w:color w:val="auto"/>
        </w:rPr>
        <w:t>661.0</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6,685.3</w:t>
      </w:r>
      <w:r>
        <w:rPr>
          <w:sz w:val="20"/>
          <w:szCs w:val="20"/>
          <w:color w:val="auto"/>
        </w:rPr>
        <w:tab/>
      </w:r>
      <w:r>
        <w:rPr>
          <w:rFonts w:ascii="Arial" w:cs="Arial" w:eastAsia="Arial" w:hAnsi="Arial"/>
          <w:sz w:val="17"/>
          <w:szCs w:val="17"/>
          <w:color w:val="auto"/>
        </w:rPr>
        <w:t>6,583.6</w:t>
      </w:r>
    </w:p>
    <w:p>
      <w:pPr>
        <w:spacing w:after="0" w:line="6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4,920.4</w:t>
      </w:r>
      <w:r>
        <w:rPr>
          <w:sz w:val="20"/>
          <w:szCs w:val="20"/>
          <w:color w:val="auto"/>
        </w:rPr>
        <w:tab/>
      </w:r>
      <w:r>
        <w:rPr>
          <w:rFonts w:ascii="Arial" w:cs="Arial" w:eastAsia="Arial" w:hAnsi="Arial"/>
          <w:sz w:val="17"/>
          <w:szCs w:val="17"/>
          <w:color w:val="auto"/>
        </w:rPr>
        <w:t>11,395.9</w:t>
      </w:r>
    </w:p>
    <w:p>
      <w:pPr>
        <w:spacing w:after="0" w:line="63" w:lineRule="exact"/>
        <w:rPr>
          <w:sz w:val="20"/>
          <w:szCs w:val="20"/>
          <w:color w:val="auto"/>
        </w:rPr>
      </w:pPr>
    </w:p>
    <w:p>
      <w:pPr>
        <w:jc w:val="right"/>
        <w:ind w:right="40"/>
        <w:spacing w:after="0"/>
        <w:tabs>
          <w:tab w:leader="none" w:pos="740" w:val="left"/>
        </w:tabs>
        <w:rPr>
          <w:sz w:val="20"/>
          <w:szCs w:val="20"/>
          <w:color w:val="auto"/>
        </w:rPr>
      </w:pPr>
      <w:r>
        <w:rPr>
          <w:rFonts w:ascii="Arial" w:cs="Arial" w:eastAsia="Arial" w:hAnsi="Arial"/>
          <w:sz w:val="18"/>
          <w:szCs w:val="18"/>
          <w:b w:val="1"/>
          <w:bCs w:val="1"/>
          <w:color w:val="auto"/>
        </w:rPr>
        <w:t>(3,013.2)</w:t>
      </w:r>
      <w:r>
        <w:rPr>
          <w:sz w:val="20"/>
          <w:szCs w:val="20"/>
          <w:color w:val="auto"/>
        </w:rPr>
        <w:tab/>
      </w:r>
      <w:r>
        <w:rPr>
          <w:rFonts w:ascii="Arial" w:cs="Arial" w:eastAsia="Arial" w:hAnsi="Arial"/>
          <w:sz w:val="17"/>
          <w:szCs w:val="17"/>
          <w:color w:val="auto"/>
        </w:rPr>
        <w:t>(3,013.2)</w:t>
      </w:r>
    </w:p>
    <w:p>
      <w:pPr>
        <w:spacing w:after="0" w:line="63" w:lineRule="exact"/>
        <w:rPr>
          <w:sz w:val="20"/>
          <w:szCs w:val="20"/>
          <w:color w:val="auto"/>
        </w:rPr>
      </w:pPr>
    </w:p>
    <w:p>
      <w:pPr>
        <w:jc w:val="right"/>
        <w:ind w:right="40"/>
        <w:spacing w:after="0"/>
        <w:tabs>
          <w:tab w:leader="none" w:pos="740" w:val="left"/>
        </w:tabs>
        <w:rPr>
          <w:sz w:val="20"/>
          <w:szCs w:val="20"/>
          <w:color w:val="auto"/>
        </w:rPr>
      </w:pPr>
      <w:r>
        <w:rPr>
          <w:rFonts w:ascii="Arial" w:cs="Arial" w:eastAsia="Arial" w:hAnsi="Arial"/>
          <w:sz w:val="18"/>
          <w:szCs w:val="18"/>
          <w:b w:val="1"/>
          <w:bCs w:val="1"/>
          <w:color w:val="auto"/>
        </w:rPr>
        <w:t>(6,523.6)</w:t>
      </w:r>
      <w:r>
        <w:rPr>
          <w:sz w:val="20"/>
          <w:szCs w:val="20"/>
          <w:color w:val="auto"/>
        </w:rPr>
        <w:tab/>
      </w:r>
      <w:r>
        <w:rPr>
          <w:rFonts w:ascii="Arial" w:cs="Arial" w:eastAsia="Arial" w:hAnsi="Arial"/>
          <w:sz w:val="17"/>
          <w:szCs w:val="17"/>
          <w:color w:val="auto"/>
        </w:rPr>
        <w:t>(5,729.2)</w:t>
      </w:r>
    </w:p>
    <w:p>
      <w:pPr>
        <w:spacing w:after="0" w:line="63" w:lineRule="exact"/>
        <w:rPr>
          <w:sz w:val="20"/>
          <w:szCs w:val="20"/>
          <w:color w:val="auto"/>
        </w:rPr>
      </w:pPr>
    </w:p>
    <w:p>
      <w:pPr>
        <w:jc w:val="right"/>
        <w:ind w:right="40"/>
        <w:spacing w:after="0"/>
        <w:tabs>
          <w:tab w:leader="none" w:pos="500" w:val="left"/>
        </w:tabs>
        <w:rPr>
          <w:sz w:val="20"/>
          <w:szCs w:val="20"/>
          <w:color w:val="auto"/>
        </w:rPr>
      </w:pPr>
      <w:r>
        <w:rPr>
          <w:rFonts w:ascii="Arial" w:cs="Arial" w:eastAsia="Arial" w:hAnsi="Arial"/>
          <w:sz w:val="18"/>
          <w:szCs w:val="18"/>
          <w:b w:val="1"/>
          <w:bCs w:val="1"/>
          <w:color w:val="auto"/>
        </w:rPr>
        <w:t>(60.8)</w:t>
      </w:r>
      <w:r>
        <w:rPr>
          <w:sz w:val="20"/>
          <w:szCs w:val="20"/>
          <w:color w:val="auto"/>
        </w:rPr>
        <w:tab/>
      </w:r>
      <w:r>
        <w:rPr>
          <w:rFonts w:ascii="Arial" w:cs="Arial" w:eastAsia="Arial" w:hAnsi="Arial"/>
          <w:sz w:val="18"/>
          <w:szCs w:val="18"/>
          <w:color w:val="auto"/>
        </w:rPr>
        <w:t>(69.4)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18180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2,606.9</w:t>
      </w:r>
      <w:r>
        <w:rPr>
          <w:sz w:val="20"/>
          <w:szCs w:val="20"/>
          <w:color w:val="auto"/>
        </w:rPr>
        <w:tab/>
      </w:r>
      <w:r>
        <w:rPr>
          <w:rFonts w:ascii="Arial" w:cs="Arial" w:eastAsia="Arial" w:hAnsi="Arial"/>
          <w:sz w:val="17"/>
          <w:szCs w:val="17"/>
          <w:color w:val="auto"/>
        </w:rPr>
        <w:t>9,828.7</w:t>
      </w:r>
    </w:p>
    <w:p>
      <w:pPr>
        <w:spacing w:after="0" w:line="63"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7"/>
          <w:szCs w:val="17"/>
          <w:color w:val="auto"/>
        </w:rPr>
        <w:t>1,080.4</w:t>
      </w:r>
    </w:p>
    <w:p>
      <w:pPr>
        <w:spacing w:after="0" w:line="31" w:lineRule="exact"/>
        <w:rPr>
          <w:sz w:val="20"/>
          <w:szCs w:val="20"/>
          <w:color w:val="auto"/>
        </w:rPr>
      </w:pPr>
    </w:p>
    <w:p>
      <w:pPr>
        <w:sectPr>
          <w:pgSz w:w="11900" w:h="16865" w:orient="portrait"/>
          <w:cols w:equalWidth="0" w:num="2">
            <w:col w:w="7840" w:space="720"/>
            <w:col w:w="2860"/>
          </w:cols>
          <w:pgMar w:left="240" w:top="704" w:right="239" w:bottom="0" w:gutter="0" w:footer="0" w:header="0"/>
          <w:type w:val="continuous"/>
        </w:sectPr>
      </w:pPr>
    </w:p>
    <w:tbl>
      <w:tblPr>
        <w:tblLayout w:type="fixed"/>
        <w:tblInd w:w="0" w:type="dxa"/>
        <w:tblCellMar>
          <w:top w:w="0" w:type="dxa"/>
          <w:left w:w="0" w:type="dxa"/>
          <w:bottom w:w="0" w:type="dxa"/>
          <w:right w:w="0" w:type="dxa"/>
        </w:tblCellMar>
      </w:tblPr>
      <w:tr>
        <w:trPr>
          <w:trHeight w:val="271"/>
        </w:trPr>
        <w:tc>
          <w:tcPr>
            <w:tcW w:w="85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2,699.1</w:t>
            </w:r>
          </w:p>
        </w:tc>
        <w:tc>
          <w:tcPr>
            <w:tcW w:w="4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10,909.1</w:t>
            </w:r>
          </w:p>
        </w:tc>
      </w:tr>
      <w:tr>
        <w:trPr>
          <w:trHeight w:val="277"/>
        </w:trPr>
        <w:tc>
          <w:tcPr>
            <w:tcW w:w="85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39,286.1</w:t>
            </w:r>
          </w:p>
        </w:tc>
        <w:tc>
          <w:tcPr>
            <w:tcW w:w="4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43,908.4</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65" w:orient="portrait"/>
          <w:cols w:equalWidth="0" w:num="1">
            <w:col w:w="11420"/>
          </w:cols>
          <w:pgMar w:left="240" w:top="704" w:right="239" w:bottom="0" w:gutter="0" w:footer="0" w:header="0"/>
          <w:type w:val="continuous"/>
        </w:sectPr>
      </w:pPr>
    </w:p>
    <w:p>
      <w:pPr>
        <w:spacing w:after="0" w:line="212"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53</w:t>
      </w:r>
    </w:p>
    <w:p>
      <w:pPr>
        <w:sectPr>
          <w:pgSz w:w="11900" w:h="16865" w:orient="portrait"/>
          <w:cols w:equalWidth="0" w:num="1">
            <w:col w:w="11420"/>
          </w:cols>
          <w:pgMar w:left="240" w:top="704" w:right="239" w:bottom="0" w:gutter="0" w:footer="0" w:header="0"/>
          <w:type w:val="continuous"/>
        </w:sectPr>
      </w:pPr>
    </w:p>
    <w:bookmarkStart w:id="53" w:name="page54"/>
    <w:bookmarkEnd w:id="53"/>
    <w:p>
      <w:pPr>
        <w:spacing w:after="0"/>
        <w:rPr>
          <w:sz w:val="20"/>
          <w:szCs w:val="20"/>
          <w:color w:val="auto"/>
        </w:rPr>
      </w:pPr>
      <w:r>
        <w:rPr>
          <w:rFonts w:ascii="Arial" w:cs="Arial" w:eastAsia="Arial" w:hAnsi="Arial"/>
          <w:sz w:val="32"/>
          <w:szCs w:val="32"/>
          <w:i w:val="1"/>
          <w:iCs w:val="1"/>
          <w:color w:val="CC0000"/>
        </w:rPr>
        <w:t>Consolidated Statements of Shareholders' Equity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60" w:type="dxa"/>
            <w:vAlign w:val="bottom"/>
            <w:gridSpan w:val="3"/>
          </w:tcPr>
          <w:p>
            <w:pPr>
              <w:ind w:left="8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
        </w:trPr>
        <w:tc>
          <w:tcPr>
            <w:tcW w:w="24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9"/>
        </w:trPr>
        <w:tc>
          <w:tcPr>
            <w:tcW w:w="2420" w:type="dxa"/>
            <w:vAlign w:val="bottom"/>
          </w:tcPr>
          <w:p>
            <w:pPr>
              <w:ind w:left="40"/>
              <w:spacing w:after="0"/>
              <w:rPr>
                <w:sz w:val="20"/>
                <w:szCs w:val="20"/>
                <w:color w:val="auto"/>
              </w:rPr>
            </w:pPr>
            <w:r>
              <w:rPr>
                <w:rFonts w:ascii="Arial" w:cs="Arial" w:eastAsia="Arial" w:hAnsi="Arial"/>
                <w:sz w:val="11"/>
                <w:szCs w:val="11"/>
                <w:b w:val="1"/>
                <w:bCs w:val="1"/>
                <w:color w:val="auto"/>
              </w:rPr>
              <w:t>ELI LILLY AND COMPANY AND</w:t>
            </w:r>
          </w:p>
        </w:tc>
        <w:tc>
          <w:tcPr>
            <w:tcW w:w="1740" w:type="dxa"/>
            <w:vAlign w:val="bottom"/>
            <w:tcBorders>
              <w:bottom w:val="single" w:sz="8" w:color="auto"/>
            </w:tcBorders>
            <w:gridSpan w:val="2"/>
          </w:tcPr>
          <w:p>
            <w:pPr>
              <w:ind w:left="480"/>
              <w:spacing w:after="0"/>
              <w:rPr>
                <w:sz w:val="20"/>
                <w:szCs w:val="20"/>
                <w:color w:val="auto"/>
              </w:rPr>
            </w:pPr>
            <w:r>
              <w:rPr>
                <w:rFonts w:ascii="Arial" w:cs="Arial" w:eastAsia="Arial" w:hAnsi="Arial"/>
                <w:sz w:val="11"/>
                <w:szCs w:val="11"/>
                <w:b w:val="1"/>
                <w:bCs w:val="1"/>
                <w:color w:val="auto"/>
              </w:rPr>
              <w:t>Common Stock</w:t>
            </w:r>
          </w:p>
        </w:tc>
        <w:tc>
          <w:tcPr>
            <w:tcW w:w="900" w:type="dxa"/>
            <w:vAlign w:val="bottom"/>
          </w:tcPr>
          <w:p>
            <w:pPr>
              <w:jc w:val="center"/>
              <w:ind w:left="126"/>
              <w:spacing w:after="0"/>
              <w:rPr>
                <w:sz w:val="20"/>
                <w:szCs w:val="20"/>
                <w:color w:val="auto"/>
              </w:rPr>
            </w:pPr>
            <w:r>
              <w:rPr>
                <w:rFonts w:ascii="Arial" w:cs="Arial" w:eastAsia="Arial" w:hAnsi="Arial"/>
                <w:sz w:val="11"/>
                <w:szCs w:val="11"/>
                <w:b w:val="1"/>
                <w:bCs w:val="1"/>
                <w:color w:val="auto"/>
                <w:w w:val="96"/>
              </w:rPr>
              <w:t>Additional</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Common Stock in Treasury</w:t>
            </w:r>
          </w:p>
        </w:tc>
        <w:tc>
          <w:tcPr>
            <w:tcW w:w="1220" w:type="dxa"/>
            <w:vAlign w:val="bottom"/>
          </w:tcPr>
          <w:p>
            <w:pPr>
              <w:spacing w:after="0"/>
              <w:rPr>
                <w:sz w:val="14"/>
                <w:szCs w:val="14"/>
                <w:color w:val="auto"/>
              </w:rPr>
            </w:pPr>
          </w:p>
        </w:tc>
      </w:tr>
      <w:tr>
        <w:trPr>
          <w:trHeight w:val="100"/>
        </w:trPr>
        <w:tc>
          <w:tcPr>
            <w:tcW w:w="242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SUBSIDIARIES</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jc w:val="center"/>
              <w:ind w:left="126"/>
              <w:spacing w:after="0" w:line="100" w:lineRule="exact"/>
              <w:rPr>
                <w:sz w:val="20"/>
                <w:szCs w:val="20"/>
                <w:color w:val="auto"/>
              </w:rPr>
            </w:pPr>
            <w:r>
              <w:rPr>
                <w:rFonts w:ascii="Arial" w:cs="Arial" w:eastAsia="Arial" w:hAnsi="Arial"/>
                <w:sz w:val="11"/>
                <w:szCs w:val="11"/>
                <w:b w:val="1"/>
                <w:bCs w:val="1"/>
                <w:color w:val="auto"/>
                <w:w w:val="98"/>
              </w:rPr>
              <w:t>Paid-in</w:t>
            </w:r>
          </w:p>
        </w:tc>
        <w:tc>
          <w:tcPr>
            <w:tcW w:w="1080" w:type="dxa"/>
            <w:vAlign w:val="bottom"/>
          </w:tcPr>
          <w:p>
            <w:pPr>
              <w:ind w:left="420"/>
              <w:spacing w:after="0" w:line="100" w:lineRule="exact"/>
              <w:rPr>
                <w:sz w:val="20"/>
                <w:szCs w:val="20"/>
                <w:color w:val="auto"/>
              </w:rPr>
            </w:pPr>
            <w:r>
              <w:rPr>
                <w:rFonts w:ascii="Arial" w:cs="Arial" w:eastAsia="Arial" w:hAnsi="Arial"/>
                <w:sz w:val="11"/>
                <w:szCs w:val="11"/>
                <w:b w:val="1"/>
                <w:bCs w:val="1"/>
                <w:color w:val="auto"/>
              </w:rPr>
              <w:t>Retained</w:t>
            </w:r>
          </w:p>
        </w:tc>
        <w:tc>
          <w:tcPr>
            <w:tcW w:w="980" w:type="dxa"/>
            <w:vAlign w:val="bottom"/>
          </w:tcPr>
          <w:p>
            <w:pPr>
              <w:jc w:val="center"/>
              <w:ind w:left="26"/>
              <w:spacing w:after="0" w:line="100" w:lineRule="exact"/>
              <w:rPr>
                <w:sz w:val="20"/>
                <w:szCs w:val="20"/>
                <w:color w:val="auto"/>
              </w:rPr>
            </w:pPr>
            <w:r>
              <w:rPr>
                <w:rFonts w:ascii="Arial" w:cs="Arial" w:eastAsia="Arial" w:hAnsi="Arial"/>
                <w:sz w:val="11"/>
                <w:szCs w:val="11"/>
                <w:b w:val="1"/>
                <w:bCs w:val="1"/>
                <w:color w:val="auto"/>
                <w:w w:val="96"/>
              </w:rPr>
              <w:t>Employee</w:t>
            </w:r>
          </w:p>
        </w:tc>
        <w:tc>
          <w:tcPr>
            <w:tcW w:w="1400" w:type="dxa"/>
            <w:vAlign w:val="bottom"/>
          </w:tcPr>
          <w:p>
            <w:pPr>
              <w:jc w:val="center"/>
              <w:ind w:right="26"/>
              <w:spacing w:after="0" w:line="100" w:lineRule="exact"/>
              <w:rPr>
                <w:sz w:val="20"/>
                <w:szCs w:val="20"/>
                <w:color w:val="auto"/>
              </w:rPr>
            </w:pPr>
            <w:r>
              <w:rPr>
                <w:rFonts w:ascii="Arial" w:cs="Arial" w:eastAsia="Arial" w:hAnsi="Arial"/>
                <w:sz w:val="11"/>
                <w:szCs w:val="11"/>
                <w:b w:val="1"/>
                <w:bCs w:val="1"/>
                <w:color w:val="auto"/>
                <w:w w:val="98"/>
              </w:rPr>
              <w:t>Accumulated Other</w:t>
            </w: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jc w:val="center"/>
              <w:ind w:left="46"/>
              <w:spacing w:after="0" w:line="100" w:lineRule="exact"/>
              <w:rPr>
                <w:sz w:val="20"/>
                <w:szCs w:val="20"/>
                <w:color w:val="auto"/>
              </w:rPr>
            </w:pPr>
            <w:r>
              <w:rPr>
                <w:rFonts w:ascii="Arial" w:cs="Arial" w:eastAsia="Arial" w:hAnsi="Arial"/>
                <w:sz w:val="11"/>
                <w:szCs w:val="11"/>
                <w:b w:val="1"/>
                <w:bCs w:val="1"/>
                <w:color w:val="auto"/>
                <w:w w:val="97"/>
              </w:rPr>
              <w:t>Noncontrolling</w:t>
            </w:r>
          </w:p>
        </w:tc>
      </w:tr>
      <w:tr>
        <w:trPr>
          <w:trHeight w:val="142"/>
        </w:trPr>
        <w:tc>
          <w:tcPr>
            <w:tcW w:w="2420" w:type="dxa"/>
            <w:vAlign w:val="bottom"/>
          </w:tcPr>
          <w:p>
            <w:pPr>
              <w:ind w:left="40"/>
              <w:spacing w:after="0"/>
              <w:rPr>
                <w:sz w:val="20"/>
                <w:szCs w:val="20"/>
                <w:color w:val="auto"/>
              </w:rPr>
            </w:pPr>
            <w:r>
              <w:rPr>
                <w:rFonts w:ascii="Arial" w:cs="Arial" w:eastAsia="Arial" w:hAnsi="Arial"/>
                <w:sz w:val="11"/>
                <w:szCs w:val="11"/>
                <w:b w:val="1"/>
                <w:bCs w:val="1"/>
                <w:color w:val="auto"/>
              </w:rPr>
              <w:t>(Dollars in millions, shares in thousands)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Shares</w:t>
            </w:r>
          </w:p>
        </w:tc>
        <w:tc>
          <w:tcPr>
            <w:tcW w:w="820" w:type="dxa"/>
            <w:vAlign w:val="bottom"/>
          </w:tcPr>
          <w:p>
            <w:pPr>
              <w:ind w:left="280"/>
              <w:spacing w:after="0"/>
              <w:rPr>
                <w:sz w:val="20"/>
                <w:szCs w:val="20"/>
                <w:color w:val="auto"/>
              </w:rPr>
            </w:pPr>
            <w:r>
              <w:rPr>
                <w:rFonts w:ascii="Arial" w:cs="Arial" w:eastAsia="Arial" w:hAnsi="Arial"/>
                <w:sz w:val="11"/>
                <w:szCs w:val="11"/>
                <w:b w:val="1"/>
                <w:bCs w:val="1"/>
                <w:color w:val="auto"/>
              </w:rPr>
              <w:t>Amount</w:t>
            </w:r>
          </w:p>
        </w:tc>
        <w:tc>
          <w:tcPr>
            <w:tcW w:w="900" w:type="dxa"/>
            <w:vAlign w:val="bottom"/>
          </w:tcPr>
          <w:p>
            <w:pPr>
              <w:jc w:val="center"/>
              <w:ind w:left="126"/>
              <w:spacing w:after="0"/>
              <w:rPr>
                <w:sz w:val="20"/>
                <w:szCs w:val="20"/>
                <w:color w:val="auto"/>
              </w:rPr>
            </w:pPr>
            <w:r>
              <w:rPr>
                <w:rFonts w:ascii="Arial" w:cs="Arial" w:eastAsia="Arial" w:hAnsi="Arial"/>
                <w:sz w:val="11"/>
                <w:szCs w:val="11"/>
                <w:b w:val="1"/>
                <w:bCs w:val="1"/>
                <w:color w:val="auto"/>
                <w:w w:val="98"/>
              </w:rPr>
              <w:t>Capital</w:t>
            </w:r>
          </w:p>
        </w:tc>
        <w:tc>
          <w:tcPr>
            <w:tcW w:w="1080" w:type="dxa"/>
            <w:vAlign w:val="bottom"/>
          </w:tcPr>
          <w:p>
            <w:pPr>
              <w:ind w:left="400"/>
              <w:spacing w:after="0"/>
              <w:rPr>
                <w:sz w:val="20"/>
                <w:szCs w:val="20"/>
                <w:color w:val="auto"/>
              </w:rPr>
            </w:pPr>
            <w:r>
              <w:rPr>
                <w:rFonts w:ascii="Arial" w:cs="Arial" w:eastAsia="Arial" w:hAnsi="Arial"/>
                <w:sz w:val="11"/>
                <w:szCs w:val="11"/>
                <w:b w:val="1"/>
                <w:bCs w:val="1"/>
                <w:color w:val="auto"/>
              </w:rPr>
              <w:t>Earnings</w:t>
            </w:r>
          </w:p>
        </w:tc>
        <w:tc>
          <w:tcPr>
            <w:tcW w:w="980" w:type="dxa"/>
            <w:vAlign w:val="bottom"/>
          </w:tcPr>
          <w:p>
            <w:pPr>
              <w:jc w:val="center"/>
              <w:ind w:left="26"/>
              <w:spacing w:after="0"/>
              <w:rPr>
                <w:sz w:val="20"/>
                <w:szCs w:val="20"/>
                <w:color w:val="auto"/>
              </w:rPr>
            </w:pPr>
            <w:r>
              <w:rPr>
                <w:rFonts w:ascii="Arial" w:cs="Arial" w:eastAsia="Arial" w:hAnsi="Arial"/>
                <w:sz w:val="11"/>
                <w:szCs w:val="11"/>
                <w:b w:val="1"/>
                <w:bCs w:val="1"/>
                <w:color w:val="auto"/>
                <w:w w:val="97"/>
              </w:rPr>
              <w:t>Benefit Trust</w:t>
            </w:r>
          </w:p>
        </w:tc>
        <w:tc>
          <w:tcPr>
            <w:tcW w:w="1400" w:type="dxa"/>
            <w:vAlign w:val="bottom"/>
          </w:tcPr>
          <w:p>
            <w:pPr>
              <w:jc w:val="center"/>
              <w:ind w:right="6"/>
              <w:spacing w:after="0"/>
              <w:rPr>
                <w:sz w:val="20"/>
                <w:szCs w:val="20"/>
                <w:color w:val="auto"/>
              </w:rPr>
            </w:pPr>
            <w:r>
              <w:rPr>
                <w:rFonts w:ascii="Arial" w:cs="Arial" w:eastAsia="Arial" w:hAnsi="Arial"/>
                <w:sz w:val="11"/>
                <w:szCs w:val="11"/>
                <w:b w:val="1"/>
                <w:bCs w:val="1"/>
                <w:color w:val="auto"/>
                <w:w w:val="98"/>
              </w:rPr>
              <w:t>Comprehensive Loss</w:t>
            </w:r>
          </w:p>
        </w:tc>
        <w:tc>
          <w:tcPr>
            <w:tcW w:w="82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Amount</w:t>
            </w:r>
          </w:p>
        </w:tc>
        <w:tc>
          <w:tcPr>
            <w:tcW w:w="1220" w:type="dxa"/>
            <w:vAlign w:val="bottom"/>
          </w:tcPr>
          <w:p>
            <w:pPr>
              <w:jc w:val="center"/>
              <w:ind w:left="46"/>
              <w:spacing w:after="0"/>
              <w:rPr>
                <w:sz w:val="20"/>
                <w:szCs w:val="20"/>
                <w:color w:val="auto"/>
              </w:rPr>
            </w:pPr>
            <w:r>
              <w:rPr>
                <w:rFonts w:ascii="Arial" w:cs="Arial" w:eastAsia="Arial" w:hAnsi="Arial"/>
                <w:sz w:val="11"/>
                <w:szCs w:val="11"/>
                <w:b w:val="1"/>
                <w:bCs w:val="1"/>
                <w:color w:val="auto"/>
              </w:rPr>
              <w:t>Interest</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04" w:right="239" w:bottom="1440" w:gutter="0" w:footer="0" w:header="0"/>
        </w:sectPr>
      </w:pPr>
    </w:p>
    <w:p>
      <w:pPr>
        <w:spacing w:after="0" w:line="102" w:lineRule="exact"/>
        <w:rPr>
          <w:sz w:val="20"/>
          <w:szCs w:val="20"/>
          <w:color w:val="auto"/>
        </w:rPr>
      </w:pPr>
    </w:p>
    <w:p>
      <w:pPr>
        <w:ind w:left="40" w:right="800"/>
        <w:spacing w:after="0" w:line="368" w:lineRule="auto"/>
        <w:rPr>
          <w:sz w:val="20"/>
          <w:szCs w:val="20"/>
          <w:color w:val="auto"/>
        </w:rPr>
      </w:pPr>
      <w:r>
        <w:rPr>
          <w:rFonts w:ascii="Arial" w:cs="Arial" w:eastAsia="Arial" w:hAnsi="Arial"/>
          <w:sz w:val="13"/>
          <w:szCs w:val="13"/>
          <w:color w:val="auto"/>
        </w:rPr>
        <w:t>Balance at January 1, 2017 Net income (loss)</w:t>
      </w:r>
    </w:p>
    <w:p>
      <w:pPr>
        <w:spacing w:after="0" w:line="1" w:lineRule="exact"/>
        <w:rPr>
          <w:sz w:val="20"/>
          <w:szCs w:val="20"/>
          <w:color w:val="auto"/>
        </w:rPr>
      </w:pPr>
    </w:p>
    <w:p>
      <w:pPr>
        <w:ind w:left="40" w:right="100"/>
        <w:spacing w:after="0" w:line="230" w:lineRule="auto"/>
        <w:rPr>
          <w:sz w:val="20"/>
          <w:szCs w:val="20"/>
          <w:color w:val="auto"/>
        </w:rPr>
      </w:pPr>
      <w:r>
        <w:rPr>
          <w:rFonts w:ascii="Arial" w:cs="Arial" w:eastAsia="Arial" w:hAnsi="Arial"/>
          <w:sz w:val="13"/>
          <w:szCs w:val="13"/>
          <w:color w:val="auto"/>
        </w:rPr>
        <w:t>Other comprehensive income (loss), net of tax</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$2.12</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treasury shares</w:t>
      </w:r>
    </w:p>
    <w:p>
      <w:pPr>
        <w:spacing w:after="0" w:line="40" w:lineRule="exact"/>
        <w:rPr>
          <w:sz w:val="20"/>
          <w:szCs w:val="20"/>
          <w:color w:val="auto"/>
        </w:rPr>
      </w:pPr>
    </w:p>
    <w:p>
      <w:pPr>
        <w:ind w:left="40" w:right="8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40" w:right="180"/>
        <w:spacing w:after="0" w:line="230" w:lineRule="auto"/>
        <w:rPr>
          <w:sz w:val="20"/>
          <w:szCs w:val="20"/>
          <w:color w:val="auto"/>
        </w:rPr>
      </w:pPr>
      <w:r>
        <w:rPr>
          <w:rFonts w:ascii="Arial" w:cs="Arial" w:eastAsia="Arial" w:hAnsi="Arial"/>
          <w:sz w:val="13"/>
          <w:szCs w:val="13"/>
          <w:color w:val="auto"/>
        </w:rPr>
        <w:t>Reclassification of stranded tax effects (Note 1)</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40" w:lineRule="exact"/>
        <w:rPr>
          <w:sz w:val="20"/>
          <w:szCs w:val="20"/>
          <w:color w:val="auto"/>
        </w:rPr>
      </w:pPr>
    </w:p>
    <w:p>
      <w:pPr>
        <w:ind w:left="40" w:right="100"/>
        <w:spacing w:after="0" w:line="230" w:lineRule="auto"/>
        <w:rPr>
          <w:sz w:val="20"/>
          <w:szCs w:val="20"/>
          <w:color w:val="auto"/>
        </w:rPr>
      </w:pPr>
      <w:r>
        <w:rPr>
          <w:rFonts w:ascii="Arial" w:cs="Arial" w:eastAsia="Arial" w:hAnsi="Arial"/>
          <w:sz w:val="13"/>
          <w:szCs w:val="13"/>
          <w:color w:val="auto"/>
        </w:rPr>
        <w:t>Other comprehensive income (loss), net of tax</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$2.33</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treasury shares</w:t>
      </w:r>
    </w:p>
    <w:p>
      <w:pPr>
        <w:spacing w:after="0" w:line="40" w:lineRule="exact"/>
        <w:rPr>
          <w:sz w:val="20"/>
          <w:szCs w:val="20"/>
          <w:color w:val="auto"/>
        </w:rPr>
      </w:pPr>
    </w:p>
    <w:p>
      <w:pPr>
        <w:ind w:left="40" w:right="8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40" w:right="180"/>
        <w:spacing w:after="0" w:line="230" w:lineRule="auto"/>
        <w:rPr>
          <w:sz w:val="20"/>
          <w:szCs w:val="20"/>
          <w:color w:val="auto"/>
        </w:rPr>
      </w:pPr>
      <w:r>
        <w:rPr>
          <w:rFonts w:ascii="Arial" w:cs="Arial" w:eastAsia="Arial" w:hAnsi="Arial"/>
          <w:sz w:val="13"/>
          <w:szCs w:val="13"/>
          <w:color w:val="auto"/>
        </w:rPr>
        <w:t>Adoption of new accounting standards (Note 1)</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 of Elanco Stock (Note 19)</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40" w:lineRule="exact"/>
        <w:rPr>
          <w:sz w:val="20"/>
          <w:szCs w:val="20"/>
          <w:color w:val="auto"/>
        </w:rPr>
      </w:pPr>
    </w:p>
    <w:p>
      <w:pPr>
        <w:ind w:left="40" w:right="100"/>
        <w:spacing w:after="0" w:line="230" w:lineRule="auto"/>
        <w:rPr>
          <w:sz w:val="20"/>
          <w:szCs w:val="20"/>
          <w:color w:val="auto"/>
        </w:rPr>
      </w:pPr>
      <w:r>
        <w:rPr>
          <w:rFonts w:ascii="Arial" w:cs="Arial" w:eastAsia="Arial" w:hAnsi="Arial"/>
          <w:sz w:val="13"/>
          <w:szCs w:val="13"/>
          <w:color w:val="auto"/>
        </w:rPr>
        <w:t>Other comprehensive income (loss), net of tax</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$2.68</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treasury shares</w:t>
      </w:r>
    </w:p>
    <w:p>
      <w:pPr>
        <w:spacing w:after="0" w:line="40" w:lineRule="exact"/>
        <w:rPr>
          <w:sz w:val="20"/>
          <w:szCs w:val="20"/>
          <w:color w:val="auto"/>
        </w:rPr>
      </w:pPr>
    </w:p>
    <w:p>
      <w:pPr>
        <w:ind w:left="40" w:right="8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40" w:right="20"/>
        <w:spacing w:after="0" w:line="230" w:lineRule="auto"/>
        <w:rPr>
          <w:sz w:val="20"/>
          <w:szCs w:val="20"/>
          <w:color w:val="auto"/>
        </w:rPr>
      </w:pPr>
      <w:r>
        <w:rPr>
          <w:rFonts w:ascii="Arial" w:cs="Arial" w:eastAsia="Arial" w:hAnsi="Arial"/>
          <w:sz w:val="13"/>
          <w:szCs w:val="13"/>
          <w:color w:val="auto"/>
        </w:rPr>
        <w:t>Acquisition of common stock in exchange offer</w:t>
      </w:r>
    </w:p>
    <w:p>
      <w:pPr>
        <w:spacing w:after="0" w:line="119" w:lineRule="exact"/>
        <w:rPr>
          <w:sz w:val="20"/>
          <w:szCs w:val="20"/>
          <w:color w:val="auto"/>
        </w:rPr>
      </w:pPr>
    </w:p>
    <w:p>
      <w:pPr>
        <w:ind w:left="40" w:right="860"/>
        <w:spacing w:after="0" w:line="437" w:lineRule="auto"/>
        <w:rPr>
          <w:sz w:val="20"/>
          <w:szCs w:val="20"/>
          <w:color w:val="auto"/>
        </w:rPr>
      </w:pPr>
      <w:r>
        <w:rPr>
          <w:rFonts w:ascii="Arial" w:cs="Arial" w:eastAsia="Arial" w:hAnsi="Arial"/>
          <w:sz w:val="13"/>
          <w:szCs w:val="13"/>
          <w:color w:val="auto"/>
        </w:rPr>
        <w:t>Deconsolidation of Elanco Other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2019</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54</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1,101,586</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688.5</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5,640.6</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16,046.3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(5,274.0)</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711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(80.5)</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72.8</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(204.1)</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30.5</w:t>
            </w: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199.0</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(2,234.6)</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jc w:val="right"/>
              <w:ind w:right="57"/>
              <w:spacing w:after="0"/>
              <w:rPr>
                <w:sz w:val="20"/>
                <w:szCs w:val="20"/>
                <w:color w:val="auto"/>
              </w:rPr>
            </w:pPr>
            <w:r>
              <w:rPr>
                <w:rFonts w:ascii="Arial" w:cs="Arial" w:eastAsia="Arial" w:hAnsi="Arial"/>
                <w:sz w:val="13"/>
                <w:szCs w:val="13"/>
                <w:color w:val="auto"/>
              </w:rPr>
              <w:t>(4,390)</w:t>
            </w:r>
          </w:p>
        </w:tc>
        <w:tc>
          <w:tcPr>
            <w:tcW w:w="26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(357.1)</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(4,390)</w:t>
            </w:r>
          </w:p>
        </w:tc>
        <w:tc>
          <w:tcPr>
            <w:tcW w:w="200" w:type="dxa"/>
            <w:vAlign w:val="bottom"/>
          </w:tcPr>
          <w:p>
            <w:pPr>
              <w:spacing w:after="0"/>
              <w:rPr>
                <w:sz w:val="23"/>
                <w:szCs w:val="23"/>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359.8</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60.0</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4,390</w:t>
            </w:r>
          </w:p>
        </w:tc>
        <w:tc>
          <w:tcPr>
            <w:tcW w:w="2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(359.8)</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3,476</w:t>
            </w:r>
          </w:p>
        </w:tc>
        <w:tc>
          <w:tcPr>
            <w:tcW w:w="26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2.1</w:t>
            </w:r>
          </w:p>
        </w:tc>
        <w:tc>
          <w:tcPr>
            <w:tcW w:w="28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(164.1)</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200" w:type="dxa"/>
            <w:vAlign w:val="bottom"/>
          </w:tcPr>
          <w:p>
            <w:pPr>
              <w:spacing w:after="0"/>
              <w:rPr>
                <w:sz w:val="24"/>
                <w:szCs w:val="2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4.7</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281.3</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643.6</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(643.6)</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0"/>
        </w:trPr>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254"/>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1,100,672</w:t>
            </w:r>
          </w:p>
        </w:tc>
        <w:tc>
          <w:tcPr>
            <w:tcW w:w="260" w:type="dxa"/>
            <w:vAlign w:val="bottom"/>
          </w:tcPr>
          <w:p>
            <w:pPr>
              <w:spacing w:after="0"/>
              <w:rPr>
                <w:sz w:val="22"/>
                <w:szCs w:val="22"/>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687.9</w:t>
            </w:r>
          </w:p>
        </w:tc>
        <w:tc>
          <w:tcPr>
            <w:tcW w:w="28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5,817.8</w:t>
            </w:r>
          </w:p>
        </w:tc>
        <w:tc>
          <w:tcPr>
            <w:tcW w:w="280" w:type="dxa"/>
            <w:vAlign w:val="bottom"/>
          </w:tcPr>
          <w:p>
            <w:pPr>
              <w:spacing w:after="0"/>
              <w:rPr>
                <w:sz w:val="22"/>
                <w:szCs w:val="22"/>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13,894.1</w:t>
            </w:r>
          </w:p>
        </w:tc>
        <w:tc>
          <w:tcPr>
            <w:tcW w:w="2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460" w:type="dxa"/>
            <w:vAlign w:val="bottom"/>
          </w:tcPr>
          <w:p>
            <w:pPr>
              <w:spacing w:after="0"/>
              <w:rPr>
                <w:sz w:val="22"/>
                <w:szCs w:val="22"/>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(5,718.6)</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664</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(75.8)</w:t>
            </w:r>
          </w:p>
        </w:tc>
        <w:tc>
          <w:tcPr>
            <w:tcW w:w="4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75.7</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3,232.0</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3.7</w:t>
            </w: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85.6</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(2,372.0)</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jc w:val="right"/>
              <w:ind w:right="57"/>
              <w:spacing w:after="0"/>
              <w:rPr>
                <w:sz w:val="20"/>
                <w:szCs w:val="20"/>
                <w:color w:val="auto"/>
              </w:rPr>
            </w:pPr>
            <w:r>
              <w:rPr>
                <w:rFonts w:ascii="Arial" w:cs="Arial" w:eastAsia="Arial" w:hAnsi="Arial"/>
                <w:sz w:val="13"/>
                <w:szCs w:val="13"/>
                <w:color w:val="auto"/>
              </w:rPr>
              <w:t>(45,882)</w:t>
            </w:r>
          </w:p>
        </w:tc>
        <w:tc>
          <w:tcPr>
            <w:tcW w:w="26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(28.7)</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(4,122.0)</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(45,882)</w:t>
            </w:r>
          </w:p>
        </w:tc>
        <w:tc>
          <w:tcPr>
            <w:tcW w:w="200" w:type="dxa"/>
            <w:vAlign w:val="bottom"/>
          </w:tcPr>
          <w:p>
            <w:pPr>
              <w:spacing w:after="0"/>
              <w:rPr>
                <w:sz w:val="23"/>
                <w:szCs w:val="23"/>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4,150.7</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45,882</w:t>
            </w:r>
          </w:p>
        </w:tc>
        <w:tc>
          <w:tcPr>
            <w:tcW w:w="2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(4,150.7)</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2,849</w:t>
            </w:r>
          </w:p>
        </w:tc>
        <w:tc>
          <w:tcPr>
            <w:tcW w:w="26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1.8</w:t>
            </w:r>
          </w:p>
        </w:tc>
        <w:tc>
          <w:tcPr>
            <w:tcW w:w="28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(139.0)</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(60)</w:t>
            </w:r>
          </w:p>
        </w:tc>
        <w:tc>
          <w:tcPr>
            <w:tcW w:w="200" w:type="dxa"/>
            <w:vAlign w:val="bottom"/>
          </w:tcPr>
          <w:p>
            <w:pPr>
              <w:spacing w:after="0"/>
              <w:rPr>
                <w:sz w:val="24"/>
                <w:szCs w:val="2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6.4</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279.5</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763.8</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(105.2)</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629.2</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9.0</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1,017.2</w:t>
            </w:r>
          </w:p>
        </w:tc>
      </w:tr>
      <w:tr>
        <w:trPr>
          <w:trHeight w:val="280"/>
        </w:trPr>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r>
      <w:tr>
        <w:trPr>
          <w:trHeight w:val="254"/>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1,057,639</w:t>
            </w:r>
          </w:p>
        </w:tc>
        <w:tc>
          <w:tcPr>
            <w:tcW w:w="260" w:type="dxa"/>
            <w:vAlign w:val="bottom"/>
          </w:tcPr>
          <w:p>
            <w:pPr>
              <w:spacing w:after="0"/>
              <w:rPr>
                <w:sz w:val="22"/>
                <w:szCs w:val="22"/>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661.0</w:t>
            </w:r>
          </w:p>
        </w:tc>
        <w:tc>
          <w:tcPr>
            <w:tcW w:w="28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6,583.6</w:t>
            </w:r>
          </w:p>
        </w:tc>
        <w:tc>
          <w:tcPr>
            <w:tcW w:w="280" w:type="dxa"/>
            <w:vAlign w:val="bottom"/>
          </w:tcPr>
          <w:p>
            <w:pPr>
              <w:spacing w:after="0"/>
              <w:rPr>
                <w:sz w:val="22"/>
                <w:szCs w:val="22"/>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11,395.9</w:t>
            </w:r>
          </w:p>
        </w:tc>
        <w:tc>
          <w:tcPr>
            <w:tcW w:w="2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460" w:type="dxa"/>
            <w:vAlign w:val="bottom"/>
          </w:tcPr>
          <w:p>
            <w:pPr>
              <w:spacing w:after="0"/>
              <w:rPr>
                <w:sz w:val="22"/>
                <w:szCs w:val="22"/>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(5,729.2)</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604</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(69.4)</w:t>
            </w:r>
          </w:p>
        </w:tc>
        <w:tc>
          <w:tcPr>
            <w:tcW w:w="4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1,080.4</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b w:val="1"/>
                <w:bCs w:val="1"/>
                <w:color w:val="auto"/>
              </w:rPr>
              <w:t>8,318.4</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b w:val="1"/>
                <w:bCs w:val="1"/>
                <w:color w:val="auto"/>
              </w:rPr>
              <w:t>37.7</w:t>
            </w: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(794.4)</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b w:val="1"/>
                <w:bCs w:val="1"/>
                <w:color w:val="auto"/>
              </w:rPr>
              <w:t>11.0</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(2,430.5)</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jc w:val="right"/>
              <w:ind w:right="57"/>
              <w:spacing w:after="0"/>
              <w:rPr>
                <w:sz w:val="20"/>
                <w:szCs w:val="20"/>
                <w:color w:val="auto"/>
              </w:rPr>
            </w:pPr>
            <w:r>
              <w:rPr>
                <w:rFonts w:ascii="Arial" w:cs="Arial" w:eastAsia="Arial" w:hAnsi="Arial"/>
                <w:sz w:val="13"/>
                <w:szCs w:val="13"/>
                <w:b w:val="1"/>
                <w:bCs w:val="1"/>
                <w:color w:val="auto"/>
              </w:rPr>
              <w:t>(102,640)</w:t>
            </w:r>
          </w:p>
        </w:tc>
        <w:tc>
          <w:tcPr>
            <w:tcW w:w="26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(64.1)</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(12,363.4)</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(102,640)</w:t>
            </w:r>
          </w:p>
        </w:tc>
        <w:tc>
          <w:tcPr>
            <w:tcW w:w="200" w:type="dxa"/>
            <w:vAlign w:val="bottom"/>
          </w:tcPr>
          <w:p>
            <w:pPr>
              <w:spacing w:after="0"/>
              <w:rPr>
                <w:sz w:val="23"/>
                <w:szCs w:val="23"/>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rPr>
              <w:t>12,427.5</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rPr>
              <w:t>37,639</w:t>
            </w:r>
          </w:p>
        </w:tc>
        <w:tc>
          <w:tcPr>
            <w:tcW w:w="2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(4,400.0)</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jc w:val="right"/>
              <w:ind w:right="97"/>
              <w:spacing w:after="0"/>
              <w:rPr>
                <w:sz w:val="20"/>
                <w:szCs w:val="20"/>
                <w:color w:val="auto"/>
              </w:rPr>
            </w:pPr>
            <w:r>
              <w:rPr>
                <w:rFonts w:ascii="Arial" w:cs="Arial" w:eastAsia="Arial" w:hAnsi="Arial"/>
                <w:sz w:val="13"/>
                <w:szCs w:val="13"/>
                <w:b w:val="1"/>
                <w:bCs w:val="1"/>
                <w:color w:val="auto"/>
              </w:rPr>
              <w:t>3,057</w:t>
            </w:r>
          </w:p>
        </w:tc>
        <w:tc>
          <w:tcPr>
            <w:tcW w:w="26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1.9</w:t>
            </w:r>
          </w:p>
        </w:tc>
        <w:tc>
          <w:tcPr>
            <w:tcW w:w="28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(210.7)</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(74)</w:t>
            </w:r>
          </w:p>
        </w:tc>
        <w:tc>
          <w:tcPr>
            <w:tcW w:w="200" w:type="dxa"/>
            <w:vAlign w:val="bottom"/>
          </w:tcPr>
          <w:p>
            <w:pPr>
              <w:spacing w:after="0"/>
              <w:rPr>
                <w:sz w:val="24"/>
                <w:szCs w:val="2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rPr>
              <w:t>8.6</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312.4</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rPr>
              <w:t>65,001</w:t>
            </w:r>
          </w:p>
        </w:tc>
        <w:tc>
          <w:tcPr>
            <w:tcW w:w="2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(8,027.5)</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(1,028.9)</w:t>
            </w:r>
          </w:p>
        </w:tc>
      </w:tr>
      <w:tr>
        <w:trPr>
          <w:trHeight w:val="280"/>
        </w:trPr>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w:t>
            </w:r>
          </w:p>
        </w:tc>
      </w:tr>
      <w:tr>
        <w:trPr>
          <w:trHeight w:val="277"/>
        </w:trPr>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958,056</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598.8</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6,685.3</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4,920.4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(6,523.6)</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(60.8)</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-5668010</wp:posOffset>
            </wp:positionV>
            <wp:extent cx="724662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-5290820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-4947920</wp:posOffset>
            </wp:positionV>
            <wp:extent cx="724662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-4570095</wp:posOffset>
            </wp:positionV>
            <wp:extent cx="724662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-4192905</wp:posOffset>
            </wp:positionV>
            <wp:extent cx="724662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-3841115</wp:posOffset>
            </wp:positionV>
            <wp:extent cx="724662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-3463925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-3121025</wp:posOffset>
            </wp:positionV>
            <wp:extent cx="724662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-2743835</wp:posOffset>
            </wp:positionV>
            <wp:extent cx="724662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-2366010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-2014855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-1637030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-1294130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-916940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-539750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-196850</wp:posOffset>
            </wp:positionV>
            <wp:extent cx="724662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2">
            <w:col w:w="2360" w:space="60"/>
            <w:col w:w="9000"/>
          </w:cols>
          <w:pgMar w:left="240" w:top="704"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32"/>
          <w:szCs w:val="32"/>
          <w:i w:val="1"/>
          <w:iCs w:val="1"/>
          <w:color w:val="CC0000"/>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52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18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960" w:type="dxa"/>
            <w:vAlign w:val="bottom"/>
            <w:tcBorders>
              <w:bottom w:val="single" w:sz="8" w:color="D8D8D8"/>
            </w:tcBorders>
            <w:shd w:val="clear" w:color="auto" w:fill="D8D8D8"/>
          </w:tcPr>
          <w:p>
            <w:pPr>
              <w:spacing w:after="0"/>
              <w:rPr>
                <w:sz w:val="21"/>
                <w:szCs w:val="21"/>
                <w:color w:val="auto"/>
              </w:rPr>
            </w:pP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1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8,318.4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3,232.0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(204.1)</w:t>
            </w:r>
          </w:p>
        </w:tc>
      </w:tr>
      <w:tr>
        <w:trPr>
          <w:trHeight w:val="213"/>
        </w:trPr>
        <w:tc>
          <w:tcPr>
            <w:tcW w:w="522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Adjustments to Reconcile Net Income (Loss)</w:t>
            </w:r>
          </w:p>
        </w:tc>
        <w:tc>
          <w:tcPr>
            <w:tcW w:w="218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960" w:type="dxa"/>
            <w:vAlign w:val="bottom"/>
            <w:shd w:val="clear" w:color="auto" w:fill="D8D8D8"/>
          </w:tcPr>
          <w:p>
            <w:pPr>
              <w:spacing w:after="0"/>
              <w:rPr>
                <w:sz w:val="18"/>
                <w:szCs w:val="18"/>
                <w:color w:val="auto"/>
              </w:rPr>
            </w:pPr>
          </w:p>
        </w:tc>
      </w:tr>
      <w:tr>
        <w:trPr>
          <w:trHeight w:val="252"/>
        </w:trPr>
        <w:tc>
          <w:tcPr>
            <w:tcW w:w="522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to Cash Flows from Operating Activities:</w:t>
            </w:r>
          </w:p>
        </w:tc>
        <w:tc>
          <w:tcPr>
            <w:tcW w:w="218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Gain related to disposition of Elanco (Note 19)</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(3,680.5)</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Gain on sale of antibiotic business in China (Note 3)</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(309.8)</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1,232.6</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1,609.0</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1,567.3</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Change in deferred income taxes</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62.4</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326.8</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(787.9)</w:t>
            </w: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312.4</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279.5</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281.3</w:t>
            </w:r>
          </w:p>
        </w:tc>
      </w:tr>
      <w:tr>
        <w:trPr>
          <w:trHeight w:val="277"/>
        </w:trPr>
        <w:tc>
          <w:tcPr>
            <w:tcW w:w="52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Acquired in-process research and development (Note 3)</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239.6</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1,983.9</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1,112.6</w:t>
            </w:r>
          </w:p>
        </w:tc>
      </w:tr>
      <w:tr>
        <w:trPr>
          <w:trHeight w:val="263"/>
        </w:trPr>
        <w:tc>
          <w:tcPr>
            <w:tcW w:w="5220" w:type="dxa"/>
            <w:vAlign w:val="bottom"/>
          </w:tcPr>
          <w:p>
            <w:pPr>
              <w:ind w:left="380"/>
              <w:spacing w:after="0"/>
              <w:rPr>
                <w:sz w:val="20"/>
                <w:szCs w:val="20"/>
                <w:color w:val="auto"/>
              </w:rPr>
            </w:pPr>
            <w:r>
              <w:rPr>
                <w:rFonts w:ascii="Arial" w:cs="Arial" w:eastAsia="Arial" w:hAnsi="Arial"/>
                <w:sz w:val="18"/>
                <w:szCs w:val="18"/>
                <w:color w:val="auto"/>
              </w:rPr>
              <w:t>Other non-cash operating activities, net</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348.7</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472.0</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441.5</w:t>
            </w:r>
          </w:p>
        </w:tc>
      </w:tr>
      <w:tr>
        <w:trPr>
          <w:trHeight w:val="277"/>
        </w:trPr>
        <w:tc>
          <w:tcPr>
            <w:tcW w:w="7400" w:type="dxa"/>
            <w:vAlign w:val="bottom"/>
            <w:gridSpan w:val="2"/>
            <w:shd w:val="clear" w:color="auto" w:fill="D8D8D8"/>
          </w:tcPr>
          <w:p>
            <w:pPr>
              <w:ind w:left="3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spacing w:after="0"/>
              <w:rPr>
                <w:sz w:val="24"/>
                <w:szCs w:val="24"/>
                <w:color w:val="auto"/>
              </w:rPr>
            </w:pPr>
          </w:p>
        </w:tc>
      </w:tr>
      <w:tr>
        <w:trPr>
          <w:trHeight w:val="263"/>
        </w:trPr>
        <w:tc>
          <w:tcPr>
            <w:tcW w:w="5220" w:type="dxa"/>
            <w:vAlign w:val="bottom"/>
          </w:tcPr>
          <w:p>
            <w:pPr>
              <w:ind w:left="500"/>
              <w:spacing w:after="0"/>
              <w:rPr>
                <w:sz w:val="20"/>
                <w:szCs w:val="20"/>
                <w:color w:val="auto"/>
              </w:rPr>
            </w:pPr>
            <w:r>
              <w:rPr>
                <w:rFonts w:ascii="Arial" w:cs="Arial" w:eastAsia="Arial" w:hAnsi="Arial"/>
                <w:sz w:val="18"/>
                <w:szCs w:val="18"/>
                <w:color w:val="auto"/>
              </w:rPr>
              <w:t>Receivables—(increase) decrease</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(127.2)</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(996.7)</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(357.0)</w:t>
            </w:r>
          </w:p>
        </w:tc>
      </w:tr>
      <w:tr>
        <w:trPr>
          <w:trHeight w:val="277"/>
        </w:trPr>
        <w:tc>
          <w:tcPr>
            <w:tcW w:w="52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Inventories—(increase) decrease</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(258.7)</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7.8</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(253.9)</w:t>
            </w:r>
          </w:p>
        </w:tc>
      </w:tr>
      <w:tr>
        <w:trPr>
          <w:trHeight w:val="263"/>
        </w:trPr>
        <w:tc>
          <w:tcPr>
            <w:tcW w:w="5220" w:type="dxa"/>
            <w:vAlign w:val="bottom"/>
          </w:tcPr>
          <w:p>
            <w:pPr>
              <w:ind w:left="500"/>
              <w:spacing w:after="0"/>
              <w:rPr>
                <w:sz w:val="20"/>
                <w:szCs w:val="20"/>
                <w:color w:val="auto"/>
              </w:rPr>
            </w:pPr>
            <w:r>
              <w:rPr>
                <w:rFonts w:ascii="Arial" w:cs="Arial" w:eastAsia="Arial" w:hAnsi="Arial"/>
                <w:sz w:val="18"/>
                <w:szCs w:val="18"/>
                <w:color w:val="auto"/>
              </w:rPr>
              <w:t>Other assets—(increase) decrease</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(602.3)</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(980.0)</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(590.1)</w:t>
            </w:r>
          </w:p>
        </w:tc>
      </w:tr>
      <w:tr>
        <w:trPr>
          <w:trHeight w:val="277"/>
        </w:trPr>
        <w:tc>
          <w:tcPr>
            <w:tcW w:w="522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Income taxes payable—increase (decrease)</w:t>
            </w:r>
          </w:p>
        </w:tc>
        <w:tc>
          <w:tcPr>
            <w:tcW w:w="218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(221.3)</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(125.3)</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3,489.6</w:t>
            </w:r>
          </w:p>
        </w:tc>
      </w:tr>
      <w:tr>
        <w:trPr>
          <w:trHeight w:val="264"/>
        </w:trPr>
        <w:tc>
          <w:tcPr>
            <w:tcW w:w="522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w w:val="99"/>
              </w:rPr>
              <w:t>Accounts payable and other liabilities—increase (decrease)</w:t>
            </w:r>
          </w:p>
        </w:tc>
        <w:tc>
          <w:tcPr>
            <w:tcW w:w="2180" w:type="dxa"/>
            <w:vAlign w:val="bottom"/>
            <w:tcBorders>
              <w:bottom w:val="single" w:sz="8" w:color="D8D8D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916.3</w:t>
            </w:r>
          </w:p>
        </w:tc>
      </w:tr>
      <w:tr>
        <w:trPr>
          <w:trHeight w:val="270"/>
        </w:trPr>
        <w:tc>
          <w:tcPr>
            <w:tcW w:w="52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18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4,836.6</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5,524.5</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5,615.6</w:t>
            </w: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p>
      <w:pPr>
        <w:spacing w:after="0" w:line="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property and equipment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Cash paid for acquisitions, net of cash acquired (Note 3 and 19)</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distributed to Elanco upon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received for sale of antibiotic business in China</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(1,033.9)</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(1,210.6)</w:t>
            </w:r>
          </w:p>
        </w:tc>
        <w:tc>
          <w:tcPr>
            <w:tcW w:w="1100" w:type="dxa"/>
            <w:vAlign w:val="bottom"/>
          </w:tcPr>
          <w:p>
            <w:pPr>
              <w:jc w:val="right"/>
              <w:spacing w:after="0"/>
              <w:rPr>
                <w:sz w:val="20"/>
                <w:szCs w:val="20"/>
                <w:color w:val="auto"/>
              </w:rPr>
            </w:pPr>
            <w:r>
              <w:rPr>
                <w:rFonts w:ascii="Arial" w:cs="Arial" w:eastAsia="Arial" w:hAnsi="Arial"/>
                <w:sz w:val="18"/>
                <w:szCs w:val="18"/>
                <w:color w:val="auto"/>
              </w:rPr>
              <w:t>(1,076.8)</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136.6</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2,552.5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4,852.5</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(42.7)</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(112.2)</w:t>
            </w:r>
          </w:p>
        </w:tc>
        <w:tc>
          <w:tcPr>
            <w:tcW w:w="1100" w:type="dxa"/>
            <w:vAlign w:val="bottom"/>
          </w:tcPr>
          <w:p>
            <w:pPr>
              <w:jc w:val="right"/>
              <w:spacing w:after="0"/>
              <w:rPr>
                <w:sz w:val="20"/>
                <w:szCs w:val="20"/>
                <w:color w:val="auto"/>
              </w:rPr>
            </w:pPr>
            <w:r>
              <w:rPr>
                <w:rFonts w:ascii="Arial" w:cs="Arial" w:eastAsia="Arial" w:hAnsi="Arial"/>
                <w:sz w:val="18"/>
                <w:szCs w:val="18"/>
                <w:color w:val="auto"/>
              </w:rPr>
              <w:t>(3,389.7)</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609.8</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3,509.5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2,586.0</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(247.5)</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(837.9)</w:t>
            </w:r>
          </w:p>
        </w:tc>
        <w:tc>
          <w:tcPr>
            <w:tcW w:w="1100" w:type="dxa"/>
            <w:vAlign w:val="bottom"/>
          </w:tcPr>
          <w:p>
            <w:pPr>
              <w:jc w:val="right"/>
              <w:spacing w:after="0"/>
              <w:rPr>
                <w:sz w:val="20"/>
                <w:szCs w:val="20"/>
                <w:color w:val="auto"/>
              </w:rPr>
            </w:pPr>
            <w:r>
              <w:rPr>
                <w:rFonts w:ascii="Arial" w:cs="Arial" w:eastAsia="Arial" w:hAnsi="Arial"/>
                <w:sz w:val="18"/>
                <w:szCs w:val="18"/>
                <w:color w:val="auto"/>
              </w:rPr>
              <w:t>(4,611.6)</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(319.6)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(1,807.6)</w:t>
            </w:r>
          </w:p>
        </w:tc>
        <w:tc>
          <w:tcPr>
            <w:tcW w:w="1100" w:type="dxa"/>
            <w:vAlign w:val="bottom"/>
          </w:tcPr>
          <w:p>
            <w:pPr>
              <w:jc w:val="right"/>
              <w:spacing w:after="0"/>
              <w:rPr>
                <w:sz w:val="20"/>
                <w:szCs w:val="20"/>
                <w:color w:val="auto"/>
              </w:rPr>
            </w:pPr>
            <w:r>
              <w:rPr>
                <w:rFonts w:ascii="Arial" w:cs="Arial" w:eastAsia="Arial" w:hAnsi="Arial"/>
                <w:sz w:val="18"/>
                <w:szCs w:val="18"/>
                <w:color w:val="auto"/>
              </w:rPr>
              <w:t>(1,086.8)</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(6,917.7)</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(882.1)</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(374.0)</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354.8</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(248.7)</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(187.7)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r>
      <w:tr>
        <w:trPr>
          <w:trHeight w:val="257"/>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(8,082.9)</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1,906.0</w:t>
            </w:r>
          </w:p>
        </w:tc>
        <w:tc>
          <w:tcPr>
            <w:tcW w:w="1100" w:type="dxa"/>
            <w:vAlign w:val="bottom"/>
          </w:tcPr>
          <w:p>
            <w:pPr>
              <w:jc w:val="right"/>
              <w:spacing w:after="0"/>
              <w:rPr>
                <w:sz w:val="20"/>
                <w:szCs w:val="20"/>
                <w:color w:val="auto"/>
              </w:rPr>
            </w:pPr>
            <w:r>
              <w:rPr>
                <w:rFonts w:ascii="Arial" w:cs="Arial" w:eastAsia="Arial" w:hAnsi="Arial"/>
                <w:sz w:val="18"/>
                <w:szCs w:val="18"/>
                <w:color w:val="auto"/>
              </w:rPr>
              <w:t>(3,783.6)</w:t>
            </w:r>
          </w:p>
        </w:tc>
      </w:tr>
    </w:tbl>
    <w:p>
      <w:pPr>
        <w:spacing w:after="0" w:line="290" w:lineRule="exact"/>
        <w:rPr>
          <w:sz w:val="20"/>
          <w:szCs w:val="20"/>
          <w:color w:val="auto"/>
        </w:rPr>
      </w:pPr>
    </w:p>
    <w:p>
      <w:pPr>
        <w:sectPr>
          <w:pgSz w:w="11900" w:h="16838" w:orient="portrait"/>
          <w:cols w:equalWidth="0" w:num="2">
            <w:col w:w="6680" w:space="720"/>
            <w:col w:w="4020"/>
          </w:cols>
          <w:pgMar w:left="240" w:top="54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7400" w:type="dxa"/>
            <w:vAlign w:val="bottom"/>
            <w:shd w:val="clear" w:color="auto" w:fill="D8D8D8"/>
          </w:tcPr>
          <w:p>
            <w:pPr>
              <w:ind w:left="380"/>
              <w:spacing w:after="0"/>
              <w:rPr>
                <w:sz w:val="20"/>
                <w:szCs w:val="20"/>
                <w:color w:val="auto"/>
              </w:rPr>
            </w:pPr>
            <w:r>
              <w:rPr>
                <w:rFonts w:ascii="Arial" w:cs="Arial" w:eastAsia="Arial" w:hAnsi="Arial"/>
                <w:sz w:val="18"/>
                <w:szCs w:val="18"/>
                <w:color w:val="auto"/>
              </w:rPr>
              <w:t>Dividends paid</w:t>
            </w:r>
          </w:p>
        </w:tc>
        <w:tc>
          <w:tcPr>
            <w:tcW w:w="300" w:type="dxa"/>
            <w:vAlign w:val="bottom"/>
            <w:shd w:val="clear" w:color="auto" w:fill="D8D8D8"/>
          </w:tcPr>
          <w:p>
            <w:pPr>
              <w:spacing w:after="0"/>
              <w:rPr>
                <w:sz w:val="22"/>
                <w:szCs w:val="22"/>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(2,409.8)</w:t>
            </w:r>
          </w:p>
        </w:tc>
        <w:tc>
          <w:tcPr>
            <w:tcW w:w="380" w:type="dxa"/>
            <w:vAlign w:val="bottom"/>
            <w:shd w:val="clear" w:color="auto" w:fill="D8D8D8"/>
          </w:tcPr>
          <w:p>
            <w:pPr>
              <w:spacing w:after="0"/>
              <w:rPr>
                <w:sz w:val="22"/>
                <w:szCs w:val="22"/>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(2,311.8)</w:t>
            </w:r>
          </w:p>
        </w:tc>
        <w:tc>
          <w:tcPr>
            <w:tcW w:w="380" w:type="dxa"/>
            <w:vAlign w:val="bottom"/>
            <w:shd w:val="clear" w:color="auto" w:fill="D8D8D8"/>
          </w:tcPr>
          <w:p>
            <w:pPr>
              <w:spacing w:after="0"/>
              <w:rPr>
                <w:sz w:val="22"/>
                <w:szCs w:val="22"/>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(2,192.1)</w:t>
            </w:r>
          </w:p>
        </w:tc>
        <w:tc>
          <w:tcPr>
            <w:tcW w:w="0" w:type="dxa"/>
            <w:vAlign w:val="bottom"/>
          </w:tcPr>
          <w:p>
            <w:pPr>
              <w:spacing w:after="0"/>
              <w:rPr>
                <w:sz w:val="1"/>
                <w:szCs w:val="1"/>
                <w:color w:val="auto"/>
              </w:rPr>
            </w:pPr>
          </w:p>
        </w:tc>
      </w:tr>
      <w:tr>
        <w:trPr>
          <w:trHeight w:val="263"/>
        </w:trPr>
        <w:tc>
          <w:tcPr>
            <w:tcW w:w="7400" w:type="dxa"/>
            <w:vAlign w:val="bottom"/>
          </w:tcPr>
          <w:p>
            <w:pPr>
              <w:ind w:left="380"/>
              <w:spacing w:after="0"/>
              <w:rPr>
                <w:sz w:val="20"/>
                <w:szCs w:val="20"/>
                <w:color w:val="auto"/>
              </w:rPr>
            </w:pPr>
            <w:r>
              <w:rPr>
                <w:rFonts w:ascii="Arial" w:cs="Arial" w:eastAsia="Arial" w:hAnsi="Arial"/>
                <w:sz w:val="18"/>
                <w:szCs w:val="18"/>
                <w:color w:val="auto"/>
              </w:rPr>
              <w:t>Net change in short-term borrowings</w:t>
            </w:r>
          </w:p>
        </w:tc>
        <w:tc>
          <w:tcPr>
            <w:tcW w:w="3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995.4</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(2,197.9)</w:t>
            </w:r>
          </w:p>
        </w:tc>
        <w:tc>
          <w:tcPr>
            <w:tcW w:w="3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1,397.5</w:t>
            </w:r>
          </w:p>
        </w:tc>
        <w:tc>
          <w:tcPr>
            <w:tcW w:w="0" w:type="dxa"/>
            <w:vAlign w:val="bottom"/>
          </w:tcPr>
          <w:p>
            <w:pPr>
              <w:spacing w:after="0"/>
              <w:rPr>
                <w:sz w:val="1"/>
                <w:szCs w:val="1"/>
                <w:color w:val="auto"/>
              </w:rPr>
            </w:pPr>
          </w:p>
        </w:tc>
      </w:tr>
      <w:tr>
        <w:trPr>
          <w:trHeight w:val="277"/>
        </w:trPr>
        <w:tc>
          <w:tcPr>
            <w:tcW w:w="7400" w:type="dxa"/>
            <w:vAlign w:val="bottom"/>
            <w:shd w:val="clear" w:color="auto" w:fill="D8D8D8"/>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6,556.4</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2,477.7</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2,232.0</w:t>
            </w:r>
          </w:p>
        </w:tc>
        <w:tc>
          <w:tcPr>
            <w:tcW w:w="0" w:type="dxa"/>
            <w:vAlign w:val="bottom"/>
          </w:tcPr>
          <w:p>
            <w:pPr>
              <w:spacing w:after="0"/>
              <w:rPr>
                <w:sz w:val="1"/>
                <w:szCs w:val="1"/>
                <w:color w:val="auto"/>
              </w:rPr>
            </w:pPr>
          </w:p>
        </w:tc>
      </w:tr>
      <w:tr>
        <w:trPr>
          <w:trHeight w:val="263"/>
        </w:trPr>
        <w:tc>
          <w:tcPr>
            <w:tcW w:w="740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(2,866.4)</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(1,009.1)</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77"/>
        </w:trPr>
        <w:tc>
          <w:tcPr>
            <w:tcW w:w="7400" w:type="dxa"/>
            <w:vAlign w:val="bottom"/>
            <w:shd w:val="clear" w:color="auto" w:fill="D8D8D8"/>
          </w:tcPr>
          <w:p>
            <w:pPr>
              <w:ind w:left="380"/>
              <w:spacing w:after="0"/>
              <w:rPr>
                <w:sz w:val="20"/>
                <w:szCs w:val="20"/>
                <w:color w:val="auto"/>
              </w:rPr>
            </w:pPr>
            <w:r>
              <w:rPr>
                <w:rFonts w:ascii="Arial" w:cs="Arial" w:eastAsia="Arial" w:hAnsi="Arial"/>
                <w:sz w:val="18"/>
                <w:szCs w:val="18"/>
                <w:color w:val="auto"/>
              </w:rPr>
              <w:t>Purchases of common stock</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(4,400.0)</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(4,150.7)</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63"/>
        </w:trPr>
        <w:tc>
          <w:tcPr>
            <w:tcW w:w="7400" w:type="dxa"/>
            <w:vAlign w:val="bottom"/>
          </w:tcPr>
          <w:p>
            <w:pPr>
              <w:ind w:left="380"/>
              <w:spacing w:after="0"/>
              <w:rPr>
                <w:sz w:val="20"/>
                <w:szCs w:val="20"/>
                <w:color w:val="auto"/>
              </w:rPr>
            </w:pPr>
            <w:r>
              <w:rPr>
                <w:rFonts w:ascii="Arial" w:cs="Arial" w:eastAsia="Arial" w:hAnsi="Arial"/>
                <w:sz w:val="18"/>
                <w:szCs w:val="18"/>
                <w:color w:val="auto"/>
              </w:rPr>
              <w:t>Net proceeds from Elanco initial public offering (Note 19)</w:t>
            </w:r>
          </w:p>
        </w:tc>
        <w:tc>
          <w:tcPr>
            <w:tcW w:w="3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1,659.7</w:t>
            </w:r>
          </w:p>
        </w:tc>
        <w:tc>
          <w:tcPr>
            <w:tcW w:w="3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40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Borders>
              <w:bottom w:val="single" w:sz="8" w:color="auto"/>
            </w:tcBorders>
            <w:shd w:val="clear" w:color="auto" w:fill="D8D8D8"/>
          </w:tcPr>
          <w:p>
            <w:pPr>
              <w:spacing w:after="0"/>
              <w:rPr>
                <w:sz w:val="24"/>
                <w:szCs w:val="24"/>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(200.1)</w:t>
            </w:r>
          </w:p>
        </w:tc>
        <w:tc>
          <w:tcPr>
            <w:tcW w:w="380" w:type="dxa"/>
            <w:vAlign w:val="bottom"/>
            <w:tcBorders>
              <w:bottom w:val="single" w:sz="8" w:color="auto"/>
            </w:tcBorders>
            <w:shd w:val="clear" w:color="auto" w:fill="D8D8D8"/>
          </w:tcPr>
          <w:p>
            <w:pPr>
              <w:spacing w:after="0"/>
              <w:rPr>
                <w:sz w:val="24"/>
                <w:szCs w:val="24"/>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(372.8)</w:t>
            </w:r>
          </w:p>
        </w:tc>
        <w:tc>
          <w:tcPr>
            <w:tcW w:w="380" w:type="dxa"/>
            <w:vAlign w:val="bottom"/>
            <w:tcBorders>
              <w:bottom w:val="single" w:sz="8" w:color="auto"/>
            </w:tcBorders>
            <w:shd w:val="clear" w:color="auto" w:fill="D8D8D8"/>
          </w:tcPr>
          <w:p>
            <w:pPr>
              <w:spacing w:after="0"/>
              <w:rPr>
                <w:sz w:val="24"/>
                <w:szCs w:val="24"/>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(2,324.5)</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(5,904.9)</w:t>
            </w:r>
          </w:p>
        </w:tc>
        <w:tc>
          <w:tcPr>
            <w:tcW w:w="3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0"/>
        </w:trPr>
        <w:tc>
          <w:tcPr>
            <w:tcW w:w="7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(89.9)</w:t>
            </w:r>
          </w:p>
        </w:tc>
        <w:tc>
          <w:tcPr>
            <w:tcW w:w="38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(63.6)</w:t>
            </w:r>
          </w:p>
        </w:tc>
        <w:tc>
          <w:tcPr>
            <w:tcW w:w="38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(5,660.7)</w:t>
            </w:r>
          </w:p>
        </w:tc>
        <w:tc>
          <w:tcPr>
            <w:tcW w:w="3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1,462.0</w:t>
            </w:r>
          </w:p>
        </w:tc>
        <w:tc>
          <w:tcPr>
            <w:tcW w:w="3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1,954.1</w:t>
            </w:r>
          </w:p>
        </w:tc>
        <w:tc>
          <w:tcPr>
            <w:tcW w:w="0" w:type="dxa"/>
            <w:vAlign w:val="bottom"/>
          </w:tcPr>
          <w:p>
            <w:pPr>
              <w:spacing w:after="0"/>
              <w:rPr>
                <w:sz w:val="1"/>
                <w:szCs w:val="1"/>
                <w:color w:val="auto"/>
              </w:rPr>
            </w:pPr>
          </w:p>
        </w:tc>
      </w:tr>
      <w:tr>
        <w:trPr>
          <w:trHeight w:val="235"/>
        </w:trPr>
        <w:tc>
          <w:tcPr>
            <w:tcW w:w="7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and cash equivalents at beginning of year (includes $677.5 (2019), $324.4 (2018),</w:t>
            </w:r>
          </w:p>
        </w:tc>
        <w:tc>
          <w:tcPr>
            <w:tcW w:w="300" w:type="dxa"/>
            <w:vAlign w:val="bottom"/>
            <w:shd w:val="clear" w:color="auto" w:fill="D8D8D8"/>
          </w:tcPr>
          <w:p>
            <w:pPr>
              <w:spacing w:after="0"/>
              <w:rPr>
                <w:sz w:val="20"/>
                <w:szCs w:val="20"/>
                <w:color w:val="auto"/>
              </w:rPr>
            </w:pPr>
          </w:p>
        </w:tc>
        <w:tc>
          <w:tcPr>
            <w:tcW w:w="1000" w:type="dxa"/>
            <w:vAlign w:val="bottom"/>
            <w:vMerge w:val="restart"/>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7,998.2</w:t>
            </w:r>
          </w:p>
        </w:tc>
        <w:tc>
          <w:tcPr>
            <w:tcW w:w="380" w:type="dxa"/>
            <w:vAlign w:val="bottom"/>
            <w:shd w:val="clear" w:color="auto" w:fill="D8D8D8"/>
          </w:tcPr>
          <w:p>
            <w:pPr>
              <w:spacing w:after="0"/>
              <w:rPr>
                <w:sz w:val="20"/>
                <w:szCs w:val="20"/>
                <w:color w:val="auto"/>
              </w:rPr>
            </w:pPr>
          </w:p>
        </w:tc>
        <w:tc>
          <w:tcPr>
            <w:tcW w:w="100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and $258.8 (2017) of discontinued operations)</w:t>
            </w:r>
          </w:p>
        </w:tc>
        <w:tc>
          <w:tcPr>
            <w:tcW w:w="300" w:type="dxa"/>
            <w:vAlign w:val="bottom"/>
            <w:tcBorders>
              <w:bottom w:val="single" w:sz="8" w:color="auto"/>
            </w:tcBorders>
            <w:shd w:val="clear" w:color="auto" w:fill="D8D8D8"/>
          </w:tcPr>
          <w:p>
            <w:pPr>
              <w:spacing w:after="0"/>
              <w:rPr>
                <w:sz w:val="20"/>
                <w:szCs w:val="20"/>
                <w:color w:val="auto"/>
              </w:rPr>
            </w:pPr>
          </w:p>
        </w:tc>
        <w:tc>
          <w:tcPr>
            <w:tcW w:w="1000" w:type="dxa"/>
            <w:vAlign w:val="bottom"/>
            <w:tcBorders>
              <w:bottom w:val="single" w:sz="8" w:color="auto"/>
            </w:tcBorders>
            <w:vMerge w:val="continue"/>
            <w:shd w:val="clear" w:color="auto" w:fill="D8D8D8"/>
          </w:tcPr>
          <w:p>
            <w:pPr>
              <w:spacing w:after="0"/>
              <w:rPr>
                <w:sz w:val="20"/>
                <w:szCs w:val="20"/>
                <w:color w:val="auto"/>
              </w:rPr>
            </w:pPr>
          </w:p>
        </w:tc>
        <w:tc>
          <w:tcPr>
            <w:tcW w:w="380" w:type="dxa"/>
            <w:vAlign w:val="bottom"/>
            <w:tcBorders>
              <w:bottom w:val="single" w:sz="8" w:color="auto"/>
            </w:tcBorders>
            <w:shd w:val="clear" w:color="auto" w:fill="D8D8D8"/>
          </w:tcPr>
          <w:p>
            <w:pPr>
              <w:spacing w:after="0"/>
              <w:rPr>
                <w:sz w:val="20"/>
                <w:szCs w:val="20"/>
                <w:color w:val="auto"/>
              </w:rPr>
            </w:pPr>
          </w:p>
        </w:tc>
        <w:tc>
          <w:tcPr>
            <w:tcW w:w="100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6,536.2</w:t>
            </w:r>
          </w:p>
        </w:tc>
        <w:tc>
          <w:tcPr>
            <w:tcW w:w="380" w:type="dxa"/>
            <w:vAlign w:val="bottom"/>
            <w:tcBorders>
              <w:bottom w:val="single" w:sz="8" w:color="auto"/>
            </w:tcBorders>
            <w:shd w:val="clear" w:color="auto" w:fill="D8D8D8"/>
          </w:tcPr>
          <w:p>
            <w:pPr>
              <w:spacing w:after="0"/>
              <w:rPr>
                <w:sz w:val="20"/>
                <w:szCs w:val="20"/>
                <w:color w:val="auto"/>
              </w:rPr>
            </w:pPr>
          </w:p>
        </w:tc>
        <w:tc>
          <w:tcPr>
            <w:tcW w:w="9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4,582.1</w:t>
            </w:r>
          </w:p>
        </w:tc>
        <w:tc>
          <w:tcPr>
            <w:tcW w:w="0" w:type="dxa"/>
            <w:vAlign w:val="bottom"/>
          </w:tcPr>
          <w:p>
            <w:pPr>
              <w:spacing w:after="0"/>
              <w:rPr>
                <w:sz w:val="1"/>
                <w:szCs w:val="1"/>
                <w:color w:val="auto"/>
              </w:rPr>
            </w:pPr>
          </w:p>
        </w:tc>
      </w:tr>
      <w:tr>
        <w:trPr>
          <w:trHeight w:val="187"/>
        </w:trPr>
        <w:tc>
          <w:tcPr>
            <w:tcW w:w="7400" w:type="dxa"/>
            <w:vAlign w:val="bottom"/>
          </w:tcPr>
          <w:p>
            <w:pPr>
              <w:ind w:left="40"/>
              <w:spacing w:after="0" w:line="187" w:lineRule="exact"/>
              <w:rPr>
                <w:sz w:val="20"/>
                <w:szCs w:val="20"/>
                <w:color w:val="auto"/>
              </w:rPr>
            </w:pPr>
            <w:r>
              <w:rPr>
                <w:rFonts w:ascii="Arial" w:cs="Arial" w:eastAsia="Arial" w:hAnsi="Arial"/>
                <w:sz w:val="18"/>
                <w:szCs w:val="18"/>
                <w:b w:val="1"/>
                <w:bCs w:val="1"/>
                <w:color w:val="auto"/>
              </w:rPr>
              <w:t>Cash and Cash Equivalents at End of Year (includes $677.5 (2018) and $324.4 (2017)</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2,337.5</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of discontinued operations)</w:t>
            </w:r>
          </w:p>
        </w:tc>
        <w:tc>
          <w:tcPr>
            <w:tcW w:w="3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7,998.2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6,536.2</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541" w:right="239" w:bottom="1440" w:gutter="0" w:footer="0" w:header="0"/>
          <w:type w:val="continuous"/>
        </w:sectPr>
      </w:pPr>
    </w:p>
    <w:p>
      <w:pPr>
        <w:spacing w:after="0" w:line="212"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55</w:t>
      </w:r>
    </w:p>
    <w:p>
      <w:pPr>
        <w:sectPr>
          <w:pgSz w:w="11900" w:h="16838" w:orient="portrait"/>
          <w:cols w:equalWidth="0" w:num="1">
            <w:col w:w="11420"/>
          </w:cols>
          <w:pgMar w:left="240" w:top="541"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32"/>
          <w:szCs w:val="32"/>
          <w:i w:val="1"/>
          <w:iCs w:val="1"/>
          <w:color w:val="CC0000"/>
        </w:rPr>
        <w:t>Notes to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CC0000"/>
        </w:rPr>
        <w:t>ELI LILLY AND COMPANY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 Summary of Significant Accounting Policies and Implementation of New Financial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The accounts of all wholly-owned and majority-owned subsidiaries are included in the consolidated financial statements. Where our ownership of consolidated subsidiaries is less than 100 percent, the noncontrolling shareholders’ interests are reflected as a separate component of equity. All intercompany balances and transactions have been eliminated.</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(SEC) and have evaluated subsequent events up to the time of the filing of our Form 10-K.</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All per-share amounts, unless otherwise noted in the footnotes, are presented on a diluted basis.</w:t>
      </w:r>
    </w:p>
    <w:p>
      <w:pPr>
        <w:spacing w:after="0" w:line="17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Incorporated (Elanco) common stock through a tax-free exchange offer. As a result, Elanco has been presented as discontinued operations in our consolidated financial statements for all periods presented.</w:t>
      </w: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Following the completion of the disposition of Elanco, we now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 (IPR&amp;D)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 the following:</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Research and development costs, which are expensed as incurred.</w:t>
      </w:r>
    </w:p>
    <w:p>
      <w:pPr>
        <w:spacing w:after="0" w:line="117"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Milestone payment obligations incurred prior to regulatory approval of the product, which are accrued when the event requiring payment of the milestone occurs.</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Acquired IPR&amp;D expense includes the initial costs of externally developed IPR&amp;D projects, acquired directly in a transaction other than a business combination, that do not have an alternative future use.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139"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We calculate basic EPS based on the weighted-average number of common shares outstanding and incremental shares from potential participating securities. We calculate diluted EPS based on the weighted-average number of common shares outstanding, including incremental shares from our stock-based compensation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Operations in our subsidiaries outside the United States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 average currency rate for the period. Assets and liabilities 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56</w:t>
      </w:r>
    </w:p>
    <w:p>
      <w:pPr>
        <w:sectPr>
          <w:pgSz w:w="11900" w:h="16838" w:orient="portrait"/>
          <w:cols w:equalWidth="0" w:num="1">
            <w:col w:w="11400"/>
          </w:cols>
          <w:pgMar w:left="240" w:top="541" w:right="259" w:bottom="1440" w:gutter="0" w:footer="0" w:header="0"/>
        </w:sectPr>
      </w:pPr>
    </w:p>
    <w:bookmarkStart w:id="56" w:name="page57"/>
    <w:bookmarkEnd w:id="56"/>
    <w:p>
      <w:pPr>
        <w:ind w:right="520"/>
        <w:spacing w:after="0" w:line="262" w:lineRule="auto"/>
        <w:rPr>
          <w:sz w:val="20"/>
          <w:szCs w:val="20"/>
          <w:color w:val="auto"/>
        </w:rPr>
      </w:pPr>
      <w:r>
        <w:rPr>
          <w:rFonts w:ascii="Arial" w:cs="Arial" w:eastAsia="Arial" w:hAnsi="Arial"/>
          <w:sz w:val="18"/>
          <w:szCs w:val="18"/>
          <w:color w:val="auto"/>
        </w:rPr>
        <w:t>translated using the period end exchange rates. The U.S. dollar effects that arise from translating the net assets of these subsidiaries are recorded in other comprehensive income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39"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Costs associated with advertising are expensed as incurred and are included in marketing, selling, and administrative expenses. Advertising expenses, comprised primarily of television, radio, print media, and Internet advertising, totaled approximately $1.1 billion, $900 million, and $700 million in 2019, 2018, and 2017, respectively, which was less than 5 percent of revenue each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Effective January 1, 2019 we adopted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 applied at the beginning of the period of adoption, and we elected the package of transitional practical expedients. The adoption of this standard resulted in recording of operating lease assets of approximately $530 million, which included reclassifying approximately $65 million of deferred rent and lease incentives, net of prepaid rent, as a component of the operating lease assets as of January 1, 2019. The adoption also resulted in recording operating lease liabilities of approximately $595 million as of January 1, 2019. Our accounting for finance leases remained substantially unchanged. The standard did not have an impact on our consolidated statements of operations.</w:t>
      </w:r>
    </w:p>
    <w:p>
      <w:pPr>
        <w:spacing w:after="0" w:line="18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Effective January 1, 2018, we adopted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other related updates. This standard requires entities to recognize revenue to depict the transfer of promised goods or services to customers in an amount that reflects the consideration to which the entity expects to be entitled in exchange for those goods or services. We applied this standard to contracts for which performance was not substantially complete as of the date of adoption. For those contracts that were modified prior to the date of adoption, we reflected the aggregate effect of those modifications when determining the appropriate accounting under the new standard. We don’t believe the effect of applying this practical expedient resulted in material differences. We applied this standard through a cumulative effect adjustment to retained earnings as of the beginning of the year of adoption. Upon adoption, the cumulative effect of applying this standard resulted in an increase of approximately $5 million to retained earnings as of January 1, 2018. Revenue presented for periods prior to 2018 was accounted for under previous standards and has not been adjusted. Revenue and net income for 2018 did not differ materially from amounts that would have resulted from application of the previous standards.</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January 1, 2018, we adopted Accounting Standards Update 2016-01 (ASU 2016-01), </w:t>
      </w:r>
      <w:r>
        <w:rPr>
          <w:rFonts w:ascii="Arial" w:cs="Arial" w:eastAsia="Arial" w:hAnsi="Arial"/>
          <w:sz w:val="18"/>
          <w:szCs w:val="18"/>
          <w:i w:val="1"/>
          <w:iCs w:val="1"/>
          <w:color w:val="auto"/>
        </w:rPr>
        <w:t>Financial Instruments - Overall: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Financial Assets and Financial Liabilities. </w:t>
      </w:r>
      <w:r>
        <w:rPr>
          <w:rFonts w:ascii="Arial" w:cs="Arial" w:eastAsia="Arial" w:hAnsi="Arial"/>
          <w:sz w:val="18"/>
          <w:szCs w:val="18"/>
          <w:color w:val="auto"/>
        </w:rPr>
        <w:t>This standard requires entities to recognize changes in the fair value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with readily determinable fair values in net income (except for investments accounted for under the equity method of accounting or those that result in consolidation of the investee). We applied the new standard through a cumulative effect adjustment to retained earnings as of the beginning of the year of adoption. Upon adoption, we reclassified from accumulated other comprehensive loss the after-tax amount of net unrealized gains resulting in an increase to retained earnings of approximately $105 million. Adoption of this standard did not result in a material change in net income in the year of adoption.</w:t>
      </w:r>
    </w:p>
    <w:p>
      <w:pPr>
        <w:spacing w:after="0" w:line="8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Effective January 1, 2018, we adopted Accounting Standards Update 2016-16, </w:t>
      </w:r>
      <w:r>
        <w:rPr>
          <w:rFonts w:ascii="Arial" w:cs="Arial" w:eastAsia="Arial" w:hAnsi="Arial"/>
          <w:sz w:val="18"/>
          <w:szCs w:val="18"/>
          <w:i w:val="1"/>
          <w:iCs w:val="1"/>
          <w:color w:val="auto"/>
        </w:rPr>
        <w:t>Income Taxes: Intra-Entity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Inventory. </w:t>
      </w:r>
      <w:r>
        <w:rPr>
          <w:rFonts w:ascii="Arial" w:cs="Arial" w:eastAsia="Arial" w:hAnsi="Arial"/>
          <w:sz w:val="18"/>
          <w:szCs w:val="18"/>
          <w:color w:val="auto"/>
        </w:rPr>
        <w:t>This standard requires entities to recognize the income tax consequences of intra-entity transfers of assets other than inventory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transfer. We adopted this standard using a modified retrospective approach. Upon adoption, the cumulative effect of applying this standard resulted in an increase of approximately $700 million to retained earnings, $2.5 billion to deferred tax assets, and $1.8 billion to deferred tax liabilities as of January 1, 2018. Adoption of this standard did not result in a material change in net income in the year of adoption.</w:t>
      </w:r>
    </w:p>
    <w:p>
      <w:pPr>
        <w:spacing w:after="0" w:line="18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We elected to early adopt Accounting Standards Update 2018-02, </w:t>
      </w:r>
      <w:r>
        <w:rPr>
          <w:rFonts w:ascii="Arial" w:cs="Arial" w:eastAsia="Arial" w:hAnsi="Arial"/>
          <w:sz w:val="18"/>
          <w:szCs w:val="18"/>
          <w:i w:val="1"/>
          <w:iCs w:val="1"/>
          <w:color w:val="auto"/>
        </w:rPr>
        <w:t>Income Statement-Reporting Comprehensive Income: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Tax Effects from Accumulated Other Comprehensive Income, </w:t>
      </w:r>
      <w:r>
        <w:rPr>
          <w:rFonts w:ascii="Arial" w:cs="Arial" w:eastAsia="Arial" w:hAnsi="Arial"/>
          <w:sz w:val="18"/>
          <w:szCs w:val="18"/>
          <w:color w:val="auto"/>
        </w:rPr>
        <w:t>as of December 31, 2017, which allowed a reclassification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loss to retained earnings for stranded tax effects resulting from the Tax Cuts and Jobs Act (2017 Tax Act - see Note 14). This standard allowed us to reclassify the effect of remeasuring deferred tax liabilities and assets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57</w:t>
      </w:r>
    </w:p>
    <w:p>
      <w:pPr>
        <w:sectPr>
          <w:pgSz w:w="11900" w:h="16838" w:orient="portrait"/>
          <w:cols w:equalWidth="0" w:num="1">
            <w:col w:w="11420"/>
          </w:cols>
          <w:pgMar w:left="240" w:top="679" w:right="239" w:bottom="1440" w:gutter="0" w:footer="0" w:header="0"/>
        </w:sectPr>
      </w:pPr>
    </w:p>
    <w:bookmarkStart w:id="57" w:name="page58"/>
    <w:bookmarkEnd w:id="57"/>
    <w:p>
      <w:pPr>
        <w:ind w:right="120"/>
        <w:spacing w:after="0" w:line="256" w:lineRule="auto"/>
        <w:rPr>
          <w:sz w:val="20"/>
          <w:szCs w:val="20"/>
          <w:color w:val="auto"/>
        </w:rPr>
      </w:pPr>
      <w:r>
        <w:rPr>
          <w:rFonts w:ascii="Arial" w:cs="Arial" w:eastAsia="Arial" w:hAnsi="Arial"/>
          <w:sz w:val="18"/>
          <w:szCs w:val="18"/>
          <w:color w:val="auto"/>
        </w:rPr>
        <w:t>related to items within accumulated other comprehensive loss using the then newly enacted 21 percent federal corporate income tax rate. The provisional effect of this early adoption was a reclassification from accumulated other comprehensive loss, which resulted in an increase to retained earnings of $643.6 million as of December 31,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2: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0"/>
        </w:trPr>
        <w:tc>
          <w:tcPr>
            <w:tcW w:w="60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product revenue</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20,377.3</w:t>
            </w:r>
          </w:p>
        </w:tc>
        <w:tc>
          <w:tcPr>
            <w:tcW w:w="5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19,866.4</w:t>
            </w:r>
          </w:p>
        </w:tc>
        <w:tc>
          <w:tcPr>
            <w:tcW w:w="4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18,776.5</w:t>
            </w:r>
          </w:p>
        </w:tc>
      </w:tr>
      <w:tr>
        <w:trPr>
          <w:trHeight w:val="270"/>
        </w:trPr>
        <w:tc>
          <w:tcPr>
            <w:tcW w:w="60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Collaboration and other revenue</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1,942.2</w:t>
            </w: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1,626.9</w:t>
            </w:r>
          </w:p>
        </w:tc>
        <w:tc>
          <w:tcPr>
            <w:tcW w:w="4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1,197.3</w:t>
            </w:r>
          </w:p>
        </w:tc>
      </w:tr>
      <w:tr>
        <w:trPr>
          <w:trHeight w:val="271"/>
        </w:trPr>
        <w:tc>
          <w:tcPr>
            <w:tcW w:w="60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22,319.5</w:t>
            </w:r>
          </w:p>
        </w:tc>
        <w:tc>
          <w:tcPr>
            <w:tcW w:w="5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21,493.3</w:t>
            </w:r>
          </w:p>
        </w:tc>
        <w:tc>
          <w:tcPr>
            <w:tcW w:w="4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19,973.8</w:t>
            </w:r>
          </w:p>
        </w:tc>
      </w:tr>
    </w:tbl>
    <w:p>
      <w:pPr>
        <w:spacing w:after="0" w:line="329" w:lineRule="exact"/>
        <w:rPr>
          <w:sz w:val="20"/>
          <w:szCs w:val="20"/>
          <w:color w:val="auto"/>
        </w:rPr>
      </w:pPr>
    </w:p>
    <w:p>
      <w:pPr>
        <w:ind w:left="180" w:right="20" w:hanging="172"/>
        <w:spacing w:after="0" w:line="225" w:lineRule="auto"/>
        <w:tabs>
          <w:tab w:leader="none" w:pos="153" w:val="left"/>
        </w:tabs>
        <w:numPr>
          <w:ilvl w:val="0"/>
          <w:numId w:val="45"/>
        </w:numPr>
        <w:rPr>
          <w:rFonts w:ascii="Arial" w:cs="Arial" w:eastAsia="Arial" w:hAnsi="Arial"/>
          <w:sz w:val="17"/>
          <w:szCs w:val="17"/>
          <w:color w:val="auto"/>
          <w:vertAlign w:val="superscript"/>
        </w:rPr>
      </w:pPr>
      <w:r>
        <w:rPr>
          <w:rFonts w:ascii="Arial" w:cs="Arial" w:eastAsia="Arial" w:hAnsi="Arial"/>
          <w:sz w:val="14"/>
          <w:szCs w:val="14"/>
          <w:color w:val="auto"/>
        </w:rPr>
        <w:t>Collaboration and other revenue associated with prior period transfers of intellectual property was $301.5 million, $303.2 million, and $144.9 million during the years ended 2019, 2018, and 2017, respectively.</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Jardiance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70 days from date of shipment. Revenue for our product sales has not been adjusted for the effects of a financing component as we expect, at contract inception, that the period between when we transfer control of the product and when we receive payment will be one year or less. Any exceptions are either not material or we collect interest for payments made after the due date. Provisions for rebates, discounts, and returns are established in the same period the related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104"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Most of our products are sold to wholesalers that serve pharmacies, physicians and other health care professionals, and hospitals. For the years ended December 31, 2019, 2018, and 2017, our three largest wholesalers each accounted for between 14 percent and 21 percent of consolidated total revenue. Further, they each accounted for between 19 percent and 25 percent of accounts receivable as of December 31, 2019 and 2018.</w:t>
      </w:r>
    </w:p>
    <w:p>
      <w:pPr>
        <w:spacing w:after="0" w:line="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discounts and returns. The following describe the most significant of these judgments: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Rebates and Discounts - Background and Uncertainties</w:t>
      </w:r>
    </w:p>
    <w:p>
      <w:pPr>
        <w:spacing w:after="0" w:line="117" w:lineRule="exact"/>
        <w:rPr>
          <w:sz w:val="20"/>
          <w:szCs w:val="20"/>
          <w:color w:val="auto"/>
        </w:rPr>
      </w:pPr>
    </w:p>
    <w:p>
      <w:pPr>
        <w:ind w:left="660" w:right="20" w:hanging="328"/>
        <w:spacing w:after="0" w:line="25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must estimate any rebates or discounts that ultimately will be due to the direct customer and other customers in the distribution chain under the terms of our contracts. Significant judgments are required in making these estimates.</w:t>
      </w:r>
    </w:p>
    <w:p>
      <w:pPr>
        <w:spacing w:after="0" w:line="9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revenue. Sales rebates and discounts that require the use of judgment in the establishment of the accrual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w:t>
      </w:r>
    </w:p>
    <w:p>
      <w:pPr>
        <w:sectPr>
          <w:pgSz w:w="11900" w:h="16838" w:orient="portrait"/>
          <w:cols w:equalWidth="0" w:num="1">
            <w:col w:w="11420"/>
          </w:cols>
          <w:pgMar w:left="240" w:top="679" w:right="239" w:bottom="1440" w:gutter="0" w:footer="0" w:header="0"/>
        </w:sectPr>
      </w:pPr>
    </w:p>
    <w:bookmarkStart w:id="58" w:name="page59"/>
    <w:bookmarkEnd w:id="58"/>
    <w:p>
      <w:pPr>
        <w:ind w:left="660" w:right="380"/>
        <w:spacing w:after="0" w:line="262" w:lineRule="auto"/>
        <w:rPr>
          <w:sz w:val="20"/>
          <w:szCs w:val="20"/>
          <w:color w:val="auto"/>
        </w:rPr>
      </w:pPr>
      <w:r>
        <w:rPr>
          <w:rFonts w:ascii="Arial" w:cs="Arial" w:eastAsia="Arial" w:hAnsi="Arial"/>
          <w:sz w:val="18"/>
          <w:szCs w:val="18"/>
          <w:color w:val="auto"/>
        </w:rPr>
        <w:t>include managed care, Medicare, Medicaid, chargebacks, long-term care, hospital, patient assistance programs, and various other programs. We estimate these accruals using an expected value approach.</w:t>
      </w:r>
    </w:p>
    <w:p>
      <w:pPr>
        <w:spacing w:after="0" w:line="88" w:lineRule="exact"/>
        <w:rPr>
          <w:sz w:val="20"/>
          <w:szCs w:val="20"/>
          <w:color w:val="auto"/>
        </w:rPr>
      </w:pPr>
    </w:p>
    <w:p>
      <w:pPr>
        <w:ind w:left="660" w:right="80" w:hanging="328"/>
        <w:spacing w:after="0" w:line="25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largest of our sales rebate and discount amounts are rebates associated with sales covered by managed care, Medicare, Medicaid, chargeback, and patient assistance programs in the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rebates related to these programs at the time we record the sale, the rebate related to that sale is typically paid up to six months later. Because of this time lag, in any particular period our rebate adjustments may incorporate revisions of accruals for several periods.</w:t>
      </w:r>
    </w:p>
    <w:p>
      <w:pPr>
        <w:spacing w:after="0" w:line="99"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Returns - Background and Uncertainties</w:t>
      </w:r>
    </w:p>
    <w:p>
      <w:pPr>
        <w:spacing w:after="0" w:line="117" w:lineRule="exact"/>
        <w:rPr>
          <w:sz w:val="20"/>
          <w:szCs w:val="20"/>
          <w:color w:val="auto"/>
        </w:rPr>
      </w:pPr>
    </w:p>
    <w:p>
      <w:pPr>
        <w:ind w:left="660" w:right="20" w:hanging="328"/>
        <w:spacing w:after="0" w:line="267"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as well as any other specifically-identified anticipated returns due to known factors such as the loss of patent exclusivity, product recalls and discontinuances, or a changing competitive environment. We maintain a returns policy that allows U.S.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We record the return amounts as a deduction to arrive at our net product revenue.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91" w:lineRule="exact"/>
        <w:rPr>
          <w:rFonts w:ascii="Arial" w:cs="Arial" w:eastAsia="Arial" w:hAnsi="Arial"/>
          <w:sz w:val="17"/>
          <w:szCs w:val="17"/>
          <w:color w:val="auto"/>
        </w:rPr>
      </w:pPr>
    </w:p>
    <w:p>
      <w:pPr>
        <w:ind w:left="660" w:right="100" w:hanging="328"/>
        <w:spacing w:after="0" w:line="25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sold to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104"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product returns have been less than 2 percent of our net revenue over each of the past three years and have not fluctuated significantly as a percentage of revenue, although fluctuations are more likely in periods following loss of patent exclusivity for major products in the U.S. market.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59</w:t>
      </w:r>
    </w:p>
    <w:p>
      <w:pPr>
        <w:sectPr>
          <w:pgSz w:w="11900" w:h="16838" w:orient="portrait"/>
          <w:cols w:equalWidth="0" w:num="1">
            <w:col w:w="11420"/>
          </w:cols>
          <w:pgMar w:left="240" w:top="67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Adjustments to revenue recognized as a result of changes in estimates for the judgments described above for our most significant U.S. sales returns, rebates, and discounts liability balances for products shipped in previous periods were approximately 2 percent and 1 percent of U.S revenue during 2019 and 2018,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Other Arrangements</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recognize several types of revenue from our collaborations and other arrangements, which we discuss in general terms immediately below and more specifically in Note 4 for each of our material collaborations and other arrangements. Our collaborations and other arrangements are not contracts with customers but are evaluated to determine whether any aspects of the arrangements are contracts with customers.</w:t>
      </w:r>
    </w:p>
    <w:p>
      <w:pPr>
        <w:spacing w:after="0" w:line="94" w:lineRule="exact"/>
        <w:rPr>
          <w:sz w:val="20"/>
          <w:szCs w:val="20"/>
          <w:color w:val="auto"/>
        </w:rPr>
      </w:pPr>
    </w:p>
    <w:p>
      <w:pPr>
        <w:ind w:left="66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while other sources of revenue (e.g., royalties and profit sharing from our partner) are included in collaboration and other revenue.</w:t>
      </w:r>
    </w:p>
    <w:p>
      <w:pPr>
        <w:spacing w:after="0" w:line="88" w:lineRule="exact"/>
        <w:rPr>
          <w:rFonts w:ascii="Arial" w:cs="Arial" w:eastAsia="Arial" w:hAnsi="Arial"/>
          <w:sz w:val="18"/>
          <w:szCs w:val="18"/>
          <w:color w:val="auto"/>
        </w:rPr>
      </w:pPr>
    </w:p>
    <w:p>
      <w:pPr>
        <w:jc w:val="both"/>
        <w:ind w:left="660" w:right="68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Initial fees and developmental milestones we receive in collaborative and other similar arrangements from the partnering of our compounds under development are generally deferred and amortized into income through the expected product approval date.</w:t>
      </w:r>
    </w:p>
    <w:p>
      <w:pPr>
        <w:spacing w:after="0" w:line="88"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88" w:lineRule="exact"/>
        <w:rPr>
          <w:rFonts w:ascii="Arial" w:cs="Arial" w:eastAsia="Arial" w:hAnsi="Arial"/>
          <w:sz w:val="18"/>
          <w:szCs w:val="18"/>
          <w:color w:val="auto"/>
        </w:rPr>
      </w:pPr>
    </w:p>
    <w:p>
      <w:pPr>
        <w:jc w:val="both"/>
        <w:ind w:left="660" w:right="38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Royalty revenue from licensees, which is based on sales to third-parties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93" w:lineRule="exact"/>
        <w:rPr>
          <w:rFonts w:ascii="Arial" w:cs="Arial" w:eastAsia="Arial" w:hAnsi="Arial"/>
          <w:sz w:val="18"/>
          <w:szCs w:val="18"/>
          <w:color w:val="auto"/>
        </w:rPr>
      </w:pPr>
    </w:p>
    <w:p>
      <w:pPr>
        <w:ind w:left="660" w:right="120" w:hanging="328"/>
        <w:spacing w:after="0" w:line="25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 of each performance obligation. For arrangements that involve variable consideration where we have sold intellectual property, we recognize revenue based on estimates of the amount of consideration we believe we will be entitled to receive from the other party, subject to a constraint. These estimates are adjusted to reflect the actual amounts to be collected when those facts and circumstances become known.</w:t>
      </w:r>
    </w:p>
    <w:p>
      <w:pPr>
        <w:spacing w:after="0" w:line="98"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entered into arrangements whereby we transferred rights to products and committed to supply for a period of time. For those arrangements for which we concluded that the obligations were not distinct, any amounts received upfront are being amortized to revenue as net product revenue over the period of the supply arrangement as the performance obligation is satisfied.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2018</w:t>
            </w:r>
          </w:p>
        </w:tc>
      </w:tr>
      <w:tr>
        <w:trPr>
          <w:trHeight w:val="270"/>
        </w:trPr>
        <w:tc>
          <w:tcPr>
            <w:tcW w:w="3660" w:type="dxa"/>
            <w:vAlign w:val="bottom"/>
            <w:shd w:val="clear" w:color="auto" w:fill="D1D1D1"/>
          </w:tcPr>
          <w:p>
            <w:pPr>
              <w:jc w:val="right"/>
              <w:ind w:right="2130"/>
              <w:spacing w:after="0"/>
              <w:rPr>
                <w:sz w:val="20"/>
                <w:szCs w:val="20"/>
                <w:color w:val="auto"/>
              </w:rPr>
            </w:pPr>
            <w:r>
              <w:rPr>
                <w:rFonts w:ascii="Arial" w:cs="Arial" w:eastAsia="Arial" w:hAnsi="Arial"/>
                <w:sz w:val="18"/>
                <w:szCs w:val="18"/>
                <w:color w:val="auto"/>
              </w:rPr>
              <w:t>Contract liabilities</w:t>
            </w:r>
          </w:p>
        </w:tc>
        <w:tc>
          <w:tcPr>
            <w:tcW w:w="2820" w:type="dxa"/>
            <w:vAlign w:val="bottom"/>
            <w:shd w:val="clear" w:color="auto" w:fill="D1D1D1"/>
          </w:tcPr>
          <w:p>
            <w:pPr>
              <w:jc w:val="right"/>
              <w:ind w:right="430"/>
              <w:spacing w:after="0"/>
              <w:rPr>
                <w:sz w:val="20"/>
                <w:szCs w:val="20"/>
                <w:color w:val="auto"/>
              </w:rPr>
            </w:pPr>
            <w:r>
              <w:rPr>
                <w:rFonts w:ascii="Arial" w:cs="Arial" w:eastAsia="Arial" w:hAnsi="Arial"/>
                <w:sz w:val="18"/>
                <w:szCs w:val="18"/>
                <w:b w:val="1"/>
                <w:bCs w:val="1"/>
                <w:color w:val="auto"/>
              </w:rPr>
              <w:t>$</w:t>
            </w:r>
          </w:p>
        </w:tc>
        <w:tc>
          <w:tcPr>
            <w:tcW w:w="2100" w:type="dxa"/>
            <w:vAlign w:val="bottom"/>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264.6</w:t>
            </w:r>
          </w:p>
        </w:tc>
        <w:tc>
          <w:tcPr>
            <w:tcW w:w="740" w:type="dxa"/>
            <w:vAlign w:val="bottom"/>
            <w:shd w:val="clear" w:color="auto" w:fill="D1D1D1"/>
          </w:tcPr>
          <w:p>
            <w:pPr>
              <w:jc w:val="right"/>
              <w:ind w:right="43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1D1D1"/>
          </w:tcPr>
          <w:p>
            <w:pPr>
              <w:jc w:val="right"/>
              <w:ind w:right="10"/>
              <w:spacing w:after="0"/>
              <w:rPr>
                <w:sz w:val="20"/>
                <w:szCs w:val="20"/>
                <w:color w:val="auto"/>
              </w:rPr>
            </w:pPr>
            <w:r>
              <w:rPr>
                <w:rFonts w:ascii="Arial" w:cs="Arial" w:eastAsia="Arial" w:hAnsi="Arial"/>
                <w:sz w:val="18"/>
                <w:szCs w:val="18"/>
                <w:color w:val="auto"/>
              </w:rPr>
              <w:t>294.9</w:t>
            </w:r>
          </w:p>
        </w:tc>
      </w:tr>
      <w:tr>
        <w:trPr>
          <w:trHeight w:val="648"/>
        </w:trPr>
        <w:tc>
          <w:tcPr>
            <w:tcW w:w="3660" w:type="dxa"/>
            <w:vAlign w:val="bottom"/>
          </w:tcPr>
          <w:p>
            <w:pPr>
              <w:jc w:val="right"/>
              <w:ind w:right="3390"/>
              <w:spacing w:after="0"/>
              <w:rPr>
                <w:sz w:val="20"/>
                <w:szCs w:val="20"/>
                <w:color w:val="auto"/>
              </w:rPr>
            </w:pPr>
            <w:r>
              <w:rPr>
                <w:rFonts w:ascii="Arial" w:cs="Arial" w:eastAsia="Arial" w:hAnsi="Arial"/>
                <w:sz w:val="18"/>
                <w:szCs w:val="18"/>
                <w:b w:val="1"/>
                <w:bCs w:val="1"/>
                <w:i w:val="1"/>
                <w:iCs w:val="1"/>
                <w:color w:val="auto"/>
                <w:w w:val="79"/>
              </w:rPr>
              <w:t>60</w:t>
            </w:r>
          </w:p>
        </w:tc>
        <w:tc>
          <w:tcPr>
            <w:tcW w:w="2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20"/>
          </w:cols>
          <w:pgMar w:left="240" w:top="679" w:right="239" w:bottom="1440" w:gutter="0" w:footer="0" w:header="0"/>
        </w:sectPr>
      </w:pPr>
    </w:p>
    <w:bookmarkStart w:id="60" w:name="page61"/>
    <w:bookmarkEnd w:id="60"/>
    <w:p>
      <w:pPr>
        <w:ind w:right="220"/>
        <w:spacing w:after="0" w:line="262" w:lineRule="auto"/>
        <w:rPr>
          <w:sz w:val="20"/>
          <w:szCs w:val="20"/>
          <w:color w:val="auto"/>
        </w:rPr>
      </w:pPr>
      <w:r>
        <w:rPr>
          <w:rFonts w:ascii="Arial" w:cs="Arial" w:eastAsia="Arial" w:hAnsi="Arial"/>
          <w:sz w:val="18"/>
          <w:szCs w:val="18"/>
          <w:color w:val="auto"/>
        </w:rPr>
        <w:t>The contract liabilities balances disclosed above as of December 31, 2019 and 2018 were primarily related to the remaining license period of symbolic intellectual property and obligations to supply product for a defined period of time.</w:t>
      </w:r>
    </w:p>
    <w:p>
      <w:pPr>
        <w:spacing w:after="0" w:line="8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During the years ended December 31, 2019 and 2018, revenue recognized from contract liabilities as of the beginning of the year was not material. Revenue expected to be recognized in the future from contract liabilities as the related performance obligations are satisfied is not expected to be material in any one year.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58"/>
        </w:trPr>
        <w:tc>
          <w:tcPr>
            <w:tcW w:w="4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Revenue—to unaffiliated customers: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000" w:type="dxa"/>
            <w:vAlign w:val="bottom"/>
            <w:shd w:val="clear" w:color="auto" w:fill="D8D8D8"/>
          </w:tcPr>
          <w:p>
            <w:pPr>
              <w:ind w:left="500"/>
              <w:spacing w:after="0"/>
              <w:rPr>
                <w:sz w:val="20"/>
                <w:szCs w:val="20"/>
                <w:color w:val="auto"/>
              </w:rPr>
            </w:pPr>
            <w:r>
              <w:rPr>
                <w:rFonts w:ascii="Arial" w:cs="Arial" w:eastAsia="Arial" w:hAnsi="Arial"/>
                <w:sz w:val="18"/>
                <w:szCs w:val="18"/>
                <w:color w:val="auto"/>
              </w:rPr>
              <w:t>Endocrinology:</w:t>
            </w:r>
          </w:p>
        </w:tc>
        <w:tc>
          <w:tcPr>
            <w:tcW w:w="220" w:type="dxa"/>
            <w:vAlign w:val="bottom"/>
            <w:shd w:val="clear" w:color="auto" w:fill="D8D8D8"/>
          </w:tcPr>
          <w:p>
            <w:pPr>
              <w:spacing w:after="0"/>
              <w:rPr>
                <w:sz w:val="24"/>
                <w:szCs w:val="24"/>
                <w:color w:val="auto"/>
              </w:rPr>
            </w:pPr>
          </w:p>
        </w:tc>
        <w:tc>
          <w:tcPr>
            <w:tcW w:w="94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92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92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880" w:type="dxa"/>
            <w:vAlign w:val="bottom"/>
            <w:shd w:val="clear" w:color="auto" w:fill="D8D8D8"/>
          </w:tcPr>
          <w:p>
            <w:pPr>
              <w:spacing w:after="0"/>
              <w:rPr>
                <w:sz w:val="24"/>
                <w:szCs w:val="24"/>
                <w:color w:val="auto"/>
              </w:rPr>
            </w:pPr>
          </w:p>
        </w:tc>
      </w:tr>
      <w:tr>
        <w:trPr>
          <w:trHeight w:val="270"/>
        </w:trPr>
        <w:tc>
          <w:tcPr>
            <w:tcW w:w="4000" w:type="dxa"/>
            <w:vAlign w:val="bottom"/>
          </w:tcPr>
          <w:p>
            <w:pPr>
              <w:ind w:left="8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3,155.2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2,515.8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1,609.8</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972.7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683.3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419.9</w:t>
            </w: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 (2)</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1,669.7</w:t>
            </w:r>
          </w:p>
        </w:tc>
        <w:tc>
          <w:tcPr>
            <w:tcW w:w="3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1,787.8</w:t>
            </w:r>
          </w:p>
        </w:tc>
        <w:tc>
          <w:tcPr>
            <w:tcW w:w="34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1,717.8</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1,151.0</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1,208.7</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1,147.4</w:t>
            </w:r>
          </w:p>
        </w:tc>
      </w:tr>
      <w:tr>
        <w:trPr>
          <w:trHeight w:val="270"/>
        </w:trPr>
        <w:tc>
          <w:tcPr>
            <w:tcW w:w="4000" w:type="dxa"/>
            <w:vAlign w:val="bottom"/>
          </w:tcPr>
          <w:p>
            <w:pPr>
              <w:ind w:left="8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645.5</w:t>
            </w:r>
          </w:p>
        </w:tc>
        <w:tc>
          <w:tcPr>
            <w:tcW w:w="3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757.9</w:t>
            </w: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965.2</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759.1</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817.7</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783.8</w:t>
            </w: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879.7</w:t>
            </w:r>
          </w:p>
        </w:tc>
        <w:tc>
          <w:tcPr>
            <w:tcW w:w="3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910.2</w:t>
            </w:r>
          </w:p>
        </w:tc>
        <w:tc>
          <w:tcPr>
            <w:tcW w:w="34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884.6</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410.4</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421.2</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450.7</w:t>
            </w:r>
          </w:p>
        </w:tc>
      </w:tr>
      <w:tr>
        <w:trPr>
          <w:trHeight w:val="270"/>
        </w:trPr>
        <w:tc>
          <w:tcPr>
            <w:tcW w:w="4000" w:type="dxa"/>
            <w:vAlign w:val="bottom"/>
          </w:tcPr>
          <w:p>
            <w:pPr>
              <w:ind w:left="820"/>
              <w:spacing w:after="0"/>
              <w:rPr>
                <w:sz w:val="20"/>
                <w:szCs w:val="20"/>
                <w:color w:val="auto"/>
              </w:rPr>
            </w:pPr>
            <w:r>
              <w:rPr>
                <w:rFonts w:ascii="Arial" w:cs="Arial" w:eastAsia="Arial" w:hAnsi="Arial"/>
                <w:sz w:val="18"/>
                <w:szCs w:val="18"/>
                <w:i w:val="1"/>
                <w:iCs w:val="1"/>
                <w:color w:val="auto"/>
              </w:rPr>
              <w:t>Basaglar</w:t>
            </w:r>
            <w:r>
              <w:rPr>
                <w:rFonts w:ascii="Arial" w:cs="Arial" w:eastAsia="Arial" w:hAnsi="Arial"/>
                <w:sz w:val="21"/>
                <w:szCs w:val="21"/>
                <w:i w:val="1"/>
                <w:iCs w:val="1"/>
                <w:color w:val="auto"/>
                <w:vertAlign w:val="superscript"/>
              </w:rPr>
              <w:t>®</w:t>
            </w: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876.2</w:t>
            </w:r>
          </w:p>
        </w:tc>
        <w:tc>
          <w:tcPr>
            <w:tcW w:w="3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622.8</w:t>
            </w: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311.1</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236.3</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178.5</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121.0</w:t>
            </w: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1"/>
                <w:szCs w:val="21"/>
                <w:i w:val="1"/>
                <w:iCs w:val="1"/>
                <w:color w:val="auto"/>
                <w:vertAlign w:val="superscript"/>
              </w:rPr>
              <w:t>(3)</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565.9</w:t>
            </w:r>
          </w:p>
        </w:tc>
        <w:tc>
          <w:tcPr>
            <w:tcW w:w="3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400.2</w:t>
            </w:r>
          </w:p>
        </w:tc>
        <w:tc>
          <w:tcPr>
            <w:tcW w:w="34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290.4</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378.3</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258.1</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157.0</w:t>
            </w:r>
          </w:p>
        </w:tc>
      </w:tr>
      <w:tr>
        <w:trPr>
          <w:trHeight w:val="270"/>
        </w:trPr>
        <w:tc>
          <w:tcPr>
            <w:tcW w:w="4000" w:type="dxa"/>
            <w:vAlign w:val="bottom"/>
          </w:tcPr>
          <w:p>
            <w:pPr>
              <w:ind w:left="820"/>
              <w:spacing w:after="0"/>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1"/>
                <w:szCs w:val="21"/>
                <w:i w:val="1"/>
                <w:iCs w:val="1"/>
                <w:color w:val="auto"/>
                <w:vertAlign w:val="superscript"/>
              </w:rPr>
              <w:t>(4)</w:t>
            </w: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224.8</w:t>
            </w:r>
          </w:p>
        </w:tc>
        <w:tc>
          <w:tcPr>
            <w:tcW w:w="3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224.2</w:t>
            </w: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213.2</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365.8</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350.5</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324.7</w:t>
            </w: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Other Endocrinology</w:t>
            </w:r>
          </w:p>
        </w:tc>
        <w:tc>
          <w:tcPr>
            <w:tcW w:w="22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293.7</w:t>
            </w:r>
          </w:p>
        </w:tc>
        <w:tc>
          <w:tcPr>
            <w:tcW w:w="32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292.7</w:t>
            </w:r>
          </w:p>
        </w:tc>
        <w:tc>
          <w:tcPr>
            <w:tcW w:w="34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380.9</w:t>
            </w:r>
          </w:p>
        </w:tc>
        <w:tc>
          <w:tcPr>
            <w:tcW w:w="38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230.1</w:t>
            </w:r>
          </w:p>
        </w:tc>
        <w:tc>
          <w:tcPr>
            <w:tcW w:w="24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272.5</w:t>
            </w:r>
          </w:p>
        </w:tc>
        <w:tc>
          <w:tcPr>
            <w:tcW w:w="36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307.7</w:t>
            </w:r>
          </w:p>
        </w:tc>
      </w:tr>
      <w:tr>
        <w:trPr>
          <w:trHeight w:val="257"/>
        </w:trPr>
        <w:tc>
          <w:tcPr>
            <w:tcW w:w="4000" w:type="dxa"/>
            <w:vAlign w:val="bottom"/>
          </w:tcPr>
          <w:p>
            <w:pPr>
              <w:ind w:left="720"/>
              <w:spacing w:after="0"/>
              <w:rPr>
                <w:sz w:val="20"/>
                <w:szCs w:val="20"/>
                <w:color w:val="auto"/>
              </w:rPr>
            </w:pPr>
            <w:r>
              <w:rPr>
                <w:rFonts w:ascii="Arial" w:cs="Arial" w:eastAsia="Arial" w:hAnsi="Arial"/>
                <w:sz w:val="18"/>
                <w:szCs w:val="18"/>
                <w:color w:val="auto"/>
              </w:rPr>
              <w:t>Total Endocrinology</w:t>
            </w:r>
          </w:p>
        </w:tc>
        <w:tc>
          <w:tcPr>
            <w:tcW w:w="22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8,310.7</w:t>
            </w:r>
          </w:p>
        </w:tc>
        <w:tc>
          <w:tcPr>
            <w:tcW w:w="32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7,511.6</w:t>
            </w:r>
          </w:p>
        </w:tc>
        <w:tc>
          <w:tcPr>
            <w:tcW w:w="34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6,373.0</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4,503.7</w:t>
            </w: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4,190.5</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3,712.2</w:t>
            </w:r>
          </w:p>
        </w:tc>
      </w:tr>
      <w:tr>
        <w:trPr>
          <w:trHeight w:val="257"/>
        </w:trPr>
        <w:tc>
          <w:tcPr>
            <w:tcW w:w="4000" w:type="dxa"/>
            <w:vAlign w:val="bottom"/>
            <w:tcBorders>
              <w:bottom w:val="single" w:sz="8" w:color="D8D8D8"/>
            </w:tcBorders>
            <w:shd w:val="clear" w:color="auto" w:fill="D8D8D8"/>
          </w:tcPr>
          <w:p>
            <w:pPr>
              <w:ind w:left="460"/>
              <w:spacing w:after="0"/>
              <w:rPr>
                <w:sz w:val="20"/>
                <w:szCs w:val="20"/>
                <w:color w:val="auto"/>
              </w:rPr>
            </w:pPr>
            <w:r>
              <w:rPr>
                <w:rFonts w:ascii="Arial" w:cs="Arial" w:eastAsia="Arial" w:hAnsi="Arial"/>
                <w:sz w:val="18"/>
                <w:szCs w:val="18"/>
                <w:color w:val="auto"/>
              </w:rPr>
              <w:t>Oncology:</w:t>
            </w:r>
          </w:p>
        </w:tc>
        <w:tc>
          <w:tcPr>
            <w:tcW w:w="220" w:type="dxa"/>
            <w:vAlign w:val="bottom"/>
            <w:tcBorders>
              <w:bottom w:val="single" w:sz="8" w:color="D8D8D8"/>
            </w:tcBorders>
            <w:shd w:val="clear" w:color="auto" w:fill="D8D8D8"/>
          </w:tcPr>
          <w:p>
            <w:pPr>
              <w:spacing w:after="0"/>
              <w:rPr>
                <w:sz w:val="22"/>
                <w:szCs w:val="22"/>
                <w:color w:val="auto"/>
              </w:rPr>
            </w:pPr>
          </w:p>
        </w:tc>
        <w:tc>
          <w:tcPr>
            <w:tcW w:w="940" w:type="dxa"/>
            <w:vAlign w:val="bottom"/>
            <w:tcBorders>
              <w:bottom w:val="single" w:sz="8" w:color="D8D8D8"/>
            </w:tcBorders>
            <w:shd w:val="clear" w:color="auto" w:fill="D8D8D8"/>
          </w:tcPr>
          <w:p>
            <w:pPr>
              <w:spacing w:after="0"/>
              <w:rPr>
                <w:sz w:val="22"/>
                <w:szCs w:val="22"/>
                <w:color w:val="auto"/>
              </w:rPr>
            </w:pPr>
          </w:p>
        </w:tc>
        <w:tc>
          <w:tcPr>
            <w:tcW w:w="320" w:type="dxa"/>
            <w:vAlign w:val="bottom"/>
            <w:tcBorders>
              <w:bottom w:val="single" w:sz="8" w:color="D8D8D8"/>
            </w:tcBorders>
            <w:shd w:val="clear" w:color="auto" w:fill="D8D8D8"/>
          </w:tcPr>
          <w:p>
            <w:pPr>
              <w:spacing w:after="0"/>
              <w:rPr>
                <w:sz w:val="22"/>
                <w:szCs w:val="22"/>
                <w:color w:val="auto"/>
              </w:rPr>
            </w:pPr>
          </w:p>
        </w:tc>
        <w:tc>
          <w:tcPr>
            <w:tcW w:w="920" w:type="dxa"/>
            <w:vAlign w:val="bottom"/>
            <w:tcBorders>
              <w:bottom w:val="single" w:sz="8" w:color="D8D8D8"/>
            </w:tcBorders>
            <w:shd w:val="clear" w:color="auto" w:fill="D8D8D8"/>
          </w:tcPr>
          <w:p>
            <w:pPr>
              <w:spacing w:after="0"/>
              <w:rPr>
                <w:sz w:val="22"/>
                <w:szCs w:val="22"/>
                <w:color w:val="auto"/>
              </w:rPr>
            </w:pPr>
          </w:p>
        </w:tc>
        <w:tc>
          <w:tcPr>
            <w:tcW w:w="340" w:type="dxa"/>
            <w:vAlign w:val="bottom"/>
            <w:tcBorders>
              <w:bottom w:val="single" w:sz="8" w:color="D8D8D8"/>
            </w:tcBorders>
            <w:shd w:val="clear" w:color="auto" w:fill="D8D8D8"/>
          </w:tcPr>
          <w:p>
            <w:pPr>
              <w:spacing w:after="0"/>
              <w:rPr>
                <w:sz w:val="22"/>
                <w:szCs w:val="22"/>
                <w:color w:val="auto"/>
              </w:rPr>
            </w:pPr>
          </w:p>
        </w:tc>
        <w:tc>
          <w:tcPr>
            <w:tcW w:w="920" w:type="dxa"/>
            <w:vAlign w:val="bottom"/>
            <w:tcBorders>
              <w:bottom w:val="single" w:sz="8" w:color="D8D8D8"/>
            </w:tcBorders>
            <w:shd w:val="clear" w:color="auto" w:fill="D8D8D8"/>
          </w:tcPr>
          <w:p>
            <w:pPr>
              <w:spacing w:after="0"/>
              <w:rPr>
                <w:sz w:val="22"/>
                <w:szCs w:val="22"/>
                <w:color w:val="auto"/>
              </w:rPr>
            </w:pPr>
          </w:p>
        </w:tc>
        <w:tc>
          <w:tcPr>
            <w:tcW w:w="380" w:type="dxa"/>
            <w:vAlign w:val="bottom"/>
            <w:tcBorders>
              <w:bottom w:val="single" w:sz="8" w:color="D8D8D8"/>
            </w:tcBorders>
            <w:shd w:val="clear" w:color="auto" w:fill="D8D8D8"/>
          </w:tcPr>
          <w:p>
            <w:pPr>
              <w:spacing w:after="0"/>
              <w:rPr>
                <w:sz w:val="22"/>
                <w:szCs w:val="22"/>
                <w:color w:val="auto"/>
              </w:rPr>
            </w:pPr>
          </w:p>
        </w:tc>
        <w:tc>
          <w:tcPr>
            <w:tcW w:w="8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02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880" w:type="dxa"/>
            <w:vAlign w:val="bottom"/>
            <w:tcBorders>
              <w:bottom w:val="single" w:sz="8" w:color="D8D8D8"/>
            </w:tcBorders>
            <w:shd w:val="clear" w:color="auto" w:fill="D8D8D8"/>
          </w:tcPr>
          <w:p>
            <w:pPr>
              <w:spacing w:after="0"/>
              <w:rPr>
                <w:sz w:val="22"/>
                <w:szCs w:val="22"/>
                <w:color w:val="auto"/>
              </w:rPr>
            </w:pPr>
          </w:p>
        </w:tc>
      </w:tr>
      <w:tr>
        <w:trPr>
          <w:trHeight w:val="270"/>
        </w:trPr>
        <w:tc>
          <w:tcPr>
            <w:tcW w:w="4000" w:type="dxa"/>
            <w:vAlign w:val="bottom"/>
          </w:tcPr>
          <w:p>
            <w:pPr>
              <w:ind w:left="820"/>
              <w:spacing w:after="0"/>
              <w:rPr>
                <w:sz w:val="20"/>
                <w:szCs w:val="20"/>
                <w:color w:val="auto"/>
              </w:rPr>
            </w:pPr>
            <w:r>
              <w:rPr>
                <w:rFonts w:ascii="Arial" w:cs="Arial" w:eastAsia="Arial" w:hAnsi="Arial"/>
                <w:sz w:val="18"/>
                <w:szCs w:val="18"/>
                <w:i w:val="1"/>
                <w:iCs w:val="1"/>
                <w:color w:val="auto"/>
              </w:rPr>
              <w:t>Alimta</w:t>
            </w:r>
            <w:r>
              <w:rPr>
                <w:rFonts w:ascii="Arial" w:cs="Arial" w:eastAsia="Arial" w:hAnsi="Arial"/>
                <w:sz w:val="21"/>
                <w:szCs w:val="21"/>
                <w:i w:val="1"/>
                <w:iCs w:val="1"/>
                <w:color w:val="auto"/>
                <w:vertAlign w:val="superscript"/>
              </w:rPr>
              <w:t>®</w:t>
            </w: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1,219.5</w:t>
            </w:r>
          </w:p>
        </w:tc>
        <w:tc>
          <w:tcPr>
            <w:tcW w:w="3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1,131.0</w:t>
            </w: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1,034.3</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896.4</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1,001.9</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1,028.2</w:t>
            </w: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335.3</w:t>
            </w:r>
          </w:p>
        </w:tc>
        <w:tc>
          <w:tcPr>
            <w:tcW w:w="3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291.5</w:t>
            </w:r>
          </w:p>
        </w:tc>
        <w:tc>
          <w:tcPr>
            <w:tcW w:w="34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278.8</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589.9</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529.9</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479.6</w:t>
            </w:r>
          </w:p>
        </w:tc>
      </w:tr>
      <w:tr>
        <w:trPr>
          <w:trHeight w:val="270"/>
        </w:trPr>
        <w:tc>
          <w:tcPr>
            <w:tcW w:w="4000" w:type="dxa"/>
            <w:vAlign w:val="bottom"/>
          </w:tcPr>
          <w:p>
            <w:pPr>
              <w:ind w:left="820"/>
              <w:spacing w:after="0"/>
              <w:rPr>
                <w:sz w:val="20"/>
                <w:szCs w:val="20"/>
                <w:color w:val="auto"/>
              </w:rPr>
            </w:pPr>
            <w:r>
              <w:rPr>
                <w:rFonts w:ascii="Arial" w:cs="Arial" w:eastAsia="Arial" w:hAnsi="Arial"/>
                <w:sz w:val="18"/>
                <w:szCs w:val="18"/>
                <w:i w:val="1"/>
                <w:iCs w:val="1"/>
                <w:color w:val="auto"/>
              </w:rPr>
              <w:t>Verzenio</w:t>
            </w:r>
            <w:r>
              <w:rPr>
                <w:rFonts w:ascii="Arial" w:cs="Arial" w:eastAsia="Arial" w:hAnsi="Arial"/>
                <w:sz w:val="21"/>
                <w:szCs w:val="21"/>
                <w:i w:val="1"/>
                <w:iCs w:val="1"/>
                <w:color w:val="auto"/>
                <w:vertAlign w:val="superscript"/>
              </w:rPr>
              <w:t>®</w:t>
            </w: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454.8</w:t>
            </w:r>
          </w:p>
        </w:tc>
        <w:tc>
          <w:tcPr>
            <w:tcW w:w="3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248.5</w:t>
            </w: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124.9</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Erbitux</w:t>
            </w:r>
            <w:r>
              <w:rPr>
                <w:rFonts w:ascii="Arial" w:cs="Arial" w:eastAsia="Arial" w:hAnsi="Arial"/>
                <w:sz w:val="21"/>
                <w:szCs w:val="21"/>
                <w:i w:val="1"/>
                <w:iCs w:val="1"/>
                <w:color w:val="auto"/>
                <w:vertAlign w:val="superscript"/>
              </w:rPr>
              <w:t>®</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487.9</w:t>
            </w:r>
          </w:p>
        </w:tc>
        <w:tc>
          <w:tcPr>
            <w:tcW w:w="3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531.6</w:t>
            </w:r>
          </w:p>
        </w:tc>
        <w:tc>
          <w:tcPr>
            <w:tcW w:w="34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541.7</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55.4</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103.8</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104.2</w:t>
            </w:r>
          </w:p>
        </w:tc>
      </w:tr>
      <w:tr>
        <w:trPr>
          <w:trHeight w:val="264"/>
        </w:trPr>
        <w:tc>
          <w:tcPr>
            <w:tcW w:w="4000" w:type="dxa"/>
            <w:vAlign w:val="bottom"/>
            <w:tcBorders>
              <w:bottom w:val="single" w:sz="8" w:color="D8D8D8"/>
            </w:tcBorders>
          </w:tcPr>
          <w:p>
            <w:pPr>
              <w:ind w:left="820"/>
              <w:spacing w:after="0"/>
              <w:rPr>
                <w:sz w:val="20"/>
                <w:szCs w:val="20"/>
                <w:color w:val="auto"/>
              </w:rPr>
            </w:pPr>
            <w:r>
              <w:rPr>
                <w:rFonts w:ascii="Arial" w:cs="Arial" w:eastAsia="Arial" w:hAnsi="Arial"/>
                <w:sz w:val="18"/>
                <w:szCs w:val="18"/>
                <w:i w:val="1"/>
                <w:iCs w:val="1"/>
                <w:color w:val="auto"/>
              </w:rPr>
              <w:t>Other Oncology</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111.0</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174.6</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339.3</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215.1</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149.6</w:t>
            </w:r>
          </w:p>
        </w:tc>
      </w:tr>
      <w:tr>
        <w:trPr>
          <w:trHeight w:val="270"/>
        </w:trPr>
        <w:tc>
          <w:tcPr>
            <w:tcW w:w="4000" w:type="dxa"/>
            <w:vAlign w:val="bottom"/>
            <w:shd w:val="clear" w:color="auto" w:fill="D8D8D8"/>
          </w:tcPr>
          <w:p>
            <w:pPr>
              <w:ind w:left="720"/>
              <w:spacing w:after="0"/>
              <w:rPr>
                <w:sz w:val="20"/>
                <w:szCs w:val="20"/>
                <w:color w:val="auto"/>
              </w:rPr>
            </w:pPr>
            <w:r>
              <w:rPr>
                <w:rFonts w:ascii="Arial" w:cs="Arial" w:eastAsia="Arial" w:hAnsi="Arial"/>
                <w:sz w:val="18"/>
                <w:szCs w:val="18"/>
                <w:color w:val="auto"/>
              </w:rPr>
              <w:t>Total Oncology</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2,608.5</w:t>
            </w:r>
          </w:p>
        </w:tc>
        <w:tc>
          <w:tcPr>
            <w:tcW w:w="3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2,403.2</w:t>
            </w:r>
          </w:p>
        </w:tc>
        <w:tc>
          <w:tcPr>
            <w:tcW w:w="34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2,050.4</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2,005.9</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1,857.3</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1,761.6</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Immunology:</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1,016.8</w:t>
            </w:r>
          </w:p>
        </w:tc>
        <w:tc>
          <w:tcPr>
            <w:tcW w:w="3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738.7</w:t>
            </w:r>
          </w:p>
        </w:tc>
        <w:tc>
          <w:tcPr>
            <w:tcW w:w="34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486.0</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349.6</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198.7</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73.2</w:t>
            </w:r>
          </w:p>
        </w:tc>
      </w:tr>
      <w:tr>
        <w:trPr>
          <w:trHeight w:val="270"/>
        </w:trPr>
        <w:tc>
          <w:tcPr>
            <w:tcW w:w="4000" w:type="dxa"/>
            <w:vAlign w:val="bottom"/>
            <w:tcBorders>
              <w:bottom w:val="single" w:sz="8" w:color="D8D8D8"/>
            </w:tcBorders>
          </w:tcPr>
          <w:p>
            <w:pPr>
              <w:ind w:left="820"/>
              <w:spacing w:after="0"/>
              <w:rPr>
                <w:sz w:val="20"/>
                <w:szCs w:val="20"/>
                <w:color w:val="auto"/>
              </w:rPr>
            </w:pPr>
            <w:r>
              <w:rPr>
                <w:rFonts w:ascii="Arial" w:cs="Arial" w:eastAsia="Arial" w:hAnsi="Arial"/>
                <w:sz w:val="18"/>
                <w:szCs w:val="18"/>
                <w:i w:val="1"/>
                <w:iCs w:val="1"/>
                <w:color w:val="auto"/>
              </w:rPr>
              <w:t>Olumiant</w:t>
            </w:r>
            <w:r>
              <w:rPr>
                <w:rFonts w:ascii="Arial" w:cs="Arial" w:eastAsia="Arial" w:hAnsi="Arial"/>
                <w:sz w:val="21"/>
                <w:szCs w:val="21"/>
                <w:i w:val="1"/>
                <w:iCs w:val="1"/>
                <w:color w:val="auto"/>
                <w:vertAlign w:val="superscript"/>
              </w:rPr>
              <w:t>®</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42.2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384.7</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195.9</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45.8</w:t>
            </w:r>
          </w:p>
        </w:tc>
      </w:tr>
      <w:tr>
        <w:trPr>
          <w:trHeight w:val="264"/>
        </w:trPr>
        <w:tc>
          <w:tcPr>
            <w:tcW w:w="4000" w:type="dxa"/>
            <w:vAlign w:val="bottom"/>
            <w:shd w:val="clear" w:color="auto" w:fill="D8D8D8"/>
          </w:tcPr>
          <w:p>
            <w:pPr>
              <w:ind w:left="720"/>
              <w:spacing w:after="0"/>
              <w:rPr>
                <w:sz w:val="20"/>
                <w:szCs w:val="20"/>
                <w:color w:val="auto"/>
              </w:rPr>
            </w:pPr>
            <w:r>
              <w:rPr>
                <w:rFonts w:ascii="Arial" w:cs="Arial" w:eastAsia="Arial" w:hAnsi="Arial"/>
                <w:sz w:val="18"/>
                <w:szCs w:val="18"/>
                <w:color w:val="auto"/>
              </w:rPr>
              <w:t>Total Immunology</w:t>
            </w:r>
          </w:p>
        </w:tc>
        <w:tc>
          <w:tcPr>
            <w:tcW w:w="220" w:type="dxa"/>
            <w:vAlign w:val="bottom"/>
            <w:shd w:val="clear" w:color="auto" w:fill="D8D8D8"/>
          </w:tcPr>
          <w:p>
            <w:pPr>
              <w:spacing w:after="0"/>
              <w:rPr>
                <w:sz w:val="22"/>
                <w:szCs w:val="22"/>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1,059.0</w:t>
            </w:r>
          </w:p>
        </w:tc>
        <w:tc>
          <w:tcPr>
            <w:tcW w:w="320" w:type="dxa"/>
            <w:vAlign w:val="bottom"/>
            <w:shd w:val="clear" w:color="auto" w:fill="D8D8D8"/>
          </w:tcPr>
          <w:p>
            <w:pPr>
              <w:spacing w:after="0"/>
              <w:rPr>
                <w:sz w:val="22"/>
                <w:szCs w:val="22"/>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745.4</w:t>
            </w:r>
          </w:p>
        </w:tc>
        <w:tc>
          <w:tcPr>
            <w:tcW w:w="340" w:type="dxa"/>
            <w:vAlign w:val="bottom"/>
            <w:shd w:val="clear" w:color="auto" w:fill="D8D8D8"/>
          </w:tcPr>
          <w:p>
            <w:pPr>
              <w:spacing w:after="0"/>
              <w:rPr>
                <w:sz w:val="22"/>
                <w:szCs w:val="22"/>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486.0</w:t>
            </w:r>
          </w:p>
        </w:tc>
        <w:tc>
          <w:tcPr>
            <w:tcW w:w="380" w:type="dxa"/>
            <w:vAlign w:val="bottom"/>
            <w:shd w:val="clear" w:color="auto" w:fill="D8D8D8"/>
          </w:tcPr>
          <w:p>
            <w:pPr>
              <w:spacing w:after="0"/>
              <w:rPr>
                <w:sz w:val="22"/>
                <w:szCs w:val="22"/>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734.3</w:t>
            </w:r>
          </w:p>
        </w:tc>
        <w:tc>
          <w:tcPr>
            <w:tcW w:w="24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394.6</w:t>
            </w:r>
          </w:p>
        </w:tc>
        <w:tc>
          <w:tcPr>
            <w:tcW w:w="360" w:type="dxa"/>
            <w:vAlign w:val="bottom"/>
            <w:shd w:val="clear" w:color="auto" w:fill="D8D8D8"/>
          </w:tcPr>
          <w:p>
            <w:pPr>
              <w:spacing w:after="0"/>
              <w:rPr>
                <w:sz w:val="22"/>
                <w:szCs w:val="22"/>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119.0</w:t>
            </w:r>
          </w:p>
        </w:tc>
      </w:tr>
      <w:tr>
        <w:trPr>
          <w:trHeight w:val="263"/>
        </w:trPr>
        <w:tc>
          <w:tcPr>
            <w:tcW w:w="4000" w:type="dxa"/>
            <w:vAlign w:val="bottom"/>
          </w:tcPr>
          <w:p>
            <w:pPr>
              <w:ind w:left="500"/>
              <w:spacing w:after="0"/>
              <w:rPr>
                <w:sz w:val="20"/>
                <w:szCs w:val="20"/>
                <w:color w:val="auto"/>
              </w:rPr>
            </w:pPr>
            <w:r>
              <w:rPr>
                <w:rFonts w:ascii="Arial" w:cs="Arial" w:eastAsia="Arial" w:hAnsi="Arial"/>
                <w:sz w:val="18"/>
                <w:szCs w:val="18"/>
                <w:color w:val="auto"/>
              </w:rPr>
              <w:t>Neuroscience:</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p>
        </w:tc>
        <w:tc>
          <w:tcPr>
            <w:tcW w:w="22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49.6</w:t>
            </w:r>
          </w:p>
        </w:tc>
        <w:tc>
          <w:tcPr>
            <w:tcW w:w="32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54.3</w:t>
            </w:r>
          </w:p>
        </w:tc>
        <w:tc>
          <w:tcPr>
            <w:tcW w:w="34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114.9</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675.8</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653.7</w:t>
            </w:r>
          </w:p>
        </w:tc>
        <w:tc>
          <w:tcPr>
            <w:tcW w:w="36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642.2</w:t>
            </w:r>
          </w:p>
        </w:tc>
      </w:tr>
      <w:tr>
        <w:trPr>
          <w:trHeight w:val="270"/>
        </w:trPr>
        <w:tc>
          <w:tcPr>
            <w:tcW w:w="4000" w:type="dxa"/>
            <w:vAlign w:val="bottom"/>
          </w:tcPr>
          <w:p>
            <w:pPr>
              <w:ind w:left="8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41.0</w:t>
            </w:r>
          </w:p>
        </w:tc>
        <w:tc>
          <w:tcPr>
            <w:tcW w:w="3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75.5</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377.6</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435.1</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505.7</w:t>
            </w: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220" w:type="dxa"/>
            <w:vAlign w:val="bottom"/>
            <w:shd w:val="clear" w:color="auto" w:fill="D8D8D8"/>
          </w:tcPr>
          <w:p>
            <w:pPr>
              <w:spacing w:after="0"/>
              <w:rPr>
                <w:sz w:val="23"/>
                <w:szCs w:val="23"/>
                <w:color w:val="auto"/>
              </w:rPr>
            </w:pPr>
          </w:p>
        </w:tc>
        <w:tc>
          <w:tcPr>
            <w:tcW w:w="94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30.8</w:t>
            </w:r>
          </w:p>
        </w:tc>
        <w:tc>
          <w:tcPr>
            <w:tcW w:w="32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89.7</w:t>
            </w:r>
          </w:p>
        </w:tc>
        <w:tc>
          <w:tcPr>
            <w:tcW w:w="34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284.9</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211.7</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361.1</w:t>
            </w:r>
          </w:p>
        </w:tc>
        <w:tc>
          <w:tcPr>
            <w:tcW w:w="36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333.3</w:t>
            </w:r>
          </w:p>
        </w:tc>
      </w:tr>
      <w:tr>
        <w:trPr>
          <w:trHeight w:val="270"/>
        </w:trPr>
        <w:tc>
          <w:tcPr>
            <w:tcW w:w="4000" w:type="dxa"/>
            <w:vAlign w:val="bottom"/>
          </w:tcPr>
          <w:p>
            <w:pPr>
              <w:ind w:left="820"/>
              <w:spacing w:after="0"/>
              <w:rPr>
                <w:sz w:val="20"/>
                <w:szCs w:val="20"/>
                <w:color w:val="auto"/>
              </w:rPr>
            </w:pPr>
            <w:r>
              <w:rPr>
                <w:rFonts w:ascii="Arial" w:cs="Arial" w:eastAsia="Arial" w:hAnsi="Arial"/>
                <w:sz w:val="18"/>
                <w:szCs w:val="18"/>
                <w:i w:val="1"/>
                <w:iCs w:val="1"/>
                <w:color w:val="auto"/>
              </w:rPr>
              <w:t>Emgality</w:t>
            </w:r>
            <w:r>
              <w:rPr>
                <w:rFonts w:ascii="Arial" w:cs="Arial" w:eastAsia="Arial" w:hAnsi="Arial"/>
                <w:sz w:val="21"/>
                <w:szCs w:val="21"/>
                <w:i w:val="1"/>
                <w:iCs w:val="1"/>
                <w:color w:val="auto"/>
                <w:vertAlign w:val="superscript"/>
              </w:rPr>
              <w:t>®</w:t>
            </w: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154.9</w:t>
            </w:r>
          </w:p>
        </w:tc>
        <w:tc>
          <w:tcPr>
            <w:tcW w:w="3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7.7</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Other Neuroscience</w:t>
            </w:r>
          </w:p>
        </w:tc>
        <w:tc>
          <w:tcPr>
            <w:tcW w:w="22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80.2</w:t>
            </w:r>
          </w:p>
        </w:tc>
        <w:tc>
          <w:tcPr>
            <w:tcW w:w="32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92.3</w:t>
            </w:r>
          </w:p>
        </w:tc>
        <w:tc>
          <w:tcPr>
            <w:tcW w:w="34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115.7</w:t>
            </w:r>
          </w:p>
        </w:tc>
        <w:tc>
          <w:tcPr>
            <w:tcW w:w="38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93.6</w:t>
            </w:r>
          </w:p>
        </w:tc>
        <w:tc>
          <w:tcPr>
            <w:tcW w:w="24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93.4</w:t>
            </w:r>
          </w:p>
        </w:tc>
        <w:tc>
          <w:tcPr>
            <w:tcW w:w="36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98.9</w:t>
            </w:r>
          </w:p>
        </w:tc>
      </w:tr>
      <w:tr>
        <w:trPr>
          <w:trHeight w:val="257"/>
        </w:trPr>
        <w:tc>
          <w:tcPr>
            <w:tcW w:w="4000" w:type="dxa"/>
            <w:vAlign w:val="bottom"/>
          </w:tcPr>
          <w:p>
            <w:pPr>
              <w:ind w:left="720"/>
              <w:spacing w:after="0"/>
              <w:rPr>
                <w:sz w:val="20"/>
                <w:szCs w:val="20"/>
                <w:color w:val="auto"/>
              </w:rPr>
            </w:pPr>
            <w:r>
              <w:rPr>
                <w:rFonts w:ascii="Arial" w:cs="Arial" w:eastAsia="Arial" w:hAnsi="Arial"/>
                <w:sz w:val="18"/>
                <w:szCs w:val="18"/>
                <w:color w:val="auto"/>
              </w:rPr>
              <w:t>Total Neuroscience</w:t>
            </w:r>
          </w:p>
        </w:tc>
        <w:tc>
          <w:tcPr>
            <w:tcW w:w="22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356.5</w:t>
            </w:r>
          </w:p>
        </w:tc>
        <w:tc>
          <w:tcPr>
            <w:tcW w:w="32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277.4</w:t>
            </w:r>
          </w:p>
        </w:tc>
        <w:tc>
          <w:tcPr>
            <w:tcW w:w="34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591.0</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1,366.4</w:t>
            </w: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1,543.3</w:t>
            </w:r>
          </w:p>
        </w:tc>
        <w:tc>
          <w:tcPr>
            <w:tcW w:w="3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1,580.1</w:t>
            </w:r>
          </w:p>
        </w:tc>
      </w:tr>
      <w:tr>
        <w:trPr>
          <w:trHeight w:val="257"/>
        </w:trPr>
        <w:tc>
          <w:tcPr>
            <w:tcW w:w="4000" w:type="dxa"/>
            <w:vAlign w:val="bottom"/>
            <w:tcBorders>
              <w:bottom w:val="single" w:sz="8" w:color="D8D8D8"/>
            </w:tcBorders>
            <w:shd w:val="clear" w:color="auto" w:fill="D8D8D8"/>
          </w:tcPr>
          <w:p>
            <w:pPr>
              <w:ind w:left="5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D8D8D8"/>
            </w:tcBorders>
            <w:shd w:val="clear" w:color="auto" w:fill="D8D8D8"/>
          </w:tcPr>
          <w:p>
            <w:pPr>
              <w:spacing w:after="0"/>
              <w:rPr>
                <w:sz w:val="22"/>
                <w:szCs w:val="22"/>
                <w:color w:val="auto"/>
              </w:rPr>
            </w:pPr>
          </w:p>
        </w:tc>
        <w:tc>
          <w:tcPr>
            <w:tcW w:w="940" w:type="dxa"/>
            <w:vAlign w:val="bottom"/>
            <w:tcBorders>
              <w:bottom w:val="single" w:sz="8" w:color="D8D8D8"/>
            </w:tcBorders>
            <w:shd w:val="clear" w:color="auto" w:fill="D8D8D8"/>
          </w:tcPr>
          <w:p>
            <w:pPr>
              <w:spacing w:after="0"/>
              <w:rPr>
                <w:sz w:val="22"/>
                <w:szCs w:val="22"/>
                <w:color w:val="auto"/>
              </w:rPr>
            </w:pPr>
          </w:p>
        </w:tc>
        <w:tc>
          <w:tcPr>
            <w:tcW w:w="320" w:type="dxa"/>
            <w:vAlign w:val="bottom"/>
            <w:tcBorders>
              <w:bottom w:val="single" w:sz="8" w:color="D8D8D8"/>
            </w:tcBorders>
            <w:shd w:val="clear" w:color="auto" w:fill="D8D8D8"/>
          </w:tcPr>
          <w:p>
            <w:pPr>
              <w:spacing w:after="0"/>
              <w:rPr>
                <w:sz w:val="22"/>
                <w:szCs w:val="22"/>
                <w:color w:val="auto"/>
              </w:rPr>
            </w:pPr>
          </w:p>
        </w:tc>
        <w:tc>
          <w:tcPr>
            <w:tcW w:w="920" w:type="dxa"/>
            <w:vAlign w:val="bottom"/>
            <w:tcBorders>
              <w:bottom w:val="single" w:sz="8" w:color="D8D8D8"/>
            </w:tcBorders>
            <w:shd w:val="clear" w:color="auto" w:fill="D8D8D8"/>
          </w:tcPr>
          <w:p>
            <w:pPr>
              <w:spacing w:after="0"/>
              <w:rPr>
                <w:sz w:val="22"/>
                <w:szCs w:val="22"/>
                <w:color w:val="auto"/>
              </w:rPr>
            </w:pPr>
          </w:p>
        </w:tc>
        <w:tc>
          <w:tcPr>
            <w:tcW w:w="340" w:type="dxa"/>
            <w:vAlign w:val="bottom"/>
            <w:tcBorders>
              <w:bottom w:val="single" w:sz="8" w:color="D8D8D8"/>
            </w:tcBorders>
            <w:shd w:val="clear" w:color="auto" w:fill="D8D8D8"/>
          </w:tcPr>
          <w:p>
            <w:pPr>
              <w:spacing w:after="0"/>
              <w:rPr>
                <w:sz w:val="22"/>
                <w:szCs w:val="22"/>
                <w:color w:val="auto"/>
              </w:rPr>
            </w:pPr>
          </w:p>
        </w:tc>
        <w:tc>
          <w:tcPr>
            <w:tcW w:w="920" w:type="dxa"/>
            <w:vAlign w:val="bottom"/>
            <w:tcBorders>
              <w:bottom w:val="single" w:sz="8" w:color="D8D8D8"/>
            </w:tcBorders>
            <w:shd w:val="clear" w:color="auto" w:fill="D8D8D8"/>
          </w:tcPr>
          <w:p>
            <w:pPr>
              <w:spacing w:after="0"/>
              <w:rPr>
                <w:sz w:val="22"/>
                <w:szCs w:val="22"/>
                <w:color w:val="auto"/>
              </w:rPr>
            </w:pPr>
          </w:p>
        </w:tc>
        <w:tc>
          <w:tcPr>
            <w:tcW w:w="380" w:type="dxa"/>
            <w:vAlign w:val="bottom"/>
            <w:tcBorders>
              <w:bottom w:val="single" w:sz="8" w:color="D8D8D8"/>
            </w:tcBorders>
            <w:shd w:val="clear" w:color="auto" w:fill="D8D8D8"/>
          </w:tcPr>
          <w:p>
            <w:pPr>
              <w:spacing w:after="0"/>
              <w:rPr>
                <w:sz w:val="22"/>
                <w:szCs w:val="22"/>
                <w:color w:val="auto"/>
              </w:rPr>
            </w:pPr>
          </w:p>
        </w:tc>
        <w:tc>
          <w:tcPr>
            <w:tcW w:w="8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02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880" w:type="dxa"/>
            <w:vAlign w:val="bottom"/>
            <w:tcBorders>
              <w:bottom w:val="single" w:sz="8" w:color="D8D8D8"/>
            </w:tcBorders>
            <w:shd w:val="clear" w:color="auto" w:fill="D8D8D8"/>
          </w:tcPr>
          <w:p>
            <w:pPr>
              <w:spacing w:after="0"/>
              <w:rPr>
                <w:sz w:val="22"/>
                <w:szCs w:val="22"/>
                <w:color w:val="auto"/>
              </w:rPr>
            </w:pPr>
          </w:p>
        </w:tc>
      </w:tr>
      <w:tr>
        <w:trPr>
          <w:trHeight w:val="270"/>
        </w:trPr>
        <w:tc>
          <w:tcPr>
            <w:tcW w:w="4000" w:type="dxa"/>
            <w:vAlign w:val="bottom"/>
          </w:tcPr>
          <w:p>
            <w:pPr>
              <w:ind w:left="820"/>
              <w:spacing w:after="0"/>
              <w:rPr>
                <w:sz w:val="20"/>
                <w:szCs w:val="20"/>
                <w:color w:val="auto"/>
              </w:rPr>
            </w:pPr>
            <w:r>
              <w:rPr>
                <w:rFonts w:ascii="Arial" w:cs="Arial" w:eastAsia="Arial" w:hAnsi="Arial"/>
                <w:sz w:val="18"/>
                <w:szCs w:val="18"/>
                <w:i w:val="1"/>
                <w:iCs w:val="1"/>
                <w:color w:val="auto"/>
              </w:rPr>
              <w:t xml:space="preserve">Cialis </w:t>
            </w:r>
            <w:r>
              <w:rPr>
                <w:rFonts w:ascii="Arial" w:cs="Arial" w:eastAsia="Arial" w:hAnsi="Arial"/>
                <w:sz w:val="21"/>
                <w:szCs w:val="21"/>
                <w:i w:val="1"/>
                <w:iCs w:val="1"/>
                <w:color w:val="auto"/>
                <w:vertAlign w:val="superscript"/>
              </w:rPr>
              <w:t>®</w:t>
            </w:r>
          </w:p>
        </w:tc>
        <w:tc>
          <w:tcPr>
            <w:tcW w:w="2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231.7</w:t>
            </w:r>
          </w:p>
        </w:tc>
        <w:tc>
          <w:tcPr>
            <w:tcW w:w="3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1,129.2</w:t>
            </w:r>
          </w:p>
        </w:tc>
        <w:tc>
          <w:tcPr>
            <w:tcW w:w="34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1,358.6</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658.8</w:t>
            </w:r>
          </w:p>
        </w:tc>
        <w:tc>
          <w:tcPr>
            <w:tcW w:w="2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722.7</w:t>
            </w: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964.5</w:t>
            </w:r>
          </w:p>
        </w:tc>
      </w:t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Other</w:t>
            </w:r>
          </w:p>
        </w:tc>
        <w:tc>
          <w:tcPr>
            <w:tcW w:w="22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156.2</w:t>
            </w:r>
          </w:p>
        </w:tc>
        <w:tc>
          <w:tcPr>
            <w:tcW w:w="32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325.1</w:t>
            </w:r>
          </w:p>
        </w:tc>
        <w:tc>
          <w:tcPr>
            <w:tcW w:w="34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555.4</w:t>
            </w:r>
          </w:p>
        </w:tc>
        <w:tc>
          <w:tcPr>
            <w:tcW w:w="38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327.7</w:t>
            </w:r>
          </w:p>
        </w:tc>
        <w:tc>
          <w:tcPr>
            <w:tcW w:w="24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393.0</w:t>
            </w:r>
          </w:p>
        </w:tc>
        <w:tc>
          <w:tcPr>
            <w:tcW w:w="36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422.0</w:t>
            </w:r>
          </w:p>
        </w:tc>
      </w:tr>
      <w:tr>
        <w:trPr>
          <w:trHeight w:val="257"/>
        </w:trPr>
        <w:tc>
          <w:tcPr>
            <w:tcW w:w="4000" w:type="dxa"/>
            <w:vAlign w:val="bottom"/>
            <w:tcBorders>
              <w:bottom w:val="single" w:sz="8" w:color="D8D8D8"/>
            </w:tcBorders>
          </w:tcPr>
          <w:p>
            <w:pPr>
              <w:ind w:left="720"/>
              <w:spacing w:after="0"/>
              <w:rPr>
                <w:sz w:val="20"/>
                <w:szCs w:val="20"/>
                <w:color w:val="auto"/>
              </w:rPr>
            </w:pPr>
            <w:r>
              <w:rPr>
                <w:rFonts w:ascii="Arial" w:cs="Arial" w:eastAsia="Arial" w:hAnsi="Arial"/>
                <w:sz w:val="18"/>
                <w:szCs w:val="18"/>
                <w:color w:val="auto"/>
              </w:rPr>
              <w:t>Total Other</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387.9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1,454.3</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1,914.0</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986.5</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1,115.7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1,386.5</w:t>
            </w:r>
          </w:p>
        </w:tc>
      </w:tr>
      <w:tr>
        <w:trPr>
          <w:trHeight w:val="277"/>
        </w:trPr>
        <w:tc>
          <w:tcPr>
            <w:tcW w:w="40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12,722.6</w:t>
            </w:r>
          </w:p>
        </w:tc>
        <w:tc>
          <w:tcPr>
            <w:tcW w:w="3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12,391.9</w:t>
            </w:r>
          </w:p>
        </w:tc>
        <w:tc>
          <w:tcPr>
            <w:tcW w:w="3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11,414.4</w:t>
            </w:r>
          </w:p>
        </w:tc>
        <w:tc>
          <w:tcPr>
            <w:tcW w:w="3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9,596.8</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9,101.4</w:t>
            </w:r>
          </w:p>
        </w:tc>
        <w:tc>
          <w:tcPr>
            <w:tcW w:w="3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8,559.4</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1" w:lineRule="exact"/>
        <w:rPr>
          <w:sz w:val="20"/>
          <w:szCs w:val="20"/>
          <w:color w:val="auto"/>
        </w:rPr>
      </w:pPr>
    </w:p>
    <w:p>
      <w:pPr>
        <w:ind w:left="160" w:hanging="152"/>
        <w:spacing w:after="0"/>
        <w:tabs>
          <w:tab w:leader="none" w:pos="16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59"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25"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7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ectPr>
          <w:pgSz w:w="11900" w:h="16838" w:orient="portrait"/>
          <w:cols w:equalWidth="0" w:num="1">
            <w:col w:w="11420"/>
          </w:cols>
          <w:pgMar w:left="240" w:top="679"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61</w:t>
      </w:r>
    </w:p>
    <w:p>
      <w:pPr>
        <w:sectPr>
          <w:pgSz w:w="11900" w:h="16838" w:orient="portrait"/>
          <w:cols w:equalWidth="0" w:num="1">
            <w:col w:w="11420"/>
          </w:cols>
          <w:pgMar w:left="240" w:top="679"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Revenue—to unaffiliated customers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12,722.6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12,391.9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11,414.4</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3,765.0</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3,663.1</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3,390.6</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2,547.6</w:t>
            </w:r>
          </w:p>
        </w:tc>
        <w:tc>
          <w:tcPr>
            <w:tcW w:w="4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2,407.4</w:t>
            </w: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2,339.5</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3,284.3</w:t>
            </w:r>
          </w:p>
        </w:tc>
        <w:tc>
          <w:tcPr>
            <w:tcW w:w="4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3,030.9</w:t>
            </w:r>
          </w:p>
        </w:tc>
        <w:tc>
          <w:tcPr>
            <w:tcW w:w="4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2,829.3</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22,319.5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21,493.3</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19,973.8</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16"/>
          <w:szCs w:val="16"/>
          <w:color w:val="auto"/>
          <w:vertAlign w:val="superscript"/>
        </w:rPr>
      </w:pPr>
      <w:r>
        <w:rPr>
          <w:rFonts w:ascii="Arial" w:cs="Arial" w:eastAsia="Arial" w:hAnsi="Arial"/>
          <w:sz w:val="13"/>
          <w:szCs w:val="13"/>
          <w:color w:val="auto"/>
        </w:rPr>
        <w:t>Revenue is attributed to the countries based on the location of the customer.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62</w:t>
      </w:r>
    </w:p>
    <w:p>
      <w:pPr>
        <w:sectPr>
          <w:pgSz w:w="11900" w:h="16838" w:orient="portrait"/>
          <w:cols w:equalWidth="0" w:num="1">
            <w:col w:w="11420"/>
          </w:cols>
          <w:pgMar w:left="240" w:top="67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CC0000"/>
        </w:rPr>
        <w:t>Note 3: Acquisitions and Divestiture</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February 2019, we completed the acquisition of Loxo Oncology, Inc. (Loxo).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Loxo have been included in our consolidated financial statements from the date of acquisition.</w:t>
      </w:r>
    </w:p>
    <w:p>
      <w:pPr>
        <w:spacing w:after="0" w:line="10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acquired assets in development in 2019, 2018, and 2017, which are further discussed in this note below in Asset Acquisitions. Upon acquisition, the acquired IPR&amp;D charges related to these products were immediately expensed because the products had no alternative future use. For the years ended December 31, 2019, 2018, and 2017, we recorded acquired IPR&amp;D charges of $239.6 million, $1.98 billion, and $1.11 billion,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Loxo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February 2019, we acquired all shares of Loxo for a purchase price of $ 6.92 billion, net of cash acquired. The accelerated vesting of Loxo employee equity awards was recognized as transaction expense included in asset impairment, restructuring, and other special charges during the year ended December 31, 2019 (see Note 5).</w:t>
      </w:r>
    </w:p>
    <w:p>
      <w:pPr>
        <w:spacing w:after="0" w:line="94"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Under the terms of the agreement, we acquired a pipeline of investigational medicines, including selpercatinib (LOXO-292), an oral RET inhibitor granted Breakthrough Therapy designation by the U.S. Food and Drug Administration, and LOXO-305, an oral BTK inhibitor.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February 15,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DDDDDD"/>
          </w:tcPr>
          <w:p>
            <w:pPr>
              <w:ind w:left="40"/>
              <w:spacing w:after="0"/>
              <w:rPr>
                <w:sz w:val="20"/>
                <w:szCs w:val="20"/>
                <w:color w:val="auto"/>
              </w:rPr>
            </w:pPr>
            <w:r>
              <w:rPr>
                <w:rFonts w:ascii="Arial" w:cs="Arial" w:eastAsia="Arial" w:hAnsi="Arial"/>
                <w:sz w:val="18"/>
                <w:szCs w:val="18"/>
                <w:color w:val="auto"/>
              </w:rPr>
              <w:t>Acquired IPR&amp;D</w:t>
            </w:r>
            <w:r>
              <w:rPr>
                <w:rFonts w:ascii="Arial" w:cs="Arial" w:eastAsia="Arial" w:hAnsi="Arial"/>
                <w:sz w:val="21"/>
                <w:szCs w:val="21"/>
                <w:color w:val="auto"/>
                <w:vertAlign w:val="superscript"/>
              </w:rPr>
              <w:t>(1)</w:t>
            </w:r>
          </w:p>
        </w:tc>
        <w:tc>
          <w:tcPr>
            <w:tcW w:w="420" w:type="dxa"/>
            <w:vAlign w:val="bottom"/>
            <w:tcBorders>
              <w:top w:val="single" w:sz="8" w:color="auto"/>
            </w:tcBorders>
            <w:shd w:val="clear" w:color="auto" w:fill="DDDDDD"/>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DDDDD"/>
          </w:tcPr>
          <w:p>
            <w:pPr>
              <w:jc w:val="right"/>
              <w:ind w:right="10"/>
              <w:spacing w:after="0"/>
              <w:rPr>
                <w:sz w:val="20"/>
                <w:szCs w:val="20"/>
                <w:color w:val="auto"/>
              </w:rPr>
            </w:pPr>
            <w:r>
              <w:rPr>
                <w:rFonts w:ascii="Arial" w:cs="Arial" w:eastAsia="Arial" w:hAnsi="Arial"/>
                <w:sz w:val="18"/>
                <w:szCs w:val="18"/>
                <w:color w:val="auto"/>
              </w:rPr>
              <w:t>4,670.0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Finite-lived intangibles</w:t>
            </w:r>
            <w:r>
              <w:rPr>
                <w:rFonts w:ascii="Arial" w:cs="Arial" w:eastAsia="Arial" w:hAnsi="Arial"/>
                <w:sz w:val="21"/>
                <w:szCs w:val="21"/>
                <w:color w:val="auto"/>
                <w:vertAlign w:val="superscript"/>
              </w:rPr>
              <w:t>(2)</w:t>
            </w:r>
          </w:p>
        </w:tc>
        <w:tc>
          <w:tcPr>
            <w:tcW w:w="4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980.0</w:t>
            </w:r>
          </w:p>
        </w:tc>
      </w:tr>
      <w:tr>
        <w:trPr>
          <w:trHeight w:val="257"/>
        </w:trPr>
        <w:tc>
          <w:tcPr>
            <w:tcW w:w="9940" w:type="dxa"/>
            <w:vAlign w:val="bottom"/>
            <w:shd w:val="clear" w:color="auto" w:fill="DDDDDD"/>
          </w:tcPr>
          <w:p>
            <w:pPr>
              <w:ind w:left="4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DDDDDD"/>
          </w:tcPr>
          <w:p>
            <w:pPr>
              <w:spacing w:after="0"/>
              <w:rPr>
                <w:sz w:val="22"/>
                <w:szCs w:val="22"/>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(1,032.8)</w:t>
            </w:r>
          </w:p>
        </w:tc>
      </w:tr>
      <w:tr>
        <w:trPr>
          <w:trHeight w:val="250"/>
        </w:trPr>
        <w:tc>
          <w:tcPr>
            <w:tcW w:w="9940" w:type="dxa"/>
            <w:vAlign w:val="bottom"/>
            <w:tcBorders>
              <w:bottom w:val="single" w:sz="8" w:color="DDDDDD"/>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57"/>
        </w:trPr>
        <w:tc>
          <w:tcPr>
            <w:tcW w:w="9940" w:type="dxa"/>
            <w:vAlign w:val="bottom"/>
            <w:shd w:val="clear" w:color="auto" w:fill="DDDDDD"/>
          </w:tcPr>
          <w:p>
            <w:pPr>
              <w:ind w:left="40"/>
              <w:spacing w:after="0"/>
              <w:rPr>
                <w:sz w:val="20"/>
                <w:szCs w:val="20"/>
                <w:color w:val="auto"/>
              </w:rPr>
            </w:pPr>
            <w:r>
              <w:rPr>
                <w:rFonts w:ascii="Arial" w:cs="Arial" w:eastAsia="Arial" w:hAnsi="Arial"/>
                <w:sz w:val="18"/>
                <w:szCs w:val="18"/>
                <w:color w:val="auto"/>
              </w:rPr>
              <w:t>Total identifiable net assets</w:t>
            </w:r>
          </w:p>
        </w:tc>
        <w:tc>
          <w:tcPr>
            <w:tcW w:w="42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4,590.8</w:t>
            </w:r>
          </w:p>
        </w:tc>
      </w:tr>
      <w:tr>
        <w:trPr>
          <w:trHeight w:val="257"/>
        </w:trPr>
        <w:tc>
          <w:tcPr>
            <w:tcW w:w="9940" w:type="dxa"/>
            <w:vAlign w:val="bottom"/>
            <w:tcBorders>
              <w:bottom w:val="single" w:sz="8" w:color="DDDDDD"/>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(3)</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2,326.9</w:t>
            </w:r>
          </w:p>
        </w:tc>
      </w:tr>
      <w:tr>
        <w:trPr>
          <w:trHeight w:val="257"/>
        </w:trPr>
        <w:tc>
          <w:tcPr>
            <w:tcW w:w="9940" w:type="dxa"/>
            <w:vAlign w:val="bottom"/>
            <w:tcBorders>
              <w:bottom w:val="single" w:sz="8" w:color="DDDDDD"/>
            </w:tcBorders>
            <w:shd w:val="clear" w:color="auto" w:fill="DDDDDD"/>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20" w:type="dxa"/>
            <w:vAlign w:val="bottom"/>
            <w:tcBorders>
              <w:bottom w:val="single" w:sz="8" w:color="auto"/>
            </w:tcBorders>
            <w:shd w:val="clear" w:color="auto" w:fill="DDDDDD"/>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DDDDD"/>
          </w:tcPr>
          <w:p>
            <w:pPr>
              <w:jc w:val="right"/>
              <w:ind w:right="10"/>
              <w:spacing w:after="0"/>
              <w:rPr>
                <w:sz w:val="20"/>
                <w:szCs w:val="20"/>
                <w:color w:val="auto"/>
              </w:rPr>
            </w:pPr>
            <w:r>
              <w:rPr>
                <w:rFonts w:ascii="Arial" w:cs="Arial" w:eastAsia="Arial" w:hAnsi="Arial"/>
                <w:sz w:val="18"/>
                <w:szCs w:val="18"/>
                <w:color w:val="auto"/>
              </w:rPr>
              <w:t>6,917.7</w:t>
            </w:r>
          </w:p>
        </w:tc>
      </w:tr>
    </w:tbl>
    <w:p>
      <w:pPr>
        <w:spacing w:after="0" w:line="209" w:lineRule="exact"/>
        <w:rPr>
          <w:sz w:val="20"/>
          <w:szCs w:val="20"/>
          <w:color w:val="auto"/>
        </w:rPr>
      </w:pPr>
    </w:p>
    <w:p>
      <w:pPr>
        <w:ind w:left="140" w:hanging="132"/>
        <w:spacing w:after="0"/>
        <w:tabs>
          <w:tab w:leader="none" w:pos="140" w:val="left"/>
        </w:tabs>
        <w:numPr>
          <w:ilvl w:val="0"/>
          <w:numId w:val="52"/>
        </w:numPr>
        <w:rPr>
          <w:rFonts w:ascii="Arial" w:cs="Arial" w:eastAsia="Arial" w:hAnsi="Arial"/>
          <w:sz w:val="16"/>
          <w:szCs w:val="16"/>
          <w:color w:val="auto"/>
          <w:vertAlign w:val="superscript"/>
        </w:rPr>
      </w:pPr>
      <w:r>
        <w:rPr>
          <w:rFonts w:ascii="Arial" w:cs="Arial" w:eastAsia="Arial" w:hAnsi="Arial"/>
          <w:sz w:val="13"/>
          <w:szCs w:val="13"/>
          <w:color w:val="auto"/>
        </w:rPr>
        <w:t>$4.60 billion of the acquired IPR&amp;D relates to selpercatinib (LOXO-292).</w:t>
      </w:r>
    </w:p>
    <w:p>
      <w:pPr>
        <w:spacing w:after="0" w:line="97" w:lineRule="exact"/>
        <w:rPr>
          <w:rFonts w:ascii="Arial" w:cs="Arial" w:eastAsia="Arial" w:hAnsi="Arial"/>
          <w:sz w:val="16"/>
          <w:szCs w:val="16"/>
          <w:color w:val="auto"/>
          <w:vertAlign w:val="superscript"/>
        </w:rPr>
      </w:pPr>
    </w:p>
    <w:p>
      <w:pPr>
        <w:ind w:left="180" w:right="300" w:hanging="172"/>
        <w:spacing w:after="0" w:line="225" w:lineRule="auto"/>
        <w:tabs>
          <w:tab w:leader="none" w:pos="153" w:val="left"/>
        </w:tabs>
        <w:numPr>
          <w:ilvl w:val="0"/>
          <w:numId w:val="52"/>
        </w:numPr>
        <w:rPr>
          <w:rFonts w:ascii="Arial" w:cs="Arial" w:eastAsia="Arial" w:hAnsi="Arial"/>
          <w:sz w:val="17"/>
          <w:szCs w:val="17"/>
          <w:color w:val="auto"/>
          <w:vertAlign w:val="superscript"/>
        </w:rPr>
      </w:pPr>
      <w:r>
        <w:rPr>
          <w:rFonts w:ascii="Arial" w:cs="Arial" w:eastAsia="Arial" w:hAnsi="Arial"/>
          <w:sz w:val="14"/>
          <w:szCs w:val="14"/>
          <w:color w:val="auto"/>
        </w:rPr>
        <w:t>Contract-based intangibles (primarily related to Vitrakvi) which are being amortized to cost of sales on a straight-line basis over their estimated useful lives, were expected to have a weighted average useful life of approximately 12 years from the acquisition date.</w:t>
      </w:r>
    </w:p>
    <w:p>
      <w:pPr>
        <w:spacing w:after="0" w:line="124" w:lineRule="exact"/>
        <w:rPr>
          <w:rFonts w:ascii="Arial" w:cs="Arial" w:eastAsia="Arial" w:hAnsi="Arial"/>
          <w:sz w:val="17"/>
          <w:szCs w:val="17"/>
          <w:color w:val="auto"/>
          <w:vertAlign w:val="superscript"/>
        </w:rPr>
      </w:pPr>
    </w:p>
    <w:p>
      <w:pPr>
        <w:ind w:left="180" w:right="120" w:hanging="172"/>
        <w:spacing w:after="0" w:line="270" w:lineRule="auto"/>
        <w:tabs>
          <w:tab w:leader="none" w:pos="158"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attributable primarily to future unidentified projects and products and the assembled workforce for Loxo and is not deductible for tax purposes.</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consolidated statement of operations for the year ended December 31, 2019 includes Loxo revenues of $136.7 million, primarily due to regulatory approval and sales milestones received. We are unable to provide the results of operations for the year ended December 31, 2019 attributable to Loxo as those operations were substantially integrated into our legacy business.</w:t>
      </w:r>
    </w:p>
    <w:p>
      <w:pPr>
        <w:spacing w:after="0" w:line="9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 forma information has not been included because this acquisition did not have a material impact on our results of operations for the years ended December 31, 2019 and 2018.</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63</w:t>
      </w:r>
    </w:p>
    <w:p>
      <w:pPr>
        <w:sectPr>
          <w:pgSz w:w="11900" w:h="16838" w:orient="portrait"/>
          <w:cols w:equalWidth="0" w:num="1">
            <w:col w:w="11420"/>
          </w:cols>
          <w:pgMar w:left="240" w:top="549"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narrative summarize our asset acquisitions during 2019, 2018, and 2017.</w:t>
      </w:r>
    </w:p>
    <w:p>
      <w:pPr>
        <w:spacing w:after="0" w:line="159" w:lineRule="exact"/>
        <w:rPr>
          <w:sz w:val="20"/>
          <w:szCs w:val="20"/>
          <w:color w:val="auto"/>
        </w:rPr>
      </w:pPr>
    </w:p>
    <w:p>
      <w:pPr>
        <w:jc w:val="both"/>
        <w:ind w:left="7000"/>
        <w:spacing w:after="0"/>
        <w:tabs>
          <w:tab w:leader="none" w:pos="8540" w:val="left"/>
          <w:tab w:leader="none" w:pos="9980" w:val="left"/>
        </w:tabs>
        <w:rPr>
          <w:sz w:val="20"/>
          <w:szCs w:val="20"/>
          <w:color w:val="auto"/>
        </w:rPr>
      </w:pPr>
      <w:r>
        <w:rPr>
          <w:rFonts w:ascii="Arial" w:cs="Arial" w:eastAsia="Arial" w:hAnsi="Arial"/>
          <w:sz w:val="14"/>
          <w:szCs w:val="14"/>
          <w:b w:val="1"/>
          <w:bCs w:val="1"/>
          <w:color w:val="auto"/>
        </w:rPr>
        <w:t>Acquisition</w:t>
      </w:r>
      <w:r>
        <w:rPr>
          <w:sz w:val="20"/>
          <w:szCs w:val="20"/>
          <w:color w:val="auto"/>
        </w:rPr>
        <w:tab/>
      </w:r>
      <w:r>
        <w:rPr>
          <w:rFonts w:ascii="Arial" w:cs="Arial" w:eastAsia="Arial" w:hAnsi="Arial"/>
          <w:sz w:val="14"/>
          <w:szCs w:val="14"/>
          <w:b w:val="1"/>
          <w:bCs w:val="1"/>
          <w:color w:val="auto"/>
        </w:rPr>
        <w:t>Phase of</w:t>
      </w:r>
      <w:r>
        <w:rPr>
          <w:sz w:val="20"/>
          <w:szCs w:val="20"/>
          <w:color w:val="auto"/>
        </w:rPr>
        <w:tab/>
      </w:r>
      <w:r>
        <w:rPr>
          <w:rFonts w:ascii="Arial" w:cs="Arial" w:eastAsia="Arial" w:hAnsi="Arial"/>
          <w:sz w:val="14"/>
          <w:szCs w:val="14"/>
          <w:b w:val="1"/>
          <w:bCs w:val="1"/>
          <w:color w:val="auto"/>
        </w:rPr>
        <w:t>Acquired IPR&amp;D</w:t>
      </w:r>
    </w:p>
    <w:p>
      <w:pPr>
        <w:spacing w:after="0" w:line="14" w:lineRule="exact"/>
        <w:rPr>
          <w:sz w:val="20"/>
          <w:szCs w:val="20"/>
          <w:color w:val="auto"/>
        </w:rPr>
      </w:pPr>
    </w:p>
    <w:p>
      <w:pPr>
        <w:ind w:left="1280"/>
        <w:spacing w:after="0"/>
        <w:tabs>
          <w:tab w:leader="none" w:pos="3980" w:val="left"/>
          <w:tab w:leader="none" w:pos="7160" w:val="left"/>
          <w:tab w:leader="none" w:pos="8340" w:val="left"/>
          <w:tab w:leader="none" w:pos="10240" w:val="left"/>
        </w:tabs>
        <w:rPr>
          <w:sz w:val="20"/>
          <w:szCs w:val="20"/>
          <w:color w:val="auto"/>
        </w:rPr>
      </w:pPr>
      <w:r>
        <w:rPr>
          <w:rFonts w:ascii="Arial" w:cs="Arial" w:eastAsia="Arial" w:hAnsi="Arial"/>
          <w:sz w:val="14"/>
          <w:szCs w:val="14"/>
          <w:b w:val="1"/>
          <w:bCs w:val="1"/>
          <w:color w:val="auto"/>
        </w:rPr>
        <w:t>Counterparty</w:t>
      </w:r>
      <w:r>
        <w:rPr>
          <w:sz w:val="20"/>
          <w:szCs w:val="20"/>
          <w:color w:val="auto"/>
        </w:rPr>
        <w:tab/>
      </w:r>
      <w:r>
        <w:rPr>
          <w:rFonts w:ascii="Arial" w:cs="Arial" w:eastAsia="Arial" w:hAnsi="Arial"/>
          <w:sz w:val="14"/>
          <w:szCs w:val="14"/>
          <w:b w:val="1"/>
          <w:bCs w:val="1"/>
          <w:color w:val="auto"/>
        </w:rPr>
        <w:t>Compound(s),Therapy, or Asset</w:t>
      </w:r>
      <w:r>
        <w:rPr>
          <w:sz w:val="20"/>
          <w:szCs w:val="20"/>
          <w:color w:val="auto"/>
        </w:rPr>
        <w:tab/>
      </w:r>
      <w:r>
        <w:rPr>
          <w:rFonts w:ascii="Arial" w:cs="Arial" w:eastAsia="Arial" w:hAnsi="Arial"/>
          <w:sz w:val="14"/>
          <w:szCs w:val="14"/>
          <w:b w:val="1"/>
          <w:bCs w:val="1"/>
          <w:color w:val="auto"/>
        </w:rPr>
        <w:t>Month</w:t>
      </w:r>
      <w:r>
        <w:rPr>
          <w:sz w:val="20"/>
          <w:szCs w:val="20"/>
          <w:color w:val="auto"/>
        </w:rPr>
        <w:tab/>
      </w:r>
      <w:r>
        <w:rPr>
          <w:rFonts w:ascii="Arial" w:cs="Arial" w:eastAsia="Arial" w:hAnsi="Arial"/>
          <w:sz w:val="14"/>
          <w:szCs w:val="14"/>
          <w:b w:val="1"/>
          <w:bCs w:val="1"/>
          <w:color w:val="auto"/>
        </w:rPr>
        <w:t>Development</w:t>
      </w:r>
      <w:r>
        <w:rPr>
          <w:rFonts w:ascii="Arial" w:cs="Arial" w:eastAsia="Arial" w:hAnsi="Arial"/>
          <w:sz w:val="17"/>
          <w:szCs w:val="17"/>
          <w:b w:val="1"/>
          <w:bCs w:val="1"/>
          <w:color w:val="auto"/>
          <w:vertAlign w:val="superscript"/>
        </w:rPr>
        <w:t>(1)</w:t>
      </w:r>
      <w:r>
        <w:rPr>
          <w:sz w:val="20"/>
          <w:szCs w:val="20"/>
          <w:color w:val="auto"/>
        </w:rPr>
        <w:tab/>
      </w:r>
      <w:r>
        <w:rPr>
          <w:rFonts w:ascii="Arial" w:cs="Arial" w:eastAsia="Arial" w:hAnsi="Arial"/>
          <w:sz w:val="14"/>
          <w:szCs w:val="14"/>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557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p>
      <w:pPr>
        <w:spacing w:after="0" w:line="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Tau aggregation inhibitor small</w:t>
      </w:r>
    </w:p>
    <w:p>
      <w:pPr>
        <w:ind w:left="3460" w:hanging="3429"/>
        <w:spacing w:after="0" w:line="234" w:lineRule="auto"/>
        <w:tabs>
          <w:tab w:leader="none" w:pos="3440" w:val="left"/>
        </w:tabs>
        <w:rPr>
          <w:sz w:val="20"/>
          <w:szCs w:val="20"/>
          <w:color w:val="auto"/>
        </w:rPr>
      </w:pPr>
      <w:r>
        <w:rPr>
          <w:rFonts w:ascii="Arial" w:cs="Arial" w:eastAsia="Arial" w:hAnsi="Arial"/>
          <w:sz w:val="36"/>
          <w:szCs w:val="36"/>
          <w:color w:val="auto"/>
          <w:vertAlign w:val="subscript"/>
        </w:rPr>
        <w:t>AC Immune SA</w:t>
      </w:r>
      <w:r>
        <w:rPr>
          <w:sz w:val="20"/>
          <w:szCs w:val="20"/>
          <w:color w:val="auto"/>
        </w:rPr>
        <w:tab/>
      </w:r>
      <w:r>
        <w:rPr>
          <w:rFonts w:ascii="Arial" w:cs="Arial" w:eastAsia="Arial" w:hAnsi="Arial"/>
          <w:sz w:val="18"/>
          <w:szCs w:val="18"/>
          <w:color w:val="auto"/>
        </w:rPr>
        <w:t>molecules for the potential treatment of Alzheimer's disease and other</w:t>
      </w:r>
    </w:p>
    <w:p>
      <w:pPr>
        <w:spacing w:after="0" w:line="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center"/>
              <w:ind w:right="150"/>
              <w:spacing w:after="0"/>
              <w:rPr>
                <w:sz w:val="20"/>
                <w:szCs w:val="20"/>
                <w:color w:val="auto"/>
              </w:rPr>
            </w:pPr>
            <w:r>
              <w:rPr>
                <w:rFonts w:ascii="Arial" w:cs="Arial" w:eastAsia="Arial" w:hAnsi="Arial"/>
                <w:sz w:val="18"/>
                <w:szCs w:val="18"/>
                <w:color w:val="auto"/>
              </w:rPr>
              <w:t>January 2019</w:t>
            </w: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1340" w:type="dxa"/>
            <w:vAlign w:val="bottom"/>
          </w:tcPr>
          <w:p>
            <w:pPr>
              <w:jc w:val="center"/>
              <w:ind w:right="150"/>
              <w:spacing w:after="0" w:line="201" w:lineRule="exact"/>
              <w:rPr>
                <w:sz w:val="20"/>
                <w:szCs w:val="20"/>
                <w:color w:val="auto"/>
              </w:rPr>
            </w:pPr>
            <w:r>
              <w:rPr>
                <w:rFonts w:ascii="Arial" w:cs="Arial" w:eastAsia="Arial" w:hAnsi="Arial"/>
                <w:sz w:val="18"/>
                <w:szCs w:val="18"/>
                <w:color w:val="auto"/>
              </w:rPr>
              <w:t>&amp; September</w:t>
            </w:r>
          </w:p>
        </w:tc>
        <w:tc>
          <w:tcPr>
            <w:tcW w:w="1340" w:type="dxa"/>
            <w:vAlign w:val="bottom"/>
          </w:tcPr>
          <w:p>
            <w:pPr>
              <w:ind w:left="240"/>
              <w:spacing w:after="0" w:line="201" w:lineRule="exact"/>
              <w:rPr>
                <w:sz w:val="20"/>
                <w:szCs w:val="20"/>
                <w:color w:val="auto"/>
              </w:rPr>
            </w:pPr>
            <w:r>
              <w:rPr>
                <w:rFonts w:ascii="Arial" w:cs="Arial" w:eastAsia="Arial" w:hAnsi="Arial"/>
                <w:sz w:val="18"/>
                <w:szCs w:val="18"/>
                <w:color w:val="auto"/>
              </w:rPr>
              <w:t>Pre-clinical</w:t>
            </w:r>
          </w:p>
        </w:tc>
        <w:tc>
          <w:tcPr>
            <w:tcW w:w="82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127.1</w:t>
            </w:r>
          </w:p>
        </w:tc>
      </w:tr>
      <w:tr>
        <w:trPr>
          <w:trHeight w:val="276"/>
        </w:trPr>
        <w:tc>
          <w:tcPr>
            <w:tcW w:w="1340" w:type="dxa"/>
            <w:vAlign w:val="bottom"/>
          </w:tcPr>
          <w:p>
            <w:pPr>
              <w:jc w:val="center"/>
              <w:ind w:right="150"/>
              <w:spacing w:after="0"/>
              <w:rPr>
                <w:sz w:val="20"/>
                <w:szCs w:val="20"/>
                <w:color w:val="auto"/>
              </w:rPr>
            </w:pPr>
            <w:r>
              <w:rPr>
                <w:rFonts w:ascii="Arial" w:cs="Arial" w:eastAsia="Arial" w:hAnsi="Arial"/>
                <w:sz w:val="18"/>
                <w:szCs w:val="18"/>
                <w:color w:val="auto"/>
                <w:w w:val="94"/>
              </w:rPr>
              <w:t>2019</w:t>
            </w:r>
            <w:r>
              <w:rPr>
                <w:rFonts w:ascii="Arial" w:cs="Arial" w:eastAsia="Arial" w:hAnsi="Arial"/>
                <w:sz w:val="21"/>
                <w:szCs w:val="21"/>
                <w:color w:val="auto"/>
                <w:w w:val="94"/>
                <w:vertAlign w:val="superscript"/>
              </w:rPr>
              <w:t>(2)</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03" w:lineRule="exact"/>
        <w:rPr>
          <w:sz w:val="20"/>
          <w:szCs w:val="20"/>
          <w:color w:val="auto"/>
        </w:rPr>
      </w:pPr>
    </w:p>
    <w:p>
      <w:pPr>
        <w:sectPr>
          <w:pgSz w:w="11900" w:h="16838" w:orient="portrait"/>
          <w:cols w:equalWidth="0" w:num="2">
            <w:col w:w="6580" w:space="260"/>
            <w:col w:w="4580"/>
          </w:cols>
          <w:pgMar w:left="240" w:top="711"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380" w:type="dxa"/>
            <w:vAlign w:val="bottom"/>
          </w:tcPr>
          <w:p>
            <w:pPr>
              <w:ind w:left="40"/>
              <w:spacing w:after="0"/>
              <w:rPr>
                <w:sz w:val="20"/>
                <w:szCs w:val="20"/>
                <w:color w:val="auto"/>
              </w:rPr>
            </w:pPr>
            <w:r>
              <w:rPr>
                <w:rFonts w:ascii="Arial" w:cs="Arial" w:eastAsia="Arial" w:hAnsi="Arial"/>
                <w:sz w:val="18"/>
                <w:szCs w:val="18"/>
                <w:color w:val="auto"/>
              </w:rPr>
              <w:t>ImmuNext, Inc.</w:t>
            </w:r>
          </w:p>
        </w:tc>
        <w:tc>
          <w:tcPr>
            <w:tcW w:w="3360" w:type="dxa"/>
            <w:vAlign w:val="bottom"/>
          </w:tcPr>
          <w:p>
            <w:pPr>
              <w:ind w:left="80"/>
              <w:spacing w:after="0"/>
              <w:rPr>
                <w:sz w:val="20"/>
                <w:szCs w:val="20"/>
                <w:color w:val="auto"/>
              </w:rPr>
            </w:pPr>
            <w:r>
              <w:rPr>
                <w:rFonts w:ascii="Arial" w:cs="Arial" w:eastAsia="Arial" w:hAnsi="Arial"/>
                <w:sz w:val="18"/>
                <w:szCs w:val="18"/>
                <w:color w:val="auto"/>
              </w:rPr>
              <w:t>Novel immunometabolism target</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March 2019</w:t>
            </w: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9"/>
              </w:rPr>
              <w:t>Pre-clinical</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Avidity Biosciences, Inc.</w:t>
            </w:r>
          </w:p>
        </w:tc>
        <w:tc>
          <w:tcPr>
            <w:tcW w:w="3360" w:type="dxa"/>
            <w:vAlign w:val="bottom"/>
            <w:shd w:val="clear" w:color="auto" w:fill="D8D8D8"/>
          </w:tcPr>
          <w:p>
            <w:pPr>
              <w:ind w:left="80"/>
              <w:spacing w:after="0"/>
              <w:rPr>
                <w:sz w:val="20"/>
                <w:szCs w:val="20"/>
                <w:color w:val="auto"/>
              </w:rPr>
            </w:pPr>
            <w:r>
              <w:rPr>
                <w:rFonts w:ascii="Arial" w:cs="Arial" w:eastAsia="Arial" w:hAnsi="Arial"/>
                <w:sz w:val="18"/>
                <w:szCs w:val="18"/>
                <w:color w:val="auto"/>
              </w:rPr>
              <w:t>Potential new medicines in immunology</w:t>
            </w:r>
          </w:p>
        </w:tc>
        <w:tc>
          <w:tcPr>
            <w:tcW w:w="138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rPr>
              <w:t>April 2019</w:t>
            </w:r>
          </w:p>
        </w:tc>
        <w:tc>
          <w:tcPr>
            <w:tcW w:w="1580" w:type="dxa"/>
            <w:vAlign w:val="bottom"/>
            <w:vMerge w:val="restart"/>
            <w:shd w:val="clear" w:color="auto" w:fill="D8D8D8"/>
          </w:tcPr>
          <w:p>
            <w:pPr>
              <w:jc w:val="center"/>
              <w:ind w:right="10"/>
              <w:spacing w:after="0"/>
              <w:rPr>
                <w:sz w:val="20"/>
                <w:szCs w:val="20"/>
                <w:color w:val="auto"/>
              </w:rPr>
            </w:pPr>
            <w:r>
              <w:rPr>
                <w:rFonts w:ascii="Arial" w:cs="Arial" w:eastAsia="Arial" w:hAnsi="Arial"/>
                <w:sz w:val="18"/>
                <w:szCs w:val="18"/>
                <w:color w:val="auto"/>
                <w:w w:val="99"/>
              </w:rPr>
              <w:t>Pre-clinical</w:t>
            </w:r>
          </w:p>
        </w:tc>
        <w:tc>
          <w:tcPr>
            <w:tcW w:w="1720" w:type="dxa"/>
            <w:vAlign w:val="bottom"/>
            <w:vMerge w:val="restart"/>
            <w:shd w:val="clear" w:color="auto" w:fill="D8D8D8"/>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9"/>
        </w:trPr>
        <w:tc>
          <w:tcPr>
            <w:tcW w:w="3380" w:type="dxa"/>
            <w:vAlign w:val="bottom"/>
            <w:vMerge w:val="continue"/>
            <w:shd w:val="clear" w:color="auto" w:fill="D8D8D8"/>
          </w:tcPr>
          <w:p>
            <w:pPr>
              <w:spacing w:after="0"/>
              <w:rPr>
                <w:sz w:val="9"/>
                <w:szCs w:val="9"/>
                <w:color w:val="auto"/>
              </w:rPr>
            </w:pPr>
          </w:p>
        </w:tc>
        <w:tc>
          <w:tcPr>
            <w:tcW w:w="33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and other select indications</w:t>
            </w:r>
          </w:p>
        </w:tc>
        <w:tc>
          <w:tcPr>
            <w:tcW w:w="1380" w:type="dxa"/>
            <w:vAlign w:val="bottom"/>
            <w:vMerge w:val="continue"/>
            <w:shd w:val="clear" w:color="auto" w:fill="D8D8D8"/>
          </w:tcPr>
          <w:p>
            <w:pPr>
              <w:spacing w:after="0"/>
              <w:rPr>
                <w:sz w:val="9"/>
                <w:szCs w:val="9"/>
                <w:color w:val="auto"/>
              </w:rPr>
            </w:pPr>
          </w:p>
        </w:tc>
        <w:tc>
          <w:tcPr>
            <w:tcW w:w="1580" w:type="dxa"/>
            <w:vAlign w:val="bottom"/>
            <w:vMerge w:val="continue"/>
            <w:shd w:val="clear" w:color="auto" w:fill="D8D8D8"/>
          </w:tcPr>
          <w:p>
            <w:pPr>
              <w:spacing w:after="0"/>
              <w:rPr>
                <w:sz w:val="9"/>
                <w:szCs w:val="9"/>
                <w:color w:val="auto"/>
              </w:rPr>
            </w:pPr>
          </w:p>
        </w:tc>
        <w:tc>
          <w:tcPr>
            <w:tcW w:w="17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shd w:val="clear" w:color="auto" w:fill="D8D8D8"/>
          </w:tcPr>
          <w:p>
            <w:pPr>
              <w:spacing w:after="0"/>
              <w:rPr>
                <w:sz w:val="10"/>
                <w:szCs w:val="10"/>
                <w:color w:val="auto"/>
              </w:rPr>
            </w:pPr>
          </w:p>
        </w:tc>
        <w:tc>
          <w:tcPr>
            <w:tcW w:w="3360" w:type="dxa"/>
            <w:vAlign w:val="bottom"/>
            <w:tcBorders>
              <w:bottom w:val="single" w:sz="8" w:color="auto"/>
            </w:tcBorders>
            <w:vMerge w:val="continue"/>
            <w:shd w:val="clear" w:color="auto" w:fill="D8D8D8"/>
          </w:tcPr>
          <w:p>
            <w:pPr>
              <w:spacing w:after="0"/>
              <w:rPr>
                <w:sz w:val="10"/>
                <w:szCs w:val="10"/>
                <w:color w:val="auto"/>
              </w:rPr>
            </w:pPr>
          </w:p>
        </w:tc>
        <w:tc>
          <w:tcPr>
            <w:tcW w:w="1380" w:type="dxa"/>
            <w:vAlign w:val="bottom"/>
            <w:tcBorders>
              <w:bottom w:val="single" w:sz="8" w:color="auto"/>
            </w:tcBorders>
            <w:shd w:val="clear" w:color="auto" w:fill="D8D8D8"/>
          </w:tcPr>
          <w:p>
            <w:pPr>
              <w:spacing w:after="0"/>
              <w:rPr>
                <w:sz w:val="10"/>
                <w:szCs w:val="10"/>
                <w:color w:val="auto"/>
              </w:rPr>
            </w:pPr>
          </w:p>
        </w:tc>
        <w:tc>
          <w:tcPr>
            <w:tcW w:w="1580" w:type="dxa"/>
            <w:vAlign w:val="bottom"/>
            <w:tcBorders>
              <w:bottom w:val="single" w:sz="8" w:color="auto"/>
            </w:tcBorders>
            <w:shd w:val="clear" w:color="auto" w:fill="D8D8D8"/>
          </w:tcPr>
          <w:p>
            <w:pPr>
              <w:spacing w:after="0"/>
              <w:rPr>
                <w:sz w:val="10"/>
                <w:szCs w:val="10"/>
                <w:color w:val="auto"/>
              </w:rPr>
            </w:pPr>
          </w:p>
        </w:tc>
        <w:tc>
          <w:tcPr>
            <w:tcW w:w="1720" w:type="dxa"/>
            <w:vAlign w:val="bottom"/>
            <w:tcBorders>
              <w:bottom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380" w:type="dxa"/>
            <w:vAlign w:val="bottom"/>
            <w:vMerge w:val="restart"/>
          </w:tcPr>
          <w:p>
            <w:pPr>
              <w:ind w:left="40"/>
              <w:spacing w:after="0"/>
              <w:rPr>
                <w:sz w:val="20"/>
                <w:szCs w:val="20"/>
                <w:color w:val="auto"/>
              </w:rPr>
            </w:pPr>
            <w:r>
              <w:rPr>
                <w:rFonts w:ascii="Arial" w:cs="Arial" w:eastAsia="Arial" w:hAnsi="Arial"/>
                <w:sz w:val="18"/>
                <w:szCs w:val="18"/>
                <w:color w:val="auto"/>
              </w:rPr>
              <w:t>Centrexion Therapeutics Corporation</w:t>
            </w:r>
          </w:p>
        </w:tc>
        <w:tc>
          <w:tcPr>
            <w:tcW w:w="3360" w:type="dxa"/>
            <w:vAlign w:val="bottom"/>
          </w:tcPr>
          <w:p>
            <w:pPr>
              <w:ind w:left="80"/>
              <w:spacing w:after="0"/>
              <w:rPr>
                <w:sz w:val="20"/>
                <w:szCs w:val="20"/>
                <w:color w:val="auto"/>
              </w:rPr>
            </w:pPr>
            <w:r>
              <w:rPr>
                <w:rFonts w:ascii="Arial" w:cs="Arial" w:eastAsia="Arial" w:hAnsi="Arial"/>
                <w:sz w:val="18"/>
                <w:szCs w:val="18"/>
                <w:color w:val="auto"/>
              </w:rPr>
              <w:t>CNTX-0290, a novel, small molecule</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rPr>
              <w:t>July 2019</w:t>
            </w:r>
          </w:p>
        </w:tc>
        <w:tc>
          <w:tcPr>
            <w:tcW w:w="158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Phase I</w:t>
            </w: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3360" w:type="dxa"/>
            <w:vAlign w:val="bottom"/>
            <w:vMerge w:val="restart"/>
          </w:tcPr>
          <w:p>
            <w:pPr>
              <w:ind w:left="80"/>
              <w:spacing w:after="0"/>
              <w:rPr>
                <w:sz w:val="20"/>
                <w:szCs w:val="20"/>
                <w:color w:val="auto"/>
              </w:rPr>
            </w:pPr>
            <w:r>
              <w:rPr>
                <w:rFonts w:ascii="Arial" w:cs="Arial" w:eastAsia="Arial" w:hAnsi="Arial"/>
                <w:sz w:val="18"/>
                <w:szCs w:val="18"/>
                <w:color w:val="auto"/>
              </w:rPr>
              <w:t>somatostatin receptor type 4 agonist</w:t>
            </w:r>
          </w:p>
        </w:tc>
        <w:tc>
          <w:tcPr>
            <w:tcW w:w="138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vMerge w:val="continue"/>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D8D8D8"/>
          </w:tcPr>
          <w:p>
            <w:pPr>
              <w:spacing w:after="0"/>
              <w:rPr>
                <w:sz w:val="20"/>
                <w:szCs w:val="20"/>
                <w:color w:val="auto"/>
              </w:rPr>
            </w:pPr>
          </w:p>
        </w:tc>
        <w:tc>
          <w:tcPr>
            <w:tcW w:w="3360" w:type="dxa"/>
            <w:vAlign w:val="bottom"/>
            <w:tcBorders>
              <w:bottom w:val="single" w:sz="8" w:color="auto"/>
            </w:tcBorders>
            <w:shd w:val="clear" w:color="auto" w:fill="D8D8D8"/>
          </w:tcPr>
          <w:p>
            <w:pPr>
              <w:spacing w:after="0"/>
              <w:rPr>
                <w:sz w:val="20"/>
                <w:szCs w:val="20"/>
                <w:color w:val="auto"/>
              </w:rPr>
            </w:pPr>
          </w:p>
        </w:tc>
        <w:tc>
          <w:tcPr>
            <w:tcW w:w="1380" w:type="dxa"/>
            <w:vAlign w:val="bottom"/>
            <w:tcBorders>
              <w:bottom w:val="single" w:sz="8" w:color="auto"/>
            </w:tcBorders>
            <w:shd w:val="clear" w:color="auto" w:fill="D8D8D8"/>
          </w:tcPr>
          <w:p>
            <w:pPr>
              <w:spacing w:after="0"/>
              <w:rPr>
                <w:sz w:val="20"/>
                <w:szCs w:val="20"/>
                <w:color w:val="auto"/>
              </w:rPr>
            </w:pPr>
          </w:p>
        </w:tc>
        <w:tc>
          <w:tcPr>
            <w:tcW w:w="1580" w:type="dxa"/>
            <w:vAlign w:val="bottom"/>
            <w:tcBorders>
              <w:bottom w:val="single" w:sz="8" w:color="auto"/>
            </w:tcBorders>
            <w:shd w:val="clear" w:color="auto" w:fill="D8D8D8"/>
          </w:tcPr>
          <w:p>
            <w:pPr>
              <w:spacing w:after="0"/>
              <w:rPr>
                <w:sz w:val="20"/>
                <w:szCs w:val="20"/>
                <w:color w:val="auto"/>
              </w:rPr>
            </w:pPr>
          </w:p>
        </w:tc>
        <w:tc>
          <w:tcPr>
            <w:tcW w:w="1720" w:type="dxa"/>
            <w:vAlign w:val="bottom"/>
            <w:tcBorders>
              <w:bottom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80" w:type="dxa"/>
            <w:vAlign w:val="bottom"/>
            <w:vMerge w:val="restart"/>
          </w:tcPr>
          <w:p>
            <w:pPr>
              <w:ind w:left="40"/>
              <w:spacing w:after="0"/>
              <w:rPr>
                <w:sz w:val="20"/>
                <w:szCs w:val="20"/>
                <w:color w:val="auto"/>
              </w:rPr>
            </w:pPr>
            <w:r>
              <w:rPr>
                <w:rFonts w:ascii="Arial" w:cs="Arial" w:eastAsia="Arial" w:hAnsi="Arial"/>
                <w:sz w:val="18"/>
                <w:szCs w:val="18"/>
                <w:color w:val="auto"/>
              </w:rPr>
              <w:t>Sigilon Therapeutics</w:t>
            </w:r>
          </w:p>
        </w:tc>
        <w:tc>
          <w:tcPr>
            <w:tcW w:w="3360" w:type="dxa"/>
            <w:vAlign w:val="bottom"/>
          </w:tcPr>
          <w:p>
            <w:pPr>
              <w:ind w:left="80"/>
              <w:spacing w:after="0"/>
              <w:rPr>
                <w:sz w:val="20"/>
                <w:szCs w:val="20"/>
                <w:color w:val="auto"/>
              </w:rPr>
            </w:pPr>
            <w:r>
              <w:rPr>
                <w:rFonts w:ascii="Arial" w:cs="Arial" w:eastAsia="Arial" w:hAnsi="Arial"/>
                <w:sz w:val="18"/>
                <w:szCs w:val="18"/>
                <w:color w:val="auto"/>
              </w:rPr>
              <w:t>Encapsulated cell therapies for the</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rPr>
              <w:t>April 2018</w:t>
            </w:r>
          </w:p>
        </w:tc>
        <w:tc>
          <w:tcPr>
            <w:tcW w:w="15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Pre-clinical</w:t>
            </w: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3360" w:type="dxa"/>
            <w:vAlign w:val="bottom"/>
            <w:vMerge w:val="restart"/>
          </w:tcPr>
          <w:p>
            <w:pPr>
              <w:ind w:left="80"/>
              <w:spacing w:after="0"/>
              <w:rPr>
                <w:sz w:val="20"/>
                <w:szCs w:val="20"/>
                <w:color w:val="auto"/>
              </w:rPr>
            </w:pPr>
            <w:r>
              <w:rPr>
                <w:rFonts w:ascii="Arial" w:cs="Arial" w:eastAsia="Arial" w:hAnsi="Arial"/>
                <w:sz w:val="18"/>
                <w:szCs w:val="18"/>
                <w:color w:val="auto"/>
              </w:rPr>
              <w:t>potential treatment of type 1 diabetes</w:t>
            </w:r>
          </w:p>
        </w:tc>
        <w:tc>
          <w:tcPr>
            <w:tcW w:w="138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vMerge w:val="continue"/>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3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AurKa Pharma, Inc.</w:t>
            </w:r>
          </w:p>
        </w:tc>
        <w:tc>
          <w:tcPr>
            <w:tcW w:w="336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AK-01, an Aurora kinase A inhibitor</w:t>
            </w:r>
          </w:p>
        </w:tc>
        <w:tc>
          <w:tcPr>
            <w:tcW w:w="1380" w:type="dxa"/>
            <w:vAlign w:val="bottom"/>
            <w:tcBorders>
              <w:bottom w:val="single" w:sz="8" w:color="D8D8D8"/>
            </w:tcBorders>
            <w:shd w:val="clear" w:color="auto" w:fill="D8D8D8"/>
          </w:tcPr>
          <w:p>
            <w:pPr>
              <w:jc w:val="center"/>
              <w:ind w:right="10"/>
              <w:spacing w:after="0"/>
              <w:rPr>
                <w:sz w:val="20"/>
                <w:szCs w:val="20"/>
                <w:color w:val="auto"/>
              </w:rPr>
            </w:pPr>
            <w:r>
              <w:rPr>
                <w:rFonts w:ascii="Arial" w:cs="Arial" w:eastAsia="Arial" w:hAnsi="Arial"/>
                <w:sz w:val="18"/>
                <w:szCs w:val="18"/>
                <w:color w:val="auto"/>
                <w:w w:val="99"/>
              </w:rPr>
              <w:t>June 2018</w:t>
            </w:r>
          </w:p>
        </w:tc>
        <w:tc>
          <w:tcPr>
            <w:tcW w:w="1580" w:type="dxa"/>
            <w:vAlign w:val="bottom"/>
            <w:tcBorders>
              <w:bottom w:val="single" w:sz="8" w:color="D8D8D8"/>
            </w:tcBorders>
            <w:shd w:val="clear" w:color="auto" w:fill="D8D8D8"/>
          </w:tcPr>
          <w:p>
            <w:pPr>
              <w:jc w:val="center"/>
              <w:ind w:right="10"/>
              <w:spacing w:after="0"/>
              <w:rPr>
                <w:sz w:val="20"/>
                <w:szCs w:val="20"/>
                <w:color w:val="auto"/>
              </w:rPr>
            </w:pPr>
            <w:r>
              <w:rPr>
                <w:rFonts w:ascii="Arial" w:cs="Arial" w:eastAsia="Arial" w:hAnsi="Arial"/>
                <w:sz w:val="18"/>
                <w:szCs w:val="18"/>
                <w:color w:val="auto"/>
                <w:w w:val="98"/>
              </w:rPr>
              <w:t>Phase I</w:t>
            </w:r>
          </w:p>
        </w:tc>
        <w:tc>
          <w:tcPr>
            <w:tcW w:w="1720" w:type="dxa"/>
            <w:vAlign w:val="bottom"/>
            <w:tcBorders>
              <w:bottom w:val="single" w:sz="8" w:color="D8D8D8"/>
            </w:tcBorders>
            <w:shd w:val="clear" w:color="auto" w:fill="D8D8D8"/>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ARMO BioSciences, Inc. (ARMO)</w:t>
            </w:r>
          </w:p>
        </w:tc>
        <w:tc>
          <w:tcPr>
            <w:tcW w:w="3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Cancer therapy - pegilodecakin</w:t>
            </w:r>
          </w:p>
        </w:tc>
        <w:tc>
          <w:tcPr>
            <w:tcW w:w="13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June 2018</w:t>
            </w:r>
          </w:p>
        </w:tc>
        <w:tc>
          <w:tcPr>
            <w:tcW w:w="15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rPr>
              <w:t>Phase III</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Anima Biotech</w:t>
            </w:r>
          </w:p>
        </w:tc>
        <w:tc>
          <w:tcPr>
            <w:tcW w:w="3360" w:type="dxa"/>
            <w:vAlign w:val="bottom"/>
            <w:shd w:val="clear" w:color="auto" w:fill="D8D8D8"/>
          </w:tcPr>
          <w:p>
            <w:pPr>
              <w:ind w:left="80"/>
              <w:spacing w:after="0"/>
              <w:rPr>
                <w:sz w:val="20"/>
                <w:szCs w:val="20"/>
                <w:color w:val="auto"/>
              </w:rPr>
            </w:pPr>
            <w:r>
              <w:rPr>
                <w:rFonts w:ascii="Arial" w:cs="Arial" w:eastAsia="Arial" w:hAnsi="Arial"/>
                <w:sz w:val="18"/>
                <w:szCs w:val="18"/>
                <w:color w:val="auto"/>
              </w:rPr>
              <w:t>Translation inhibitors for selected</w:t>
            </w:r>
          </w:p>
        </w:tc>
        <w:tc>
          <w:tcPr>
            <w:tcW w:w="138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rPr>
              <w:t>July 2018</w:t>
            </w:r>
          </w:p>
        </w:tc>
        <w:tc>
          <w:tcPr>
            <w:tcW w:w="1580" w:type="dxa"/>
            <w:vAlign w:val="bottom"/>
            <w:vMerge w:val="restart"/>
            <w:shd w:val="clear" w:color="auto" w:fill="D8D8D8"/>
          </w:tcPr>
          <w:p>
            <w:pPr>
              <w:jc w:val="center"/>
              <w:ind w:right="10"/>
              <w:spacing w:after="0"/>
              <w:rPr>
                <w:sz w:val="20"/>
                <w:szCs w:val="20"/>
                <w:color w:val="auto"/>
              </w:rPr>
            </w:pPr>
            <w:r>
              <w:rPr>
                <w:rFonts w:ascii="Arial" w:cs="Arial" w:eastAsia="Arial" w:hAnsi="Arial"/>
                <w:sz w:val="18"/>
                <w:szCs w:val="18"/>
                <w:color w:val="auto"/>
                <w:w w:val="99"/>
              </w:rPr>
              <w:t>Pre-clinical</w:t>
            </w:r>
          </w:p>
        </w:tc>
        <w:tc>
          <w:tcPr>
            <w:tcW w:w="1720" w:type="dxa"/>
            <w:vAlign w:val="bottom"/>
            <w:vMerge w:val="restart"/>
            <w:shd w:val="clear" w:color="auto" w:fill="D8D8D8"/>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9"/>
        </w:trPr>
        <w:tc>
          <w:tcPr>
            <w:tcW w:w="3380" w:type="dxa"/>
            <w:vAlign w:val="bottom"/>
            <w:vMerge w:val="continue"/>
            <w:shd w:val="clear" w:color="auto" w:fill="D8D8D8"/>
          </w:tcPr>
          <w:p>
            <w:pPr>
              <w:spacing w:after="0"/>
              <w:rPr>
                <w:sz w:val="9"/>
                <w:szCs w:val="9"/>
                <w:color w:val="auto"/>
              </w:rPr>
            </w:pPr>
          </w:p>
        </w:tc>
        <w:tc>
          <w:tcPr>
            <w:tcW w:w="33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neuroscience targets</w:t>
            </w:r>
          </w:p>
        </w:tc>
        <w:tc>
          <w:tcPr>
            <w:tcW w:w="1380" w:type="dxa"/>
            <w:vAlign w:val="bottom"/>
            <w:vMerge w:val="continue"/>
            <w:shd w:val="clear" w:color="auto" w:fill="D8D8D8"/>
          </w:tcPr>
          <w:p>
            <w:pPr>
              <w:spacing w:after="0"/>
              <w:rPr>
                <w:sz w:val="9"/>
                <w:szCs w:val="9"/>
                <w:color w:val="auto"/>
              </w:rPr>
            </w:pPr>
          </w:p>
        </w:tc>
        <w:tc>
          <w:tcPr>
            <w:tcW w:w="1580" w:type="dxa"/>
            <w:vAlign w:val="bottom"/>
            <w:vMerge w:val="continue"/>
            <w:shd w:val="clear" w:color="auto" w:fill="D8D8D8"/>
          </w:tcPr>
          <w:p>
            <w:pPr>
              <w:spacing w:after="0"/>
              <w:rPr>
                <w:sz w:val="9"/>
                <w:szCs w:val="9"/>
                <w:color w:val="auto"/>
              </w:rPr>
            </w:pPr>
          </w:p>
        </w:tc>
        <w:tc>
          <w:tcPr>
            <w:tcW w:w="17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shd w:val="clear" w:color="auto" w:fill="D8D8D8"/>
          </w:tcPr>
          <w:p>
            <w:pPr>
              <w:spacing w:after="0"/>
              <w:rPr>
                <w:sz w:val="10"/>
                <w:szCs w:val="10"/>
                <w:color w:val="auto"/>
              </w:rPr>
            </w:pPr>
          </w:p>
        </w:tc>
        <w:tc>
          <w:tcPr>
            <w:tcW w:w="3360" w:type="dxa"/>
            <w:vAlign w:val="bottom"/>
            <w:tcBorders>
              <w:bottom w:val="single" w:sz="8" w:color="auto"/>
            </w:tcBorders>
            <w:vMerge w:val="continue"/>
            <w:shd w:val="clear" w:color="auto" w:fill="D8D8D8"/>
          </w:tcPr>
          <w:p>
            <w:pPr>
              <w:spacing w:after="0"/>
              <w:rPr>
                <w:sz w:val="10"/>
                <w:szCs w:val="10"/>
                <w:color w:val="auto"/>
              </w:rPr>
            </w:pPr>
          </w:p>
        </w:tc>
        <w:tc>
          <w:tcPr>
            <w:tcW w:w="1380" w:type="dxa"/>
            <w:vAlign w:val="bottom"/>
            <w:tcBorders>
              <w:bottom w:val="single" w:sz="8" w:color="auto"/>
            </w:tcBorders>
            <w:shd w:val="clear" w:color="auto" w:fill="D8D8D8"/>
          </w:tcPr>
          <w:p>
            <w:pPr>
              <w:spacing w:after="0"/>
              <w:rPr>
                <w:sz w:val="10"/>
                <w:szCs w:val="10"/>
                <w:color w:val="auto"/>
              </w:rPr>
            </w:pPr>
          </w:p>
        </w:tc>
        <w:tc>
          <w:tcPr>
            <w:tcW w:w="1580" w:type="dxa"/>
            <w:vAlign w:val="bottom"/>
            <w:tcBorders>
              <w:bottom w:val="single" w:sz="8" w:color="auto"/>
            </w:tcBorders>
            <w:shd w:val="clear" w:color="auto" w:fill="D8D8D8"/>
          </w:tcPr>
          <w:p>
            <w:pPr>
              <w:spacing w:after="0"/>
              <w:rPr>
                <w:sz w:val="10"/>
                <w:szCs w:val="10"/>
                <w:color w:val="auto"/>
              </w:rPr>
            </w:pPr>
          </w:p>
        </w:tc>
        <w:tc>
          <w:tcPr>
            <w:tcW w:w="1720" w:type="dxa"/>
            <w:vAlign w:val="bottom"/>
            <w:tcBorders>
              <w:bottom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SIGA Technologies, Inc.</w:t>
            </w:r>
          </w:p>
        </w:tc>
        <w:tc>
          <w:tcPr>
            <w:tcW w:w="3360" w:type="dxa"/>
            <w:vAlign w:val="bottom"/>
          </w:tcPr>
          <w:p>
            <w:pPr>
              <w:ind w:left="80"/>
              <w:spacing w:after="0"/>
              <w:rPr>
                <w:sz w:val="20"/>
                <w:szCs w:val="20"/>
                <w:color w:val="auto"/>
              </w:rPr>
            </w:pPr>
            <w:r>
              <w:rPr>
                <w:rFonts w:ascii="Arial" w:cs="Arial" w:eastAsia="Arial" w:hAnsi="Arial"/>
                <w:sz w:val="18"/>
                <w:szCs w:val="18"/>
                <w:color w:val="auto"/>
              </w:rPr>
              <w:t>Priority Review Voucher</w:t>
            </w:r>
          </w:p>
        </w:tc>
        <w:tc>
          <w:tcPr>
            <w:tcW w:w="1380" w:type="dxa"/>
            <w:vAlign w:val="bottom"/>
          </w:tcPr>
          <w:p>
            <w:pPr>
              <w:jc w:val="center"/>
              <w:spacing w:after="0"/>
              <w:rPr>
                <w:sz w:val="20"/>
                <w:szCs w:val="20"/>
                <w:color w:val="auto"/>
              </w:rPr>
            </w:pPr>
            <w:r>
              <w:rPr>
                <w:rFonts w:ascii="Arial" w:cs="Arial" w:eastAsia="Arial" w:hAnsi="Arial"/>
                <w:sz w:val="18"/>
                <w:szCs w:val="18"/>
                <w:color w:val="auto"/>
              </w:rPr>
              <w:t>October 2018</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Chugai Pharmaceutical Company</w:t>
            </w:r>
          </w:p>
        </w:tc>
        <w:tc>
          <w:tcPr>
            <w:tcW w:w="3360" w:type="dxa"/>
            <w:vAlign w:val="bottom"/>
            <w:shd w:val="clear" w:color="auto" w:fill="D8D8D8"/>
          </w:tcPr>
          <w:p>
            <w:pPr>
              <w:ind w:left="80"/>
              <w:spacing w:after="0"/>
              <w:rPr>
                <w:sz w:val="20"/>
                <w:szCs w:val="20"/>
                <w:color w:val="auto"/>
              </w:rPr>
            </w:pPr>
            <w:r>
              <w:rPr>
                <w:rFonts w:ascii="Arial" w:cs="Arial" w:eastAsia="Arial" w:hAnsi="Arial"/>
                <w:sz w:val="18"/>
                <w:szCs w:val="18"/>
                <w:color w:val="auto"/>
              </w:rPr>
              <w:t>OWL833, an oral non-peptidic GLP-1</w:t>
            </w:r>
          </w:p>
        </w:tc>
        <w:tc>
          <w:tcPr>
            <w:tcW w:w="138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rPr>
              <w:t>October 2018</w:t>
            </w:r>
          </w:p>
        </w:tc>
        <w:tc>
          <w:tcPr>
            <w:tcW w:w="1580" w:type="dxa"/>
            <w:vAlign w:val="bottom"/>
            <w:vMerge w:val="restart"/>
            <w:shd w:val="clear" w:color="auto" w:fill="D8D8D8"/>
          </w:tcPr>
          <w:p>
            <w:pPr>
              <w:jc w:val="center"/>
              <w:ind w:right="10"/>
              <w:spacing w:after="0"/>
              <w:rPr>
                <w:sz w:val="20"/>
                <w:szCs w:val="20"/>
                <w:color w:val="auto"/>
              </w:rPr>
            </w:pPr>
            <w:r>
              <w:rPr>
                <w:rFonts w:ascii="Arial" w:cs="Arial" w:eastAsia="Arial" w:hAnsi="Arial"/>
                <w:sz w:val="18"/>
                <w:szCs w:val="18"/>
                <w:color w:val="auto"/>
                <w:w w:val="99"/>
              </w:rPr>
              <w:t>Pre-clinical</w:t>
            </w:r>
          </w:p>
        </w:tc>
        <w:tc>
          <w:tcPr>
            <w:tcW w:w="1720" w:type="dxa"/>
            <w:vAlign w:val="bottom"/>
            <w:vMerge w:val="restart"/>
            <w:shd w:val="clear" w:color="auto" w:fill="D8D8D8"/>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9"/>
        </w:trPr>
        <w:tc>
          <w:tcPr>
            <w:tcW w:w="3380" w:type="dxa"/>
            <w:vAlign w:val="bottom"/>
            <w:vMerge w:val="continue"/>
            <w:shd w:val="clear" w:color="auto" w:fill="D8D8D8"/>
          </w:tcPr>
          <w:p>
            <w:pPr>
              <w:spacing w:after="0"/>
              <w:rPr>
                <w:sz w:val="9"/>
                <w:szCs w:val="9"/>
                <w:color w:val="auto"/>
              </w:rPr>
            </w:pPr>
          </w:p>
        </w:tc>
        <w:tc>
          <w:tcPr>
            <w:tcW w:w="33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receptor agonist</w:t>
            </w:r>
          </w:p>
        </w:tc>
        <w:tc>
          <w:tcPr>
            <w:tcW w:w="1380" w:type="dxa"/>
            <w:vAlign w:val="bottom"/>
            <w:vMerge w:val="continue"/>
            <w:shd w:val="clear" w:color="auto" w:fill="D8D8D8"/>
          </w:tcPr>
          <w:p>
            <w:pPr>
              <w:spacing w:after="0"/>
              <w:rPr>
                <w:sz w:val="9"/>
                <w:szCs w:val="9"/>
                <w:color w:val="auto"/>
              </w:rPr>
            </w:pPr>
          </w:p>
        </w:tc>
        <w:tc>
          <w:tcPr>
            <w:tcW w:w="1580" w:type="dxa"/>
            <w:vAlign w:val="bottom"/>
            <w:vMerge w:val="continue"/>
            <w:shd w:val="clear" w:color="auto" w:fill="D8D8D8"/>
          </w:tcPr>
          <w:p>
            <w:pPr>
              <w:spacing w:after="0"/>
              <w:rPr>
                <w:sz w:val="9"/>
                <w:szCs w:val="9"/>
                <w:color w:val="auto"/>
              </w:rPr>
            </w:pPr>
          </w:p>
        </w:tc>
        <w:tc>
          <w:tcPr>
            <w:tcW w:w="17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shd w:val="clear" w:color="auto" w:fill="D8D8D8"/>
          </w:tcPr>
          <w:p>
            <w:pPr>
              <w:spacing w:after="0"/>
              <w:rPr>
                <w:sz w:val="10"/>
                <w:szCs w:val="10"/>
                <w:color w:val="auto"/>
              </w:rPr>
            </w:pPr>
          </w:p>
        </w:tc>
        <w:tc>
          <w:tcPr>
            <w:tcW w:w="3360" w:type="dxa"/>
            <w:vAlign w:val="bottom"/>
            <w:tcBorders>
              <w:bottom w:val="single" w:sz="8" w:color="auto"/>
            </w:tcBorders>
            <w:vMerge w:val="continue"/>
            <w:shd w:val="clear" w:color="auto" w:fill="D8D8D8"/>
          </w:tcPr>
          <w:p>
            <w:pPr>
              <w:spacing w:after="0"/>
              <w:rPr>
                <w:sz w:val="10"/>
                <w:szCs w:val="10"/>
                <w:color w:val="auto"/>
              </w:rPr>
            </w:pPr>
          </w:p>
        </w:tc>
        <w:tc>
          <w:tcPr>
            <w:tcW w:w="1380" w:type="dxa"/>
            <w:vAlign w:val="bottom"/>
            <w:tcBorders>
              <w:bottom w:val="single" w:sz="8" w:color="auto"/>
            </w:tcBorders>
            <w:shd w:val="clear" w:color="auto" w:fill="D8D8D8"/>
          </w:tcPr>
          <w:p>
            <w:pPr>
              <w:spacing w:after="0"/>
              <w:rPr>
                <w:sz w:val="10"/>
                <w:szCs w:val="10"/>
                <w:color w:val="auto"/>
              </w:rPr>
            </w:pPr>
          </w:p>
        </w:tc>
        <w:tc>
          <w:tcPr>
            <w:tcW w:w="1580" w:type="dxa"/>
            <w:vAlign w:val="bottom"/>
            <w:tcBorders>
              <w:bottom w:val="single" w:sz="8" w:color="auto"/>
            </w:tcBorders>
            <w:shd w:val="clear" w:color="auto" w:fill="D8D8D8"/>
          </w:tcPr>
          <w:p>
            <w:pPr>
              <w:spacing w:after="0"/>
              <w:rPr>
                <w:sz w:val="10"/>
                <w:szCs w:val="10"/>
                <w:color w:val="auto"/>
              </w:rPr>
            </w:pPr>
          </w:p>
        </w:tc>
        <w:tc>
          <w:tcPr>
            <w:tcW w:w="1720" w:type="dxa"/>
            <w:vAlign w:val="bottom"/>
            <w:tcBorders>
              <w:bottom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40"/>
              <w:spacing w:after="0"/>
              <w:rPr>
                <w:sz w:val="20"/>
                <w:szCs w:val="20"/>
                <w:color w:val="auto"/>
              </w:rPr>
            </w:pPr>
            <w:r>
              <w:rPr>
                <w:rFonts w:ascii="Arial" w:cs="Arial" w:eastAsia="Arial" w:hAnsi="Arial"/>
                <w:sz w:val="18"/>
                <w:szCs w:val="18"/>
                <w:color w:val="auto"/>
              </w:rPr>
              <w:t>NextCure, Inc.</w:t>
            </w:r>
          </w:p>
        </w:tc>
        <w:tc>
          <w:tcPr>
            <w:tcW w:w="3360" w:type="dxa"/>
            <w:vAlign w:val="bottom"/>
          </w:tcPr>
          <w:p>
            <w:pPr>
              <w:ind w:left="80"/>
              <w:spacing w:after="0"/>
              <w:rPr>
                <w:sz w:val="20"/>
                <w:szCs w:val="20"/>
                <w:color w:val="auto"/>
              </w:rPr>
            </w:pPr>
            <w:r>
              <w:rPr>
                <w:rFonts w:ascii="Arial" w:cs="Arial" w:eastAsia="Arial" w:hAnsi="Arial"/>
                <w:sz w:val="18"/>
                <w:szCs w:val="18"/>
                <w:color w:val="auto"/>
              </w:rPr>
              <w:t>Immuno-oncology cancer therapies</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November</w:t>
            </w: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5"/>
              </w:rPr>
              <w:t>Pre-clinical</w:t>
            </w:r>
            <w:r>
              <w:rPr>
                <w:rFonts w:ascii="Arial" w:cs="Arial" w:eastAsia="Arial" w:hAnsi="Arial"/>
                <w:sz w:val="21"/>
                <w:szCs w:val="21"/>
                <w:color w:val="auto"/>
                <w:w w:val="95"/>
                <w:vertAlign w:val="superscript"/>
              </w:rPr>
              <w:t>(3)</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0"/>
              <w:spacing w:after="0" w:line="176" w:lineRule="exact"/>
              <w:rPr>
                <w:sz w:val="20"/>
                <w:szCs w:val="20"/>
                <w:color w:val="auto"/>
              </w:rPr>
            </w:pPr>
            <w:r>
              <w:rPr>
                <w:rFonts w:ascii="Arial" w:cs="Arial" w:eastAsia="Arial" w:hAnsi="Arial"/>
                <w:sz w:val="18"/>
                <w:szCs w:val="18"/>
                <w:color w:val="auto"/>
                <w:w w:val="99"/>
              </w:rPr>
              <w:t>2018</w:t>
            </w:r>
          </w:p>
        </w:tc>
        <w:tc>
          <w:tcPr>
            <w:tcW w:w="15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Dicerna Pharmaceuticals, Inc.</w:t>
            </w:r>
          </w:p>
        </w:tc>
        <w:tc>
          <w:tcPr>
            <w:tcW w:w="3360" w:type="dxa"/>
            <w:vAlign w:val="bottom"/>
            <w:shd w:val="clear" w:color="auto" w:fill="D8D8D8"/>
          </w:tcPr>
          <w:p>
            <w:pPr>
              <w:ind w:left="80"/>
              <w:spacing w:after="0"/>
              <w:rPr>
                <w:sz w:val="20"/>
                <w:szCs w:val="20"/>
                <w:color w:val="auto"/>
              </w:rPr>
            </w:pPr>
            <w:r>
              <w:rPr>
                <w:rFonts w:ascii="Arial" w:cs="Arial" w:eastAsia="Arial" w:hAnsi="Arial"/>
                <w:sz w:val="18"/>
                <w:szCs w:val="18"/>
                <w:color w:val="auto"/>
              </w:rPr>
              <w:t>Cardio-metabolic disease,</w:t>
            </w:r>
          </w:p>
        </w:tc>
        <w:tc>
          <w:tcPr>
            <w:tcW w:w="13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December</w:t>
            </w:r>
          </w:p>
        </w:tc>
        <w:tc>
          <w:tcPr>
            <w:tcW w:w="1580" w:type="dxa"/>
            <w:vAlign w:val="bottom"/>
            <w:vMerge w:val="restart"/>
            <w:shd w:val="clear" w:color="auto" w:fill="D8D8D8"/>
          </w:tcPr>
          <w:p>
            <w:pPr>
              <w:jc w:val="center"/>
              <w:ind w:right="10"/>
              <w:spacing w:after="0"/>
              <w:rPr>
                <w:sz w:val="20"/>
                <w:szCs w:val="20"/>
                <w:color w:val="auto"/>
              </w:rPr>
            </w:pPr>
            <w:r>
              <w:rPr>
                <w:rFonts w:ascii="Arial" w:cs="Arial" w:eastAsia="Arial" w:hAnsi="Arial"/>
                <w:sz w:val="18"/>
                <w:szCs w:val="18"/>
                <w:color w:val="auto"/>
                <w:w w:val="99"/>
              </w:rPr>
              <w:t>Pre-clinical</w:t>
            </w:r>
          </w:p>
        </w:tc>
        <w:tc>
          <w:tcPr>
            <w:tcW w:w="1720" w:type="dxa"/>
            <w:vAlign w:val="bottom"/>
            <w:vMerge w:val="restart"/>
            <w:shd w:val="clear" w:color="auto" w:fill="D8D8D8"/>
          </w:tcPr>
          <w:p>
            <w:pPr>
              <w:jc w:val="right"/>
              <w:ind w:right="1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109"/>
        </w:trPr>
        <w:tc>
          <w:tcPr>
            <w:tcW w:w="3380" w:type="dxa"/>
            <w:vAlign w:val="bottom"/>
            <w:vMerge w:val="continue"/>
            <w:shd w:val="clear" w:color="auto" w:fill="D8D8D8"/>
          </w:tcPr>
          <w:p>
            <w:pPr>
              <w:spacing w:after="0"/>
              <w:rPr>
                <w:sz w:val="9"/>
                <w:szCs w:val="9"/>
                <w:color w:val="auto"/>
              </w:rPr>
            </w:pPr>
          </w:p>
        </w:tc>
        <w:tc>
          <w:tcPr>
            <w:tcW w:w="33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neurodegeneration, and pain</w:t>
            </w:r>
          </w:p>
        </w:tc>
        <w:tc>
          <w:tcPr>
            <w:tcW w:w="1380" w:type="dxa"/>
            <w:vAlign w:val="bottom"/>
            <w:vMerge w:val="restart"/>
            <w:shd w:val="clear" w:color="auto" w:fill="D8D8D8"/>
          </w:tcPr>
          <w:p>
            <w:pPr>
              <w:jc w:val="center"/>
              <w:ind w:right="10"/>
              <w:spacing w:after="0"/>
              <w:rPr>
                <w:sz w:val="20"/>
                <w:szCs w:val="20"/>
                <w:color w:val="auto"/>
              </w:rPr>
            </w:pPr>
            <w:r>
              <w:rPr>
                <w:rFonts w:ascii="Arial" w:cs="Arial" w:eastAsia="Arial" w:hAnsi="Arial"/>
                <w:sz w:val="18"/>
                <w:szCs w:val="18"/>
                <w:color w:val="auto"/>
                <w:w w:val="99"/>
              </w:rPr>
              <w:t>2018</w:t>
            </w:r>
          </w:p>
        </w:tc>
        <w:tc>
          <w:tcPr>
            <w:tcW w:w="1580" w:type="dxa"/>
            <w:vAlign w:val="bottom"/>
            <w:vMerge w:val="continue"/>
            <w:shd w:val="clear" w:color="auto" w:fill="D8D8D8"/>
          </w:tcPr>
          <w:p>
            <w:pPr>
              <w:spacing w:after="0"/>
              <w:rPr>
                <w:sz w:val="9"/>
                <w:szCs w:val="9"/>
                <w:color w:val="auto"/>
              </w:rPr>
            </w:pPr>
          </w:p>
        </w:tc>
        <w:tc>
          <w:tcPr>
            <w:tcW w:w="17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shd w:val="clear" w:color="auto" w:fill="D8D8D8"/>
          </w:tcPr>
          <w:p>
            <w:pPr>
              <w:spacing w:after="0"/>
              <w:rPr>
                <w:sz w:val="10"/>
                <w:szCs w:val="10"/>
                <w:color w:val="auto"/>
              </w:rPr>
            </w:pPr>
          </w:p>
        </w:tc>
        <w:tc>
          <w:tcPr>
            <w:tcW w:w="3360" w:type="dxa"/>
            <w:vAlign w:val="bottom"/>
            <w:tcBorders>
              <w:bottom w:val="single" w:sz="8" w:color="auto"/>
            </w:tcBorders>
            <w:vMerge w:val="continue"/>
            <w:shd w:val="clear" w:color="auto" w:fill="D8D8D8"/>
          </w:tcPr>
          <w:p>
            <w:pPr>
              <w:spacing w:after="0"/>
              <w:rPr>
                <w:sz w:val="10"/>
                <w:szCs w:val="10"/>
                <w:color w:val="auto"/>
              </w:rPr>
            </w:pPr>
          </w:p>
        </w:tc>
        <w:tc>
          <w:tcPr>
            <w:tcW w:w="1380" w:type="dxa"/>
            <w:vAlign w:val="bottom"/>
            <w:tcBorders>
              <w:bottom w:val="single" w:sz="8" w:color="auto"/>
            </w:tcBorders>
            <w:vMerge w:val="continue"/>
            <w:shd w:val="clear" w:color="auto" w:fill="D8D8D8"/>
          </w:tcPr>
          <w:p>
            <w:pPr>
              <w:spacing w:after="0"/>
              <w:rPr>
                <w:sz w:val="10"/>
                <w:szCs w:val="10"/>
                <w:color w:val="auto"/>
              </w:rPr>
            </w:pPr>
          </w:p>
        </w:tc>
        <w:tc>
          <w:tcPr>
            <w:tcW w:w="1580" w:type="dxa"/>
            <w:vAlign w:val="bottom"/>
            <w:tcBorders>
              <w:bottom w:val="single" w:sz="8" w:color="auto"/>
            </w:tcBorders>
            <w:shd w:val="clear" w:color="auto" w:fill="D8D8D8"/>
          </w:tcPr>
          <w:p>
            <w:pPr>
              <w:spacing w:after="0"/>
              <w:rPr>
                <w:sz w:val="10"/>
                <w:szCs w:val="10"/>
                <w:color w:val="auto"/>
              </w:rPr>
            </w:pPr>
          </w:p>
        </w:tc>
        <w:tc>
          <w:tcPr>
            <w:tcW w:w="1720" w:type="dxa"/>
            <w:vAlign w:val="bottom"/>
            <w:tcBorders>
              <w:bottom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3360" w:type="dxa"/>
            <w:vAlign w:val="bottom"/>
          </w:tcPr>
          <w:p>
            <w:pPr>
              <w:ind w:left="80"/>
              <w:spacing w:after="0"/>
              <w:rPr>
                <w:sz w:val="20"/>
                <w:szCs w:val="20"/>
                <w:color w:val="auto"/>
              </w:rPr>
            </w:pPr>
            <w:r>
              <w:rPr>
                <w:rFonts w:ascii="Arial" w:cs="Arial" w:eastAsia="Arial" w:hAnsi="Arial"/>
                <w:sz w:val="18"/>
                <w:szCs w:val="18"/>
                <w:color w:val="auto"/>
              </w:rPr>
              <w:t>TRPA1 antagonists program for the</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8"/>
              </w:rPr>
              <w:t>December</w:t>
            </w:r>
          </w:p>
        </w:tc>
        <w:tc>
          <w:tcPr>
            <w:tcW w:w="15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3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Hydra Biosciences</w:t>
            </w:r>
          </w:p>
        </w:tc>
        <w:tc>
          <w:tcPr>
            <w:tcW w:w="3360" w:type="dxa"/>
            <w:vAlign w:val="bottom"/>
            <w:vMerge w:val="restart"/>
          </w:tcPr>
          <w:p>
            <w:pPr>
              <w:ind w:left="80"/>
              <w:spacing w:after="0" w:line="202" w:lineRule="exact"/>
              <w:rPr>
                <w:sz w:val="20"/>
                <w:szCs w:val="20"/>
                <w:color w:val="auto"/>
              </w:rPr>
            </w:pPr>
            <w:r>
              <w:rPr>
                <w:rFonts w:ascii="Arial" w:cs="Arial" w:eastAsia="Arial" w:hAnsi="Arial"/>
                <w:sz w:val="18"/>
                <w:szCs w:val="18"/>
                <w:color w:val="auto"/>
              </w:rPr>
              <w:t>potential treatment of chronic pain</w:t>
            </w:r>
          </w:p>
        </w:tc>
        <w:tc>
          <w:tcPr>
            <w:tcW w:w="1380" w:type="dxa"/>
            <w:vAlign w:val="bottom"/>
            <w:vMerge w:val="continue"/>
          </w:tcPr>
          <w:p>
            <w:pPr>
              <w:spacing w:after="0"/>
              <w:rPr>
                <w:sz w:val="8"/>
                <w:szCs w:val="8"/>
                <w:color w:val="auto"/>
              </w:rPr>
            </w:pPr>
          </w:p>
        </w:tc>
        <w:tc>
          <w:tcPr>
            <w:tcW w:w="1580" w:type="dxa"/>
            <w:vAlign w:val="bottom"/>
            <w:vMerge w:val="restart"/>
          </w:tcPr>
          <w:p>
            <w:pPr>
              <w:jc w:val="center"/>
              <w:ind w:right="10"/>
              <w:spacing w:after="0" w:line="202" w:lineRule="exact"/>
              <w:rPr>
                <w:sz w:val="20"/>
                <w:szCs w:val="20"/>
                <w:color w:val="auto"/>
              </w:rPr>
            </w:pPr>
            <w:r>
              <w:rPr>
                <w:rFonts w:ascii="Arial" w:cs="Arial" w:eastAsia="Arial" w:hAnsi="Arial"/>
                <w:sz w:val="18"/>
                <w:szCs w:val="18"/>
                <w:color w:val="auto"/>
                <w:w w:val="99"/>
              </w:rPr>
              <w:t>Pre-clinical</w:t>
            </w:r>
          </w:p>
        </w:tc>
        <w:tc>
          <w:tcPr>
            <w:tcW w:w="172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3360" w:type="dxa"/>
            <w:vAlign w:val="bottom"/>
            <w:vMerge w:val="continue"/>
          </w:tcPr>
          <w:p>
            <w:pPr>
              <w:spacing w:after="0"/>
              <w:rPr>
                <w:sz w:val="9"/>
                <w:szCs w:val="9"/>
                <w:color w:val="auto"/>
              </w:rPr>
            </w:pPr>
          </w:p>
        </w:tc>
        <w:tc>
          <w:tcPr>
            <w:tcW w:w="13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2018</w:t>
            </w:r>
          </w:p>
        </w:tc>
        <w:tc>
          <w:tcPr>
            <w:tcW w:w="158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380" w:type="dxa"/>
            <w:vAlign w:val="bottom"/>
          </w:tcPr>
          <w:p>
            <w:pPr>
              <w:spacing w:after="0"/>
              <w:rPr>
                <w:sz w:val="9"/>
                <w:szCs w:val="9"/>
                <w:color w:val="auto"/>
              </w:rPr>
            </w:pPr>
          </w:p>
        </w:tc>
        <w:tc>
          <w:tcPr>
            <w:tcW w:w="3360" w:type="dxa"/>
            <w:vAlign w:val="bottom"/>
            <w:vMerge w:val="restart"/>
          </w:tcPr>
          <w:p>
            <w:pPr>
              <w:ind w:left="80"/>
              <w:spacing w:after="0"/>
              <w:rPr>
                <w:sz w:val="20"/>
                <w:szCs w:val="20"/>
                <w:color w:val="auto"/>
              </w:rPr>
            </w:pPr>
            <w:r>
              <w:rPr>
                <w:rFonts w:ascii="Arial" w:cs="Arial" w:eastAsia="Arial" w:hAnsi="Arial"/>
                <w:sz w:val="18"/>
                <w:szCs w:val="18"/>
                <w:color w:val="auto"/>
              </w:rPr>
              <w:t>syndromes</w:t>
            </w:r>
          </w:p>
        </w:tc>
        <w:tc>
          <w:tcPr>
            <w:tcW w:w="138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vMerge w:val="continue"/>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D8D8D8"/>
          </w:tcPr>
          <w:p>
            <w:pPr>
              <w:spacing w:after="0"/>
              <w:rPr>
                <w:sz w:val="20"/>
                <w:szCs w:val="20"/>
                <w:color w:val="auto"/>
              </w:rPr>
            </w:pPr>
          </w:p>
        </w:tc>
        <w:tc>
          <w:tcPr>
            <w:tcW w:w="3360" w:type="dxa"/>
            <w:vAlign w:val="bottom"/>
            <w:tcBorders>
              <w:bottom w:val="single" w:sz="8" w:color="auto"/>
            </w:tcBorders>
            <w:shd w:val="clear" w:color="auto" w:fill="D8D8D8"/>
          </w:tcPr>
          <w:p>
            <w:pPr>
              <w:spacing w:after="0"/>
              <w:rPr>
                <w:sz w:val="20"/>
                <w:szCs w:val="20"/>
                <w:color w:val="auto"/>
              </w:rPr>
            </w:pPr>
          </w:p>
        </w:tc>
        <w:tc>
          <w:tcPr>
            <w:tcW w:w="1380" w:type="dxa"/>
            <w:vAlign w:val="bottom"/>
            <w:tcBorders>
              <w:bottom w:val="single" w:sz="8" w:color="auto"/>
            </w:tcBorders>
            <w:shd w:val="clear" w:color="auto" w:fill="D8D8D8"/>
          </w:tcPr>
          <w:p>
            <w:pPr>
              <w:spacing w:after="0"/>
              <w:rPr>
                <w:sz w:val="20"/>
                <w:szCs w:val="20"/>
                <w:color w:val="auto"/>
              </w:rPr>
            </w:pPr>
          </w:p>
        </w:tc>
        <w:tc>
          <w:tcPr>
            <w:tcW w:w="1580" w:type="dxa"/>
            <w:vAlign w:val="bottom"/>
            <w:tcBorders>
              <w:bottom w:val="single" w:sz="8" w:color="auto"/>
            </w:tcBorders>
            <w:shd w:val="clear" w:color="auto" w:fill="D8D8D8"/>
          </w:tcPr>
          <w:p>
            <w:pPr>
              <w:spacing w:after="0"/>
              <w:rPr>
                <w:sz w:val="20"/>
                <w:szCs w:val="20"/>
                <w:color w:val="auto"/>
              </w:rPr>
            </w:pPr>
          </w:p>
        </w:tc>
        <w:tc>
          <w:tcPr>
            <w:tcW w:w="1720" w:type="dxa"/>
            <w:vAlign w:val="bottom"/>
            <w:tcBorders>
              <w:bottom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40"/>
              <w:spacing w:after="0"/>
              <w:rPr>
                <w:sz w:val="20"/>
                <w:szCs w:val="20"/>
                <w:color w:val="auto"/>
              </w:rPr>
            </w:pPr>
            <w:r>
              <w:rPr>
                <w:rFonts w:ascii="Arial" w:cs="Arial" w:eastAsia="Arial" w:hAnsi="Arial"/>
                <w:sz w:val="18"/>
                <w:szCs w:val="18"/>
                <w:color w:val="auto"/>
              </w:rPr>
              <w:t>CoLucid Pharmaceuticals, Inc. (CoLucid)</w:t>
            </w:r>
          </w:p>
        </w:tc>
        <w:tc>
          <w:tcPr>
            <w:tcW w:w="3360" w:type="dxa"/>
            <w:vAlign w:val="bottom"/>
          </w:tcPr>
          <w:p>
            <w:pPr>
              <w:ind w:left="80"/>
              <w:spacing w:after="0"/>
              <w:rPr>
                <w:sz w:val="20"/>
                <w:szCs w:val="20"/>
                <w:color w:val="auto"/>
              </w:rPr>
            </w:pPr>
            <w:r>
              <w:rPr>
                <w:rFonts w:ascii="Arial" w:cs="Arial" w:eastAsia="Arial" w:hAnsi="Arial"/>
                <w:sz w:val="18"/>
                <w:szCs w:val="18"/>
                <w:color w:val="auto"/>
              </w:rPr>
              <w:t>Oral therapy for the acute treatment of</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March 2017</w:t>
            </w:r>
          </w:p>
        </w:tc>
        <w:tc>
          <w:tcPr>
            <w:tcW w:w="1580" w:type="dxa"/>
            <w:vAlign w:val="bottom"/>
          </w:tcPr>
          <w:p>
            <w:pPr>
              <w:jc w:val="center"/>
              <w:ind w:right="10"/>
              <w:spacing w:after="0"/>
              <w:rPr>
                <w:sz w:val="20"/>
                <w:szCs w:val="20"/>
                <w:color w:val="auto"/>
              </w:rPr>
            </w:pPr>
            <w:r>
              <w:rPr>
                <w:rFonts w:ascii="Arial" w:cs="Arial" w:eastAsia="Arial" w:hAnsi="Arial"/>
                <w:sz w:val="18"/>
                <w:szCs w:val="18"/>
                <w:color w:val="auto"/>
              </w:rPr>
              <w:t>Phase III</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ind w:left="80"/>
              <w:spacing w:after="0" w:line="176" w:lineRule="exact"/>
              <w:rPr>
                <w:sz w:val="20"/>
                <w:szCs w:val="20"/>
                <w:color w:val="auto"/>
              </w:rPr>
            </w:pPr>
            <w:r>
              <w:rPr>
                <w:rFonts w:ascii="Arial" w:cs="Arial" w:eastAsia="Arial" w:hAnsi="Arial"/>
                <w:sz w:val="18"/>
                <w:szCs w:val="18"/>
                <w:color w:val="auto"/>
              </w:rPr>
              <w:t>migraine - lasmiditan</w:t>
            </w:r>
          </w:p>
        </w:tc>
        <w:tc>
          <w:tcPr>
            <w:tcW w:w="1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KeyBioscience AG</w:t>
            </w:r>
          </w:p>
        </w:tc>
        <w:tc>
          <w:tcPr>
            <w:tcW w:w="3360" w:type="dxa"/>
            <w:vAlign w:val="bottom"/>
            <w:shd w:val="clear" w:color="auto" w:fill="D8D8D8"/>
          </w:tcPr>
          <w:p>
            <w:pPr>
              <w:ind w:left="80"/>
              <w:spacing w:after="0"/>
              <w:rPr>
                <w:sz w:val="20"/>
                <w:szCs w:val="20"/>
                <w:color w:val="auto"/>
              </w:rPr>
            </w:pPr>
            <w:r>
              <w:rPr>
                <w:rFonts w:ascii="Arial" w:cs="Arial" w:eastAsia="Arial" w:hAnsi="Arial"/>
                <w:sz w:val="18"/>
                <w:szCs w:val="18"/>
                <w:color w:val="auto"/>
              </w:rPr>
              <w:t>Multiple molecules for treatment of</w:t>
            </w:r>
          </w:p>
        </w:tc>
        <w:tc>
          <w:tcPr>
            <w:tcW w:w="138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rPr>
              <w:t>July 2017</w:t>
            </w:r>
          </w:p>
        </w:tc>
        <w:tc>
          <w:tcPr>
            <w:tcW w:w="158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Phase II</w:t>
            </w:r>
          </w:p>
        </w:tc>
        <w:tc>
          <w:tcPr>
            <w:tcW w:w="1720" w:type="dxa"/>
            <w:vAlign w:val="bottom"/>
            <w:vMerge w:val="restart"/>
            <w:shd w:val="clear" w:color="auto" w:fill="D8D8D8"/>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09"/>
        </w:trPr>
        <w:tc>
          <w:tcPr>
            <w:tcW w:w="3380" w:type="dxa"/>
            <w:vAlign w:val="bottom"/>
            <w:vMerge w:val="continue"/>
            <w:shd w:val="clear" w:color="auto" w:fill="D8D8D8"/>
          </w:tcPr>
          <w:p>
            <w:pPr>
              <w:spacing w:after="0"/>
              <w:rPr>
                <w:sz w:val="9"/>
                <w:szCs w:val="9"/>
                <w:color w:val="auto"/>
              </w:rPr>
            </w:pPr>
          </w:p>
        </w:tc>
        <w:tc>
          <w:tcPr>
            <w:tcW w:w="33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metabolic disorders</w:t>
            </w:r>
          </w:p>
        </w:tc>
        <w:tc>
          <w:tcPr>
            <w:tcW w:w="1380" w:type="dxa"/>
            <w:vAlign w:val="bottom"/>
            <w:vMerge w:val="continue"/>
            <w:shd w:val="clear" w:color="auto" w:fill="D8D8D8"/>
          </w:tcPr>
          <w:p>
            <w:pPr>
              <w:spacing w:after="0"/>
              <w:rPr>
                <w:sz w:val="9"/>
                <w:szCs w:val="9"/>
                <w:color w:val="auto"/>
              </w:rPr>
            </w:pPr>
          </w:p>
        </w:tc>
        <w:tc>
          <w:tcPr>
            <w:tcW w:w="1580" w:type="dxa"/>
            <w:vAlign w:val="bottom"/>
            <w:vMerge w:val="continue"/>
            <w:shd w:val="clear" w:color="auto" w:fill="D8D8D8"/>
          </w:tcPr>
          <w:p>
            <w:pPr>
              <w:spacing w:after="0"/>
              <w:rPr>
                <w:sz w:val="9"/>
                <w:szCs w:val="9"/>
                <w:color w:val="auto"/>
              </w:rPr>
            </w:pPr>
          </w:p>
        </w:tc>
        <w:tc>
          <w:tcPr>
            <w:tcW w:w="17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shd w:val="clear" w:color="auto" w:fill="D8D8D8"/>
          </w:tcPr>
          <w:p>
            <w:pPr>
              <w:spacing w:after="0"/>
              <w:rPr>
                <w:sz w:val="10"/>
                <w:szCs w:val="10"/>
                <w:color w:val="auto"/>
              </w:rPr>
            </w:pPr>
          </w:p>
        </w:tc>
        <w:tc>
          <w:tcPr>
            <w:tcW w:w="3360" w:type="dxa"/>
            <w:vAlign w:val="bottom"/>
            <w:tcBorders>
              <w:bottom w:val="single" w:sz="8" w:color="auto"/>
            </w:tcBorders>
            <w:vMerge w:val="continue"/>
            <w:shd w:val="clear" w:color="auto" w:fill="D8D8D8"/>
          </w:tcPr>
          <w:p>
            <w:pPr>
              <w:spacing w:after="0"/>
              <w:rPr>
                <w:sz w:val="10"/>
                <w:szCs w:val="10"/>
                <w:color w:val="auto"/>
              </w:rPr>
            </w:pPr>
          </w:p>
        </w:tc>
        <w:tc>
          <w:tcPr>
            <w:tcW w:w="1380" w:type="dxa"/>
            <w:vAlign w:val="bottom"/>
            <w:tcBorders>
              <w:bottom w:val="single" w:sz="8" w:color="auto"/>
            </w:tcBorders>
            <w:shd w:val="clear" w:color="auto" w:fill="D8D8D8"/>
          </w:tcPr>
          <w:p>
            <w:pPr>
              <w:spacing w:after="0"/>
              <w:rPr>
                <w:sz w:val="10"/>
                <w:szCs w:val="10"/>
                <w:color w:val="auto"/>
              </w:rPr>
            </w:pPr>
          </w:p>
        </w:tc>
        <w:tc>
          <w:tcPr>
            <w:tcW w:w="1580" w:type="dxa"/>
            <w:vAlign w:val="bottom"/>
            <w:tcBorders>
              <w:bottom w:val="single" w:sz="8" w:color="auto"/>
            </w:tcBorders>
            <w:shd w:val="clear" w:color="auto" w:fill="D8D8D8"/>
          </w:tcPr>
          <w:p>
            <w:pPr>
              <w:spacing w:after="0"/>
              <w:rPr>
                <w:sz w:val="10"/>
                <w:szCs w:val="10"/>
                <w:color w:val="auto"/>
              </w:rPr>
            </w:pPr>
          </w:p>
        </w:tc>
        <w:tc>
          <w:tcPr>
            <w:tcW w:w="1720" w:type="dxa"/>
            <w:vAlign w:val="bottom"/>
            <w:tcBorders>
              <w:bottom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Nektar Therapeutics</w:t>
            </w:r>
          </w:p>
        </w:tc>
        <w:tc>
          <w:tcPr>
            <w:tcW w:w="3360" w:type="dxa"/>
            <w:vAlign w:val="bottom"/>
          </w:tcPr>
          <w:p>
            <w:pPr>
              <w:ind w:left="80"/>
              <w:spacing w:after="0"/>
              <w:rPr>
                <w:sz w:val="20"/>
                <w:szCs w:val="20"/>
                <w:color w:val="auto"/>
              </w:rPr>
            </w:pPr>
            <w:r>
              <w:rPr>
                <w:rFonts w:ascii="Arial" w:cs="Arial" w:eastAsia="Arial" w:hAnsi="Arial"/>
                <w:sz w:val="18"/>
                <w:szCs w:val="18"/>
                <w:color w:val="auto"/>
              </w:rPr>
              <w:t>Immunological therapy - NKTR-358</w:t>
            </w:r>
          </w:p>
        </w:tc>
        <w:tc>
          <w:tcPr>
            <w:tcW w:w="1380" w:type="dxa"/>
            <w:vAlign w:val="bottom"/>
          </w:tcPr>
          <w:p>
            <w:pPr>
              <w:jc w:val="center"/>
              <w:spacing w:after="0"/>
              <w:rPr>
                <w:sz w:val="20"/>
                <w:szCs w:val="20"/>
                <w:color w:val="auto"/>
              </w:rPr>
            </w:pPr>
            <w:r>
              <w:rPr>
                <w:rFonts w:ascii="Arial" w:cs="Arial" w:eastAsia="Arial" w:hAnsi="Arial"/>
                <w:sz w:val="18"/>
                <w:szCs w:val="18"/>
                <w:color w:val="auto"/>
              </w:rPr>
              <w:t>August 2017</w:t>
            </w: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8"/>
              </w:rPr>
              <w:t>Phase I</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CureVac AG</w:t>
            </w:r>
          </w:p>
        </w:tc>
        <w:tc>
          <w:tcPr>
            <w:tcW w:w="33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Cancer vaccines</w:t>
            </w:r>
          </w:p>
        </w:tc>
        <w:tc>
          <w:tcPr>
            <w:tcW w:w="13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November</w:t>
            </w:r>
          </w:p>
        </w:tc>
        <w:tc>
          <w:tcPr>
            <w:tcW w:w="1580" w:type="dxa"/>
            <w:vAlign w:val="bottom"/>
            <w:vMerge w:val="restart"/>
            <w:shd w:val="clear" w:color="auto" w:fill="D8D8D8"/>
          </w:tcPr>
          <w:p>
            <w:pPr>
              <w:jc w:val="center"/>
              <w:ind w:right="10"/>
              <w:spacing w:after="0"/>
              <w:rPr>
                <w:sz w:val="20"/>
                <w:szCs w:val="20"/>
                <w:color w:val="auto"/>
              </w:rPr>
            </w:pPr>
            <w:r>
              <w:rPr>
                <w:rFonts w:ascii="Arial" w:cs="Arial" w:eastAsia="Arial" w:hAnsi="Arial"/>
                <w:sz w:val="18"/>
                <w:szCs w:val="18"/>
                <w:color w:val="auto"/>
                <w:w w:val="99"/>
              </w:rPr>
              <w:t>Pre-clinical</w:t>
            </w:r>
          </w:p>
        </w:tc>
        <w:tc>
          <w:tcPr>
            <w:tcW w:w="1720" w:type="dxa"/>
            <w:vAlign w:val="bottom"/>
            <w:vMerge w:val="restart"/>
            <w:shd w:val="clear" w:color="auto" w:fill="DDDDDD"/>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9"/>
        </w:trPr>
        <w:tc>
          <w:tcPr>
            <w:tcW w:w="3380" w:type="dxa"/>
            <w:vAlign w:val="bottom"/>
            <w:vMerge w:val="continue"/>
            <w:shd w:val="clear" w:color="auto" w:fill="D8D8D8"/>
          </w:tcPr>
          <w:p>
            <w:pPr>
              <w:spacing w:after="0"/>
              <w:rPr>
                <w:sz w:val="9"/>
                <w:szCs w:val="9"/>
                <w:color w:val="auto"/>
              </w:rPr>
            </w:pPr>
          </w:p>
        </w:tc>
        <w:tc>
          <w:tcPr>
            <w:tcW w:w="3360" w:type="dxa"/>
            <w:vAlign w:val="bottom"/>
            <w:vMerge w:val="continue"/>
            <w:shd w:val="clear" w:color="auto" w:fill="D8D8D8"/>
          </w:tcPr>
          <w:p>
            <w:pPr>
              <w:spacing w:after="0"/>
              <w:rPr>
                <w:sz w:val="9"/>
                <w:szCs w:val="9"/>
                <w:color w:val="auto"/>
              </w:rPr>
            </w:pPr>
          </w:p>
        </w:tc>
        <w:tc>
          <w:tcPr>
            <w:tcW w:w="1380" w:type="dxa"/>
            <w:vAlign w:val="bottom"/>
            <w:vMerge w:val="restart"/>
            <w:shd w:val="clear" w:color="auto" w:fill="D8D8D8"/>
          </w:tcPr>
          <w:p>
            <w:pPr>
              <w:jc w:val="center"/>
              <w:ind w:right="10"/>
              <w:spacing w:after="0"/>
              <w:rPr>
                <w:sz w:val="20"/>
                <w:szCs w:val="20"/>
                <w:color w:val="auto"/>
              </w:rPr>
            </w:pPr>
            <w:r>
              <w:rPr>
                <w:rFonts w:ascii="Arial" w:cs="Arial" w:eastAsia="Arial" w:hAnsi="Arial"/>
                <w:sz w:val="18"/>
                <w:szCs w:val="18"/>
                <w:color w:val="auto"/>
                <w:w w:val="99"/>
              </w:rPr>
              <w:t>2017</w:t>
            </w:r>
          </w:p>
        </w:tc>
        <w:tc>
          <w:tcPr>
            <w:tcW w:w="1580" w:type="dxa"/>
            <w:vAlign w:val="bottom"/>
            <w:vMerge w:val="continue"/>
            <w:shd w:val="clear" w:color="auto" w:fill="D8D8D8"/>
          </w:tcPr>
          <w:p>
            <w:pPr>
              <w:spacing w:after="0"/>
              <w:rPr>
                <w:sz w:val="9"/>
                <w:szCs w:val="9"/>
                <w:color w:val="auto"/>
              </w:rPr>
            </w:pPr>
          </w:p>
        </w:tc>
        <w:tc>
          <w:tcPr>
            <w:tcW w:w="1720" w:type="dxa"/>
            <w:vAlign w:val="bottom"/>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shd w:val="clear" w:color="auto" w:fill="D8D8D8"/>
          </w:tcPr>
          <w:p>
            <w:pPr>
              <w:spacing w:after="0"/>
              <w:rPr>
                <w:sz w:val="11"/>
                <w:szCs w:val="11"/>
                <w:color w:val="auto"/>
              </w:rPr>
            </w:pPr>
          </w:p>
        </w:tc>
        <w:tc>
          <w:tcPr>
            <w:tcW w:w="3360" w:type="dxa"/>
            <w:vAlign w:val="bottom"/>
            <w:tcBorders>
              <w:bottom w:val="single" w:sz="8" w:color="auto"/>
            </w:tcBorders>
            <w:shd w:val="clear" w:color="auto" w:fill="D8D8D8"/>
          </w:tcPr>
          <w:p>
            <w:pPr>
              <w:spacing w:after="0"/>
              <w:rPr>
                <w:sz w:val="11"/>
                <w:szCs w:val="11"/>
                <w:color w:val="auto"/>
              </w:rPr>
            </w:pPr>
          </w:p>
        </w:tc>
        <w:tc>
          <w:tcPr>
            <w:tcW w:w="1380" w:type="dxa"/>
            <w:vAlign w:val="bottom"/>
            <w:tcBorders>
              <w:bottom w:val="single" w:sz="8" w:color="auto"/>
            </w:tcBorders>
            <w:vMerge w:val="continue"/>
            <w:shd w:val="clear" w:color="auto" w:fill="D8D8D8"/>
          </w:tcPr>
          <w:p>
            <w:pPr>
              <w:spacing w:after="0"/>
              <w:rPr>
                <w:sz w:val="11"/>
                <w:szCs w:val="11"/>
                <w:color w:val="auto"/>
              </w:rPr>
            </w:pPr>
          </w:p>
        </w:tc>
        <w:tc>
          <w:tcPr>
            <w:tcW w:w="1580" w:type="dxa"/>
            <w:vAlign w:val="bottom"/>
            <w:tcBorders>
              <w:bottom w:val="single" w:sz="8" w:color="auto"/>
            </w:tcBorders>
            <w:shd w:val="clear" w:color="auto" w:fill="D8D8D8"/>
          </w:tcPr>
          <w:p>
            <w:pPr>
              <w:spacing w:after="0"/>
              <w:rPr>
                <w:sz w:val="11"/>
                <w:szCs w:val="11"/>
                <w:color w:val="auto"/>
              </w:rPr>
            </w:pPr>
          </w:p>
        </w:tc>
        <w:tc>
          <w:tcPr>
            <w:tcW w:w="1720" w:type="dxa"/>
            <w:vAlign w:val="bottom"/>
            <w:tcBorders>
              <w:bottom w:val="single" w:sz="8" w:color="auto"/>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53"/>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124" w:lineRule="exact"/>
        <w:rPr>
          <w:rFonts w:ascii="Arial" w:cs="Arial" w:eastAsia="Arial" w:hAnsi="Arial"/>
          <w:sz w:val="16"/>
          <w:szCs w:val="16"/>
          <w:color w:val="auto"/>
          <w:vertAlign w:val="superscript"/>
        </w:rPr>
      </w:pPr>
    </w:p>
    <w:p>
      <w:pPr>
        <w:ind w:left="180" w:right="200" w:hanging="172"/>
        <w:spacing w:after="0" w:line="270" w:lineRule="auto"/>
        <w:tabs>
          <w:tab w:leader="none" w:pos="158"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We recognized acquired IPR&amp;D expenses of $96.9 million in January 2019 upon entering into a license agreement and $30.2 million in September 2019 upon entering into an amendment to the license agreement.</w:t>
      </w:r>
    </w:p>
    <w:p>
      <w:pPr>
        <w:spacing w:after="0" w:line="87"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53"/>
        </w:numPr>
        <w:rPr>
          <w:rFonts w:ascii="Arial" w:cs="Arial" w:eastAsia="Arial" w:hAnsi="Arial"/>
          <w:sz w:val="16"/>
          <w:szCs w:val="16"/>
          <w:color w:val="auto"/>
          <w:vertAlign w:val="superscript"/>
        </w:rPr>
      </w:pPr>
      <w:r>
        <w:rPr>
          <w:rFonts w:ascii="Arial" w:cs="Arial" w:eastAsia="Arial" w:hAnsi="Arial"/>
          <w:sz w:val="13"/>
          <w:szCs w:val="13"/>
          <w:color w:val="auto"/>
        </w:rPr>
        <w:t>This research and development collaboration agreement has been terminated, to be effective March 2020.</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64</w:t>
      </w:r>
    </w:p>
    <w:p>
      <w:pPr>
        <w:sectPr>
          <w:pgSz w:w="11900" w:h="16838" w:orient="portrait"/>
          <w:cols w:equalWidth="0" w:num="1">
            <w:col w:w="11420"/>
          </w:cols>
          <w:pgMar w:left="240" w:top="711" w:right="239" w:bottom="1440" w:gutter="0" w:footer="0" w:header="0"/>
          <w:type w:val="continuous"/>
        </w:sectPr>
      </w:pPr>
    </w:p>
    <w:bookmarkStart w:id="64" w:name="page65"/>
    <w:bookmarkEnd w:id="64"/>
    <w:p>
      <w:pPr>
        <w:ind w:right="260"/>
        <w:spacing w:after="0" w:line="256"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October 2019, we completed a transaction in which we sold the rights in China for two legacy antibiotic medicines, as well as a manufacturing facility in Suzhou, China to Eddingpharm, a China-based specialty pharmaceutical company. In connection with the sale, we received net cash proceeds of $354.8 million from Eddingpharm in 2019, with an additional payment of $40.3 million due to us in 2020. We accounted for the transaction as the sale of a business. We recorded a gain of $309.8 million in Other—net, (income) expense upon closing the transaction in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 - Dermira, Inc. (Dermira) Acquisition</w:t>
      </w:r>
    </w:p>
    <w:p>
      <w:pPr>
        <w:spacing w:after="0" w:line="24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January 10, 2020, we announced an agreement to acquire Dermira for a purchase price of $18.75 per share, or approximately $ 1.1 billion. The acquisition will expand our immunology pipeline with the addition of lebrikizumab, a novel, investigational, monoclonal antibody designed to bind IL-13 with high affinity that is being evaluated in a Phase III clinical development program for the treatment of moderate-to-severe atopic dermatitis. Lebrikizumab was granted Fast Track designation from the U.S. Food and Drug Administration (FDA). The FDA's fast track designation is designed to expedite the development and review of new therapies to treat serious conditions and address unmet medical needs. The acquisition will also expand our portfolio of marketed dermatology medicines with the addition of Qbrexza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 The transaction is not subject to any financing condition and is expected to close by the end of the first quarter of 2020, subject to customary closing conditions, including receipt of required regulatory approvals and the tender of a majority of the outstanding shares of Dermira's common stock.</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4: Collaborations and Other Arrangements</w:t>
      </w: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247"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 Jardiance, Glyxambi, Synjardy, and Trijardy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XR as well as our basal insulin, Basaglar. Jentadueto is included in the Trajenta product family. Glyxambi, Synjardy, and Trijardy XR are included in the Jardiance product family.</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65</w:t>
      </w:r>
    </w:p>
    <w:p>
      <w:pPr>
        <w:sectPr>
          <w:pgSz w:w="11900" w:h="16838" w:orient="portrait"/>
          <w:cols w:equalWidth="0" w:num="1">
            <w:col w:w="11420"/>
          </w:cols>
          <w:pgMar w:left="240" w:top="67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table below summarizes significant milestones (deferred) capitalized for the compounds included in this collaboration: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20" w:type="dxa"/>
            <w:vAlign w:val="bottom"/>
          </w:tcPr>
          <w:p>
            <w:pPr>
              <w:jc w:val="right"/>
              <w:ind w:right="817"/>
              <w:spacing w:after="0"/>
              <w:rPr>
                <w:sz w:val="20"/>
                <w:szCs w:val="20"/>
                <w:color w:val="auto"/>
              </w:rPr>
            </w:pPr>
            <w:r>
              <w:rPr>
                <w:rFonts w:ascii="Arial" w:cs="Arial" w:eastAsia="Arial" w:hAnsi="Arial"/>
                <w:sz w:val="14"/>
                <w:szCs w:val="14"/>
                <w:b w:val="1"/>
                <w:bCs w:val="1"/>
                <w:color w:val="auto"/>
              </w:rPr>
              <w:t>Milestones</w:t>
            </w:r>
          </w:p>
        </w:tc>
      </w:tr>
      <w:tr>
        <w:trPr>
          <w:trHeight w:val="202"/>
        </w:trPr>
        <w:tc>
          <w:tcPr>
            <w:tcW w:w="57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Product Family</w:t>
            </w:r>
          </w:p>
        </w:tc>
        <w:tc>
          <w:tcPr>
            <w:tcW w:w="3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(Deferred) Capitalized</w:t>
            </w:r>
            <w:r>
              <w:rPr>
                <w:rFonts w:ascii="Arial" w:cs="Arial" w:eastAsia="Arial" w:hAnsi="Arial"/>
                <w:sz w:val="17"/>
                <w:szCs w:val="17"/>
                <w:b w:val="1"/>
                <w:bCs w:val="1"/>
                <w:color w:val="auto"/>
                <w:vertAlign w:val="superscript"/>
              </w:rPr>
              <w:t>(1)</w:t>
            </w:r>
          </w:p>
        </w:tc>
      </w:tr>
      <w:tr>
        <w:trPr>
          <w:trHeight w:val="264"/>
        </w:trPr>
        <w:tc>
          <w:tcPr>
            <w:tcW w:w="5720" w:type="dxa"/>
            <w:vAlign w:val="bottom"/>
            <w:shd w:val="clear" w:color="auto" w:fill="DDDDDD"/>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(2)</w:t>
            </w:r>
          </w:p>
        </w:tc>
        <w:tc>
          <w:tcPr>
            <w:tcW w:w="348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rPr>
              <w:t>$</w:t>
            </w:r>
          </w:p>
        </w:tc>
        <w:tc>
          <w:tcPr>
            <w:tcW w:w="2220" w:type="dxa"/>
            <w:vAlign w:val="bottom"/>
            <w:shd w:val="clear" w:color="auto" w:fill="DDDDDD"/>
          </w:tcPr>
          <w:p>
            <w:pPr>
              <w:jc w:val="right"/>
              <w:ind w:right="17"/>
              <w:spacing w:after="0"/>
              <w:rPr>
                <w:sz w:val="20"/>
                <w:szCs w:val="20"/>
                <w:color w:val="auto"/>
              </w:rPr>
            </w:pPr>
            <w:r>
              <w:rPr>
                <w:rFonts w:ascii="Arial" w:cs="Arial" w:eastAsia="Arial" w:hAnsi="Arial"/>
                <w:sz w:val="18"/>
                <w:szCs w:val="18"/>
                <w:color w:val="auto"/>
              </w:rPr>
              <w:t>446.4</w:t>
            </w:r>
          </w:p>
        </w:tc>
      </w:tr>
      <w:tr>
        <w:trPr>
          <w:trHeight w:val="270"/>
        </w:trPr>
        <w:tc>
          <w:tcPr>
            <w:tcW w:w="5720" w:type="dxa"/>
            <w:vAlign w:val="bottom"/>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(3)</w:t>
            </w:r>
          </w:p>
        </w:tc>
        <w:tc>
          <w:tcPr>
            <w:tcW w:w="3480" w:type="dxa"/>
            <w:vAlign w:val="bottom"/>
          </w:tcPr>
          <w:p>
            <w:pPr>
              <w:spacing w:after="0"/>
              <w:rPr>
                <w:sz w:val="23"/>
                <w:szCs w:val="23"/>
                <w:color w:val="auto"/>
              </w:rPr>
            </w:pPr>
          </w:p>
        </w:tc>
        <w:tc>
          <w:tcPr>
            <w:tcW w:w="2220" w:type="dxa"/>
            <w:vAlign w:val="bottom"/>
          </w:tcPr>
          <w:p>
            <w:pPr>
              <w:jc w:val="right"/>
              <w:ind w:right="17"/>
              <w:spacing w:after="0"/>
              <w:rPr>
                <w:sz w:val="20"/>
                <w:szCs w:val="20"/>
                <w:color w:val="auto"/>
              </w:rPr>
            </w:pPr>
            <w:r>
              <w:rPr>
                <w:rFonts w:ascii="Arial" w:cs="Arial" w:eastAsia="Arial" w:hAnsi="Arial"/>
                <w:sz w:val="18"/>
                <w:szCs w:val="18"/>
                <w:color w:val="auto"/>
              </w:rPr>
              <w:t>289.0</w:t>
            </w:r>
          </w:p>
        </w:tc>
      </w:tr>
      <w:tr>
        <w:trPr>
          <w:trHeight w:val="270"/>
        </w:trPr>
        <w:tc>
          <w:tcPr>
            <w:tcW w:w="5720" w:type="dxa"/>
            <w:vAlign w:val="bottom"/>
            <w:shd w:val="clear" w:color="auto" w:fill="DDDDDD"/>
          </w:tcPr>
          <w:p>
            <w:pPr>
              <w:ind w:left="40"/>
              <w:spacing w:after="0"/>
              <w:rPr>
                <w:sz w:val="20"/>
                <w:szCs w:val="20"/>
                <w:color w:val="auto"/>
              </w:rPr>
            </w:pPr>
            <w:r>
              <w:rPr>
                <w:rFonts w:ascii="Arial" w:cs="Arial" w:eastAsia="Arial" w:hAnsi="Arial"/>
                <w:sz w:val="18"/>
                <w:szCs w:val="18"/>
                <w:color w:val="auto"/>
              </w:rPr>
              <w:t>Basaglar</w:t>
            </w:r>
          </w:p>
        </w:tc>
        <w:tc>
          <w:tcPr>
            <w:tcW w:w="3480" w:type="dxa"/>
            <w:vAlign w:val="bottom"/>
            <w:shd w:val="clear" w:color="auto" w:fill="DDDDDD"/>
          </w:tcPr>
          <w:p>
            <w:pPr>
              <w:spacing w:after="0"/>
              <w:rPr>
                <w:sz w:val="23"/>
                <w:szCs w:val="23"/>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(250.0)</w:t>
            </w:r>
          </w:p>
        </w:tc>
      </w:tr>
    </w:tbl>
    <w:p>
      <w:pPr>
        <w:spacing w:after="0" w:line="329" w:lineRule="exact"/>
        <w:rPr>
          <w:sz w:val="20"/>
          <w:szCs w:val="20"/>
          <w:color w:val="auto"/>
        </w:rPr>
      </w:pPr>
    </w:p>
    <w:p>
      <w:pPr>
        <w:ind w:left="180" w:right="280" w:hanging="172"/>
        <w:spacing w:after="0" w:line="232" w:lineRule="auto"/>
        <w:tabs>
          <w:tab w:leader="none" w:pos="153" w:val="left"/>
        </w:tabs>
        <w:numPr>
          <w:ilvl w:val="0"/>
          <w:numId w:val="54"/>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 This represents the cumulative amounts that have been (deferred) or capitalized from the start of this collaboration through the end of the reporting period.</w:t>
      </w:r>
    </w:p>
    <w:p>
      <w:pPr>
        <w:spacing w:after="0" w:line="100" w:lineRule="exact"/>
        <w:rPr>
          <w:rFonts w:ascii="Arial" w:cs="Arial" w:eastAsia="Arial" w:hAnsi="Arial"/>
          <w:sz w:val="17"/>
          <w:szCs w:val="17"/>
          <w:color w:val="auto"/>
          <w:vertAlign w:val="superscript"/>
        </w:rPr>
      </w:pPr>
    </w:p>
    <w:p>
      <w:pPr>
        <w:ind w:left="180" w:right="220" w:hanging="172"/>
        <w:spacing w:after="0" w:line="225" w:lineRule="auto"/>
        <w:tabs>
          <w:tab w:leader="none" w:pos="153" w:val="left"/>
        </w:tabs>
        <w:numPr>
          <w:ilvl w:val="0"/>
          <w:numId w:val="54"/>
        </w:numPr>
        <w:rPr>
          <w:rFonts w:ascii="Arial" w:cs="Arial" w:eastAsia="Arial" w:hAnsi="Arial"/>
          <w:sz w:val="17"/>
          <w:szCs w:val="17"/>
          <w:color w:val="auto"/>
          <w:vertAlign w:val="superscript"/>
        </w:rPr>
      </w:pPr>
      <w:r>
        <w:rPr>
          <w:rFonts w:ascii="Arial" w:cs="Arial" w:eastAsia="Arial" w:hAnsi="Arial"/>
          <w:sz w:val="14"/>
          <w:szCs w:val="14"/>
          <w:color w:val="auto"/>
        </w:rPr>
        <w:t>The collaboration agreement with Boehringer Ingelheim for Trajenta ends upon expiration of the compound patent and any supplementary protection certificates or extensions thereto.</w:t>
      </w:r>
    </w:p>
    <w:p>
      <w:pPr>
        <w:spacing w:after="0" w:line="97" w:lineRule="exact"/>
        <w:rPr>
          <w:rFonts w:ascii="Arial" w:cs="Arial" w:eastAsia="Arial" w:hAnsi="Arial"/>
          <w:sz w:val="17"/>
          <w:szCs w:val="17"/>
          <w:color w:val="auto"/>
          <w:vertAlign w:val="superscript"/>
        </w:rPr>
      </w:pPr>
    </w:p>
    <w:p>
      <w:pPr>
        <w:ind w:left="180" w:right="100" w:hanging="172"/>
        <w:spacing w:after="0" w:line="225" w:lineRule="auto"/>
        <w:tabs>
          <w:tab w:leader="none" w:pos="153" w:val="left"/>
        </w:tabs>
        <w:numPr>
          <w:ilvl w:val="0"/>
          <w:numId w:val="54"/>
        </w:numPr>
        <w:rPr>
          <w:rFonts w:ascii="Arial" w:cs="Arial" w:eastAsia="Arial" w:hAnsi="Arial"/>
          <w:sz w:val="17"/>
          <w:szCs w:val="17"/>
          <w:color w:val="auto"/>
          <w:vertAlign w:val="superscript"/>
        </w:rPr>
      </w:pPr>
      <w:r>
        <w:rPr>
          <w:rFonts w:ascii="Arial" w:cs="Arial" w:eastAsia="Arial" w:hAnsi="Arial"/>
          <w:sz w:val="14"/>
          <w:szCs w:val="14"/>
          <w:color w:val="auto"/>
        </w:rPr>
        <w:t>The collaboration agreement with Boehringer Ingelheim for Jardiance ends upon expiration of the compound patent and any supplementary protection certificates or extensions thereto.</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Through December 31, 2019, in the most significant markets, we and Boehringer Ingelheim shared equally the ongoing development costs, commercialization costs, and agreed upon gross margin for any product resulting from the collaboration. We recorded our portion of the gross margin associated with Boehringer Ingelheim's products as collaboration and other revenue. We recorded our sales of Basaglar to third parties as net product revenue with the payments made to Boehringer Ingelheim for their portion of the gross margin recorded as cost of sales. For all compounds under this collaboration, we recorded our portion of the development and commercialization costs as research and development expense and marketing, selling, and administrative expense, respectively. Each company was entitled to potential performance payments depending on the sales of the molecules it contributes to the collaboration. These performance payments may have resulted in the owner of the molecule retaining a greater share of the agreed upon gross margin of that product. Subject to achieving these thresholds, in a given period, our reported revenue for Trajenta and Jardiance may have been reduced by any performance payments we make related to these products. Similarly, performance payments we may have received related to Basaglar effectively reduced Boehringer Ingelheim's share of the gross margin, which reduced our cost of sales.</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Effective January 1, 2020, we and Boehringer Ingelheim modernized the alliance. In the most significant markets, we and Boehringer Ingelheim share equally the ongoing development costs and commercialization costs for the Jardiance product family. We receive a royalty on net sales of Boehringer Ingelheim's products in the most significant markets and recognize the royalty as collaboration and other revenue. We pay to Boehringer Ingelheim a royalty on net sales for Basaglar in the U.S. We record our sales of Basaglar to third parties as net product revenue with the royalty payments made to Boehringer Ingelheim recorded as cost of sales. For the Jardiance product family, we record our portion of the development and commercialization costs as research and development expense and marketing, selling, and administrative expense, respectively. Boehringer Ingelheim is entitled to potential performance payments depending on the net sales of the Jardiance product family; therefore, our reported revenue for Jardiance may be reduced by any potential performance payments we make related to this product. Beginning January 1, 2021, the royalty received by us related to the Jardiance product family may also be increased or decreased depending on whether net sales for this product family exceed or fall below certain thresholds.</w:t>
      </w:r>
    </w:p>
    <w:p>
      <w:pPr>
        <w:spacing w:after="0" w:line="10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summarizes our net product revenue recognized with respect to Basaglar and collaboration and other revenue recognized with respect to the Trajenta and Jardiance families of products: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70"/>
        </w:trPr>
        <w:tc>
          <w:tcPr>
            <w:tcW w:w="3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Basaglar</w:t>
            </w:r>
          </w:p>
        </w:tc>
        <w:tc>
          <w:tcPr>
            <w:tcW w:w="34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1,112.6</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801.2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432.1</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Jardiance</w:t>
            </w:r>
          </w:p>
        </w:tc>
        <w:tc>
          <w:tcPr>
            <w:tcW w:w="34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944.2</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658.3</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447.5</w:t>
            </w:r>
          </w:p>
        </w:tc>
      </w:tr>
      <w:tr>
        <w:trPr>
          <w:trHeight w:val="277"/>
        </w:trPr>
        <w:tc>
          <w:tcPr>
            <w:tcW w:w="3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p>
        </w:tc>
        <w:tc>
          <w:tcPr>
            <w:tcW w:w="3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590.6</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574.7</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537.9</w:t>
            </w:r>
          </w:p>
        </w:tc>
      </w:tr>
      <w:tr>
        <w:trPr>
          <w:trHeight w:val="648"/>
        </w:trPr>
        <w:tc>
          <w:tcPr>
            <w:tcW w:w="3960" w:type="dxa"/>
            <w:vAlign w:val="bottom"/>
          </w:tcPr>
          <w:p>
            <w:pPr>
              <w:jc w:val="right"/>
              <w:ind w:right="3690"/>
              <w:spacing w:after="0"/>
              <w:rPr>
                <w:sz w:val="20"/>
                <w:szCs w:val="20"/>
                <w:color w:val="auto"/>
              </w:rPr>
            </w:pPr>
            <w:r>
              <w:rPr>
                <w:rFonts w:ascii="Arial" w:cs="Arial" w:eastAsia="Arial" w:hAnsi="Arial"/>
                <w:sz w:val="18"/>
                <w:szCs w:val="18"/>
                <w:b w:val="1"/>
                <w:bCs w:val="1"/>
                <w:i w:val="1"/>
                <w:iCs w:val="1"/>
                <w:color w:val="auto"/>
                <w:w w:val="79"/>
              </w:rPr>
              <w:t>66</w:t>
            </w:r>
          </w:p>
        </w:tc>
        <w:tc>
          <w:tcPr>
            <w:tcW w:w="3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33"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Olumiant</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and certain follow-on compounds, for the treatment of inflammatory and autoimmune diseases. Incyte has the right to receive tiered, double-digit royalty payments on future global sales with rates ranging up to 20 percent. The agreement calls for payments by us to Incyte associated with certain development, success-based regulatory, and sales-based milestones.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milestones achieved: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w:t>
            </w:r>
          </w:p>
        </w:tc>
        <w:tc>
          <w:tcPr>
            <w:tcW w:w="5840" w:type="dxa"/>
            <w:vAlign w:val="bottom"/>
            <w:tcBorders>
              <w:bottom w:val="single" w:sz="8" w:color="auto"/>
            </w:tcBorders>
          </w:tcPr>
          <w:p>
            <w:pPr>
              <w:ind w:left="3080"/>
              <w:spacing w:after="0"/>
              <w:rPr>
                <w:sz w:val="20"/>
                <w:szCs w:val="20"/>
                <w:color w:val="auto"/>
              </w:rPr>
            </w:pPr>
            <w:r>
              <w:rPr>
                <w:rFonts w:ascii="Arial" w:cs="Arial" w:eastAsia="Arial" w:hAnsi="Arial"/>
                <w:sz w:val="14"/>
                <w:szCs w:val="14"/>
                <w:b w:val="1"/>
                <w:bCs w:val="1"/>
                <w:color w:val="auto"/>
              </w:rPr>
              <w:t>Event</w:t>
            </w:r>
          </w:p>
        </w:tc>
        <w:tc>
          <w:tcPr>
            <w:tcW w:w="22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Classification</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1640" w:type="dxa"/>
            <w:vAlign w:val="bottom"/>
            <w:vMerge w:val="restart"/>
          </w:tcPr>
          <w:p>
            <w:pPr>
              <w:jc w:val="right"/>
              <w:ind w:right="1116"/>
              <w:spacing w:after="0"/>
              <w:rPr>
                <w:sz w:val="20"/>
                <w:szCs w:val="20"/>
                <w:color w:val="auto"/>
              </w:rPr>
            </w:pPr>
            <w:r>
              <w:rPr>
                <w:rFonts w:ascii="Arial" w:cs="Arial" w:eastAsia="Arial" w:hAnsi="Arial"/>
                <w:sz w:val="18"/>
                <w:szCs w:val="18"/>
                <w:color w:val="auto"/>
              </w:rPr>
              <w:t>2018</w:t>
            </w:r>
          </w:p>
        </w:tc>
        <w:tc>
          <w:tcPr>
            <w:tcW w:w="5840" w:type="dxa"/>
            <w:vAlign w:val="bottom"/>
          </w:tcPr>
          <w:p>
            <w:pPr>
              <w:ind w:left="440"/>
              <w:spacing w:after="0"/>
              <w:rPr>
                <w:sz w:val="20"/>
                <w:szCs w:val="20"/>
                <w:color w:val="auto"/>
              </w:rPr>
            </w:pPr>
            <w:r>
              <w:rPr>
                <w:rFonts w:ascii="Arial" w:cs="Arial" w:eastAsia="Arial" w:hAnsi="Arial"/>
                <w:sz w:val="18"/>
                <w:szCs w:val="18"/>
                <w:color w:val="auto"/>
              </w:rPr>
              <w:t>Regulatory approval in the U.S.</w:t>
            </w:r>
          </w:p>
        </w:tc>
        <w:tc>
          <w:tcPr>
            <w:tcW w:w="2240" w:type="dxa"/>
            <w:vAlign w:val="bottom"/>
          </w:tcPr>
          <w:p>
            <w:pPr>
              <w:ind w:left="300"/>
              <w:spacing w:after="0"/>
              <w:rPr>
                <w:sz w:val="20"/>
                <w:szCs w:val="20"/>
                <w:color w:val="auto"/>
              </w:rPr>
            </w:pPr>
            <w:r>
              <w:rPr>
                <w:rFonts w:ascii="Arial" w:cs="Arial" w:eastAsia="Arial" w:hAnsi="Arial"/>
                <w:sz w:val="18"/>
                <w:szCs w:val="18"/>
                <w:color w:val="auto"/>
              </w:rPr>
              <w:t>Intangible asset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22"/>
        </w:trPr>
        <w:tc>
          <w:tcPr>
            <w:tcW w:w="1640" w:type="dxa"/>
            <w:vAlign w:val="bottom"/>
            <w:vMerge w:val="continue"/>
          </w:tcPr>
          <w:p>
            <w:pPr>
              <w:spacing w:after="0"/>
              <w:rPr>
                <w:sz w:val="10"/>
                <w:szCs w:val="10"/>
                <w:color w:val="auto"/>
              </w:rPr>
            </w:pPr>
          </w:p>
        </w:tc>
        <w:tc>
          <w:tcPr>
            <w:tcW w:w="5840" w:type="dxa"/>
            <w:vAlign w:val="bottom"/>
            <w:vMerge w:val="restart"/>
          </w:tcPr>
          <w:p>
            <w:pPr>
              <w:ind w:left="440"/>
              <w:spacing w:after="0"/>
              <w:rPr>
                <w:sz w:val="20"/>
                <w:szCs w:val="20"/>
                <w:color w:val="auto"/>
              </w:rPr>
            </w:pPr>
            <w:r>
              <w:rPr>
                <w:rFonts w:ascii="Arial" w:cs="Arial" w:eastAsia="Arial" w:hAnsi="Arial"/>
                <w:sz w:val="18"/>
                <w:szCs w:val="18"/>
                <w:color w:val="auto"/>
              </w:rPr>
              <w:t>Began Phase III testing for systemic lupus erythematosus (SLE)</w:t>
            </w:r>
          </w:p>
        </w:tc>
        <w:tc>
          <w:tcPr>
            <w:tcW w:w="2240" w:type="dxa"/>
            <w:vAlign w:val="bottom"/>
            <w:vMerge w:val="restart"/>
          </w:tcPr>
          <w:p>
            <w:pPr>
              <w:ind w:left="300"/>
              <w:spacing w:after="0"/>
              <w:rPr>
                <w:sz w:val="20"/>
                <w:szCs w:val="20"/>
                <w:color w:val="auto"/>
              </w:rPr>
            </w:pPr>
            <w:r>
              <w:rPr>
                <w:rFonts w:ascii="Arial" w:cs="Arial" w:eastAsia="Arial" w:hAnsi="Arial"/>
                <w:sz w:val="18"/>
                <w:szCs w:val="18"/>
                <w:color w:val="auto"/>
              </w:rPr>
              <w:t>R&amp;D Expense</w:t>
            </w:r>
          </w:p>
        </w:tc>
        <w:tc>
          <w:tcPr>
            <w:tcW w:w="600" w:type="dxa"/>
            <w:vAlign w:val="bottom"/>
          </w:tcPr>
          <w:p>
            <w:pPr>
              <w:spacing w:after="0"/>
              <w:rPr>
                <w:sz w:val="10"/>
                <w:szCs w:val="10"/>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auto"/>
            </w:tcBorders>
          </w:tcPr>
          <w:p>
            <w:pPr>
              <w:spacing w:after="0"/>
              <w:rPr>
                <w:sz w:val="12"/>
                <w:szCs w:val="12"/>
                <w:color w:val="auto"/>
              </w:rPr>
            </w:pPr>
          </w:p>
        </w:tc>
        <w:tc>
          <w:tcPr>
            <w:tcW w:w="584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rPr>
                <w:sz w:val="21"/>
                <w:szCs w:val="21"/>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Regulatory approval in Europe</w:t>
            </w:r>
          </w:p>
        </w:tc>
        <w:tc>
          <w:tcPr>
            <w:tcW w:w="2240" w:type="dxa"/>
            <w:vAlign w:val="bottom"/>
          </w:tcPr>
          <w:p>
            <w:pPr>
              <w:ind w:left="300"/>
              <w:spacing w:after="0"/>
              <w:rPr>
                <w:sz w:val="20"/>
                <w:szCs w:val="20"/>
                <w:color w:val="auto"/>
              </w:rPr>
            </w:pPr>
            <w:r>
              <w:rPr>
                <w:rFonts w:ascii="Arial" w:cs="Arial" w:eastAsia="Arial" w:hAnsi="Arial"/>
                <w:sz w:val="18"/>
                <w:szCs w:val="18"/>
                <w:color w:val="auto"/>
              </w:rPr>
              <w:t>Intangible asset</w:t>
            </w:r>
          </w:p>
        </w:tc>
        <w:tc>
          <w:tcPr>
            <w:tcW w:w="6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57"/>
        </w:trPr>
        <w:tc>
          <w:tcPr>
            <w:tcW w:w="1640" w:type="dxa"/>
            <w:vAlign w:val="bottom"/>
          </w:tcPr>
          <w:p>
            <w:pPr>
              <w:jc w:val="right"/>
              <w:ind w:right="1116"/>
              <w:spacing w:after="0"/>
              <w:rPr>
                <w:sz w:val="20"/>
                <w:szCs w:val="20"/>
                <w:color w:val="auto"/>
              </w:rPr>
            </w:pPr>
            <w:r>
              <w:rPr>
                <w:rFonts w:ascii="Arial" w:cs="Arial" w:eastAsia="Arial" w:hAnsi="Arial"/>
                <w:sz w:val="18"/>
                <w:szCs w:val="18"/>
                <w:color w:val="auto"/>
              </w:rPr>
              <w:t>2017</w:t>
            </w:r>
          </w:p>
        </w:tc>
        <w:tc>
          <w:tcPr>
            <w:tcW w:w="5840" w:type="dxa"/>
            <w:vAlign w:val="bottom"/>
          </w:tcPr>
          <w:p>
            <w:pPr>
              <w:ind w:left="440"/>
              <w:spacing w:after="0"/>
              <w:rPr>
                <w:sz w:val="20"/>
                <w:szCs w:val="20"/>
                <w:color w:val="auto"/>
              </w:rPr>
            </w:pPr>
            <w:r>
              <w:rPr>
                <w:rFonts w:ascii="Arial" w:cs="Arial" w:eastAsia="Arial" w:hAnsi="Arial"/>
                <w:sz w:val="18"/>
                <w:szCs w:val="18"/>
                <w:color w:val="auto"/>
              </w:rPr>
              <w:t>Regulatory approval in Japan</w:t>
            </w:r>
          </w:p>
        </w:tc>
        <w:tc>
          <w:tcPr>
            <w:tcW w:w="2240" w:type="dxa"/>
            <w:vAlign w:val="bottom"/>
          </w:tcPr>
          <w:p>
            <w:pPr>
              <w:ind w:left="300"/>
              <w:spacing w:after="0"/>
              <w:rPr>
                <w:sz w:val="20"/>
                <w:szCs w:val="20"/>
                <w:color w:val="auto"/>
              </w:rPr>
            </w:pPr>
            <w:r>
              <w:rPr>
                <w:rFonts w:ascii="Arial" w:cs="Arial" w:eastAsia="Arial" w:hAnsi="Arial"/>
                <w:sz w:val="18"/>
                <w:szCs w:val="18"/>
                <w:color w:val="auto"/>
              </w:rPr>
              <w:t>Intangible asset</w:t>
            </w:r>
          </w:p>
        </w:tc>
        <w:tc>
          <w:tcPr>
            <w:tcW w:w="60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4"/>
        </w:trPr>
        <w:tc>
          <w:tcPr>
            <w:tcW w:w="1640" w:type="dxa"/>
            <w:vAlign w:val="bottom"/>
            <w:tcBorders>
              <w:bottom w:val="single" w:sz="8" w:color="auto"/>
            </w:tcBorders>
          </w:tcPr>
          <w:p>
            <w:pPr>
              <w:spacing w:after="0"/>
              <w:rPr>
                <w:sz w:val="22"/>
                <w:szCs w:val="22"/>
                <w:color w:val="auto"/>
              </w:rPr>
            </w:pPr>
          </w:p>
        </w:tc>
        <w:tc>
          <w:tcPr>
            <w:tcW w:w="5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Began Phase III testing for atopic dermatitis</w:t>
            </w:r>
          </w:p>
        </w:tc>
        <w:tc>
          <w:tcPr>
            <w:tcW w:w="22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R&amp;D expense</w:t>
            </w: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December 31, 2019, Incyte is eligible to receive up to $130.0 million of additional payments from us contingent upon certain development and success-based regulatory milestones. Incyte is also eligible to receive up to $150.0 million of potential sales-based milestones.</w:t>
      </w:r>
    </w:p>
    <w:p>
      <w:pPr>
        <w:spacing w:after="0" w:line="88"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agreement provided Incyte with options to co-develop the compound subject to the collaboration on an indication-by-indication basis by funding 30 percent of the associated development costs from the initiation of a Phase IIb trial through regulatory approval in exchange for increased tiered royalties ranging up to percentages in the high twenties. Incyte previously exercised its option to co-develop Olumiant in rheumatoid arthritis, atopic dermatitis, alopecia areata, and SLE; however, it opted-out of co-development of all indications as of January 1, 2019. As a result, we will solely fund all further development and pay a lower royalty rate to Incyte on sales.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 with respect to Olumiant: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Olumiant</w:t>
            </w:r>
          </w:p>
        </w:tc>
        <w:tc>
          <w:tcPr>
            <w:tcW w:w="3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426.9</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45.8</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December 31, 2019, Pfizer is eligible to receive up to $350.0 million in success-based regulatory milestones and up to $1.23 billion in a series of sales-based milestones, contingent upon the commercial success of tanezumab.</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67</w:t>
      </w:r>
    </w:p>
    <w:p>
      <w:pPr>
        <w:sectPr>
          <w:pgSz w:w="11900" w:h="16838" w:orient="portrait"/>
          <w:cols w:equalWidth="0" w:num="1">
            <w:col w:w="11420"/>
          </w:cols>
          <w:pgMar w:left="240" w:top="71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CC0000"/>
        </w:rPr>
        <w:t>Note 5: Asset Impairment, Restructuring, and Other Special Charges</w:t>
      </w:r>
    </w:p>
    <w:p>
      <w:pPr>
        <w:spacing w:after="0" w:line="1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Severance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77.8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127.8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rPr>
              <w:t>Pension and post-retirement medical charges associated with U.S. voluntary early</w:t>
            </w:r>
          </w:p>
        </w:tc>
        <w:tc>
          <w:tcPr>
            <w:tcW w:w="320" w:type="dxa"/>
            <w:vAlign w:val="bottom"/>
          </w:tcPr>
          <w:p>
            <w:pPr>
              <w:spacing w:after="0"/>
              <w:rPr>
                <w:sz w:val="19"/>
                <w:szCs w:val="19"/>
                <w:color w:val="auto"/>
              </w:rPr>
            </w:pPr>
          </w:p>
        </w:tc>
        <w:tc>
          <w:tcPr>
            <w:tcW w:w="10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8"/>
                <w:szCs w:val="18"/>
                <w:color w:val="auto"/>
              </w:rPr>
              <w:t>retirement program (see Note 15)</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3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497.8</w:t>
            </w:r>
          </w:p>
        </w:tc>
        <w:tc>
          <w:tcPr>
            <w:tcW w:w="4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139.1</w:t>
            </w:r>
          </w:p>
        </w:tc>
        <w:tc>
          <w:tcPr>
            <w:tcW w:w="4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575.6</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266.9</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Severance costs recognized during the years ended December 31, 2019, 2018 and 2017 were incurred as a result of actions taken to reduce our cost structure. Severance costs recognized in 2017 were primarily associated with the U.S. voluntary early retirement program. During 2017, severance costs recognized in the U.S. and outside the U.S. were $ 368.3 million and $232.7 million, respectively. Substantially all of the severance costs incurred in 2017 and 2018 have been paid. Substantially all of the severance costs incurred during the year ended December 31, 2019 are expected to be paid in the next 12 months.</w:t>
      </w:r>
    </w:p>
    <w:p>
      <w:pPr>
        <w:spacing w:after="0" w:line="9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Asset impairment and other special charges recognized during the year ended December 31, 2019 consisted of $400.7 million related to the acquisition of Loxo, substantially all of which is associated with the accelerated vesting of Loxo employee equity awards. In addition, we incurred an asset impairment charge related to our decision to close and sell a research and development facility located in the United Kingdom (U.K). The facility was written down to its estimated fair value, which was based primarily on recent sales of similar assets.</w:t>
      </w:r>
    </w:p>
    <w:p>
      <w:pPr>
        <w:spacing w:after="0" w:line="204"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color w:val="auto"/>
        </w:rPr>
        <w:t>Asset impairment and other special charges recognized during the year ended December 31, 2018 resulted primarily from asset impairment and other special charges related to the sale of the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brand and the associated Augusta, Georgia manufacturing site.</w:t>
      </w:r>
    </w:p>
    <w:p>
      <w:pPr>
        <w:spacing w:after="0" w:line="1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Asset impairment and other special charges recognized during the year ended December 31, 2017 resulted primarily from asset impairments related to lower projected revenue for Posilac (rbST). The assets associated with Posilac (rbST) were written down to their fair values, which were determined based upon a discounted cash flow valuation. Impairment charges were recorded for the associated fixed assets and intangible asset of $151.5 million and $ 50.0 million, respectively. In addition, we incurred approximately $43.4 million of costs associated with the temporary shut down of our Puerto Rico facility following Hurricane Maria.</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68</w:t>
      </w:r>
    </w:p>
    <w:p>
      <w:pPr>
        <w:sectPr>
          <w:pgSz w:w="11900" w:h="16838" w:orient="portrait"/>
          <w:cols w:equalWidth="0" w:num="1">
            <w:col w:w="11420"/>
          </w:cols>
          <w:pgMar w:left="240" w:top="54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CC0000"/>
        </w:rPr>
        <w:t>Note 6: Inventories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use the last-in, first-out (LIFO) method for the majority of our inventories located in the continental U.S. Other inventories are valued by the first-in, first-out (FIFO) method. FIFO cost approximates current replacement cost. Inventories measured using LIFO must be valued at the lower of cost or market. Inventories measured using FIFO must be valued at the lower of cost or net realizable value.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213" w:lineRule="exact"/>
        <w:rPr>
          <w:sz w:val="20"/>
          <w:szCs w:val="20"/>
          <w:color w:val="auto"/>
        </w:rPr>
      </w:pPr>
    </w:p>
    <w:p>
      <w:pPr>
        <w:ind w:left="906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 and supplies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(approximates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to LIFO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460" w:val="left"/>
          <w:tab w:leader="none" w:pos="22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647.3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577.8</w:t>
      </w:r>
    </w:p>
    <w:p>
      <w:pPr>
        <w:spacing w:after="0" w:line="63" w:lineRule="exact"/>
        <w:rPr>
          <w:sz w:val="20"/>
          <w:szCs w:val="20"/>
          <w:color w:val="auto"/>
        </w:rPr>
      </w:pPr>
    </w:p>
    <w:p>
      <w:pPr>
        <w:jc w:val="right"/>
        <w:ind w:right="140"/>
        <w:spacing w:after="0"/>
        <w:tabs>
          <w:tab w:leader="none" w:pos="580" w:val="left"/>
        </w:tabs>
        <w:rPr>
          <w:sz w:val="20"/>
          <w:szCs w:val="20"/>
          <w:color w:val="auto"/>
        </w:rPr>
      </w:pPr>
      <w:r>
        <w:rPr>
          <w:rFonts w:ascii="Arial" w:cs="Arial" w:eastAsia="Arial" w:hAnsi="Arial"/>
          <w:sz w:val="18"/>
          <w:szCs w:val="18"/>
          <w:b w:val="1"/>
          <w:bCs w:val="1"/>
          <w:color w:val="auto"/>
        </w:rPr>
        <w:t>2,067.6</w:t>
      </w:r>
      <w:r>
        <w:rPr>
          <w:sz w:val="20"/>
          <w:szCs w:val="20"/>
          <w:color w:val="auto"/>
        </w:rPr>
        <w:tab/>
      </w:r>
      <w:r>
        <w:rPr>
          <w:rFonts w:ascii="Arial" w:cs="Arial" w:eastAsia="Arial" w:hAnsi="Arial"/>
          <w:sz w:val="17"/>
          <w:szCs w:val="17"/>
          <w:color w:val="auto"/>
        </w:rPr>
        <w:t>2,057.8</w:t>
      </w:r>
    </w:p>
    <w:p>
      <w:pPr>
        <w:spacing w:after="0" w:line="63" w:lineRule="exact"/>
        <w:rPr>
          <w:sz w:val="20"/>
          <w:szCs w:val="20"/>
          <w:color w:val="auto"/>
        </w:rPr>
      </w:pPr>
    </w:p>
    <w:p>
      <w:pPr>
        <w:jc w:val="right"/>
        <w:ind w:right="140"/>
        <w:spacing w:after="0"/>
        <w:tabs>
          <w:tab w:leader="none" w:pos="420" w:val="left"/>
        </w:tabs>
        <w:rPr>
          <w:sz w:val="20"/>
          <w:szCs w:val="20"/>
          <w:color w:val="auto"/>
        </w:rPr>
      </w:pPr>
      <w:r>
        <w:rPr>
          <w:rFonts w:ascii="Arial" w:cs="Arial" w:eastAsia="Arial" w:hAnsi="Arial"/>
          <w:sz w:val="18"/>
          <w:szCs w:val="18"/>
          <w:b w:val="1"/>
          <w:bCs w:val="1"/>
          <w:color w:val="auto"/>
        </w:rPr>
        <w:t>424.6</w:t>
      </w:r>
      <w:r>
        <w:rPr>
          <w:sz w:val="20"/>
          <w:szCs w:val="20"/>
          <w:color w:val="auto"/>
        </w:rPr>
        <w:tab/>
      </w:r>
      <w:r>
        <w:rPr>
          <w:rFonts w:ascii="Arial" w:cs="Arial" w:eastAsia="Arial" w:hAnsi="Arial"/>
          <w:sz w:val="17"/>
          <w:szCs w:val="17"/>
          <w:color w:val="auto"/>
        </w:rPr>
        <w:t>426.1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jc w:val="right"/>
        <w:ind w:right="140"/>
        <w:spacing w:after="0"/>
        <w:tabs>
          <w:tab w:leader="none" w:pos="580" w:val="left"/>
        </w:tabs>
        <w:rPr>
          <w:sz w:val="20"/>
          <w:szCs w:val="20"/>
          <w:color w:val="auto"/>
        </w:rPr>
      </w:pPr>
      <w:r>
        <w:rPr>
          <w:rFonts w:ascii="Arial" w:cs="Arial" w:eastAsia="Arial" w:hAnsi="Arial"/>
          <w:sz w:val="18"/>
          <w:szCs w:val="18"/>
          <w:b w:val="1"/>
          <w:bCs w:val="1"/>
          <w:color w:val="auto"/>
        </w:rPr>
        <w:t>3,139.5</w:t>
      </w:r>
      <w:r>
        <w:rPr>
          <w:sz w:val="20"/>
          <w:szCs w:val="20"/>
          <w:color w:val="auto"/>
        </w:rPr>
        <w:tab/>
      </w:r>
      <w:r>
        <w:rPr>
          <w:rFonts w:ascii="Arial" w:cs="Arial" w:eastAsia="Arial" w:hAnsi="Arial"/>
          <w:sz w:val="17"/>
          <w:szCs w:val="17"/>
          <w:color w:val="auto"/>
        </w:rPr>
        <w:t>3,061.7</w:t>
      </w:r>
    </w:p>
    <w:p>
      <w:pPr>
        <w:spacing w:after="0" w:line="63" w:lineRule="exact"/>
        <w:rPr>
          <w:sz w:val="20"/>
          <w:szCs w:val="20"/>
          <w:color w:val="auto"/>
        </w:rPr>
      </w:pPr>
    </w:p>
    <w:p>
      <w:pPr>
        <w:jc w:val="right"/>
        <w:ind w:right="140"/>
        <w:spacing w:after="0"/>
        <w:tabs>
          <w:tab w:leader="none" w:pos="32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7"/>
          <w:szCs w:val="17"/>
          <w:color w:val="auto"/>
        </w:rPr>
        <w:t>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spacing w:after="0"/>
        <w:tabs>
          <w:tab w:leader="none" w:pos="6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3,190.7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3,098.1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860"/>
          </w:cols>
          <w:pgMar w:left="240" w:top="549" w:right="239" w:bottom="1440" w:gutter="0" w:footer="0" w:header="0"/>
          <w:type w:val="continuous"/>
        </w:sectPr>
      </w:pPr>
    </w:p>
    <w:p>
      <w:pPr>
        <w:spacing w:after="0" w:line="19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Inventories valued under the LIFO method comprised $1.20 billion and $1.37 billion of total inventories at December 31, 2019 and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7: Financial Instruments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1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40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142"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147"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14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8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69</w:t>
      </w:r>
    </w:p>
    <w:p>
      <w:pPr>
        <w:sectPr>
          <w:pgSz w:w="11900" w:h="16838" w:orient="portrait"/>
          <w:cols w:equalWidth="0" w:num="1">
            <w:col w:w="11420"/>
          </w:cols>
          <w:pgMar w:left="240" w:top="549" w:right="239" w:bottom="1440" w:gutter="0" w:footer="0" w:header="0"/>
          <w:type w:val="continuous"/>
        </w:sectPr>
      </w:pPr>
    </w:p>
    <w:bookmarkStart w:id="69" w:name="page70"/>
    <w:bookmarkEnd w:id="69"/>
    <w:p>
      <w:pPr>
        <w:ind w:right="26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December 31, 2019, we had outstanding foreign currency forward commitments to purchase 447.9 million U.S. dollars and sell 402.9 million euro; commitments to purchase 1.81 billion euro and sell 2.02 billion U.S. dollars; commitments to purchase 308.3 million U.S. dollars and sell 33.49 billion Japanese yen, commitments to purchase 101.4 million Swiss francs and sell 103.5 million U.S. dollars, and commitments to purchase 236.2 million British pounds and sell 310.9 million U.S. dollars which all settled within 30 days.</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$5.49 billion and $3.40 billion as of December 31, 2019 and 2018, respectively, of which $4.10 billion and $2.65 billion have been designated as, and are effective as, economic hedges of net investments in certain of our euro-denominated foreign operations as of December 31, 2019 and 2018, respectively. At December 31, 2019, we had outstanding cross currency swaps with notional amounts of $1.45 billion swapping U.S. dollars to euro, $1.00 billion swapping swiss francs to U.S. dollars, and $396.0 million swapping U.S. dollars to British pounds, which have settlement dates ranging through 2028. Our cross-currency interest rate swaps, for which a majority convert a portion of our U.S. dollar-denominated floating rate debt to foreign-denominated floating rate debt, have also been designated as, and are effective as, economic hedges of net investments.</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statements of cash flows. At December 31, 2019, substantially all of our total long-term debt is at a fixed rate. We have converted approximately 11 percent of our long-term fixed-rate notes to floating rates through the use of interest rate swaps.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December 31, 2019, the total notional amounts of forward-starting interest rate contracts in designated cash flow hedging instruments were $1.00 billion, which have settlement dates ranging between 2023 and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70</w:t>
      </w:r>
    </w:p>
    <w:p>
      <w:pPr>
        <w:sectPr>
          <w:pgSz w:w="11900" w:h="16838" w:orient="portrait"/>
          <w:cols w:equalWidth="0" w:num="1">
            <w:col w:w="11400"/>
          </w:cols>
          <w:pgMar w:left="240" w:top="679"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The Effect of Risk Management Instruments on the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Fair value hedges:</w:t>
            </w:r>
          </w:p>
        </w:tc>
        <w:tc>
          <w:tcPr>
            <w:tcW w:w="3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4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3"/>
              <w:spacing w:after="0"/>
              <w:rPr>
                <w:sz w:val="20"/>
                <w:szCs w:val="20"/>
                <w:color w:val="auto"/>
              </w:rPr>
            </w:pPr>
            <w:r>
              <w:rPr>
                <w:rFonts w:ascii="Arial" w:cs="Arial" w:eastAsia="Arial" w:hAnsi="Arial"/>
                <w:sz w:val="18"/>
                <w:szCs w:val="18"/>
                <w:b w:val="1"/>
                <w:bCs w:val="1"/>
                <w:color w:val="auto"/>
              </w:rPr>
              <w:t>112.1</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(40.9)</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7"/>
        </w:trPr>
        <w:tc>
          <w:tcPr>
            <w:tcW w:w="6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 from interest rate contracts</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(112.1)</w:t>
            </w:r>
          </w:p>
        </w:tc>
        <w:tc>
          <w:tcPr>
            <w:tcW w:w="56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40.9</w:t>
            </w:r>
          </w:p>
        </w:tc>
        <w:tc>
          <w:tcPr>
            <w:tcW w:w="56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Effective portion of losses on interest rate contracts reclassified from</w:t>
            </w:r>
          </w:p>
        </w:tc>
        <w:tc>
          <w:tcPr>
            <w:tcW w:w="380" w:type="dxa"/>
            <w:vAlign w:val="bottom"/>
            <w:shd w:val="clear" w:color="auto" w:fill="D8D8D8"/>
          </w:tcPr>
          <w:p>
            <w:pPr>
              <w:spacing w:after="0"/>
              <w:rPr>
                <w:sz w:val="19"/>
                <w:szCs w:val="19"/>
                <w:color w:val="auto"/>
              </w:rPr>
            </w:pPr>
          </w:p>
        </w:tc>
        <w:tc>
          <w:tcPr>
            <w:tcW w:w="1100" w:type="dxa"/>
            <w:vAlign w:val="bottom"/>
            <w:vMerge w:val="restart"/>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15.9</w:t>
            </w:r>
          </w:p>
        </w:tc>
        <w:tc>
          <w:tcPr>
            <w:tcW w:w="56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56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D8D8D8"/>
          </w:tcPr>
          <w:p>
            <w:pPr>
              <w:ind w:left="3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D8D8D8"/>
          </w:tcPr>
          <w:p>
            <w:pPr>
              <w:spacing w:after="0"/>
              <w:rPr>
                <w:sz w:val="20"/>
                <w:szCs w:val="20"/>
                <w:color w:val="auto"/>
              </w:rPr>
            </w:pPr>
          </w:p>
        </w:tc>
        <w:tc>
          <w:tcPr>
            <w:tcW w:w="1100" w:type="dxa"/>
            <w:vAlign w:val="bottom"/>
            <w:vMerge w:val="continue"/>
            <w:shd w:val="clear" w:color="auto" w:fill="D8D8D8"/>
          </w:tcPr>
          <w:p>
            <w:pPr>
              <w:spacing w:after="0"/>
              <w:rPr>
                <w:sz w:val="20"/>
                <w:szCs w:val="20"/>
                <w:color w:val="auto"/>
              </w:rPr>
            </w:pPr>
          </w:p>
        </w:tc>
        <w:tc>
          <w:tcPr>
            <w:tcW w:w="560" w:type="dxa"/>
            <w:vAlign w:val="bottom"/>
            <w:shd w:val="clear" w:color="auto" w:fill="D8D8D8"/>
          </w:tcPr>
          <w:p>
            <w:pPr>
              <w:spacing w:after="0"/>
              <w:rPr>
                <w:sz w:val="20"/>
                <w:szCs w:val="20"/>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0"/>
        </w:trPr>
        <w:tc>
          <w:tcPr>
            <w:tcW w:w="654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38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(17.1)</w:t>
            </w:r>
          </w:p>
        </w:tc>
        <w:tc>
          <w:tcPr>
            <w:tcW w:w="560" w:type="dxa"/>
            <w:vAlign w:val="bottom"/>
          </w:tcPr>
          <w:p>
            <w:pPr>
              <w:spacing w:after="0"/>
              <w:rPr>
                <w:sz w:val="21"/>
                <w:szCs w:val="21"/>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6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w:t>
            </w:r>
          </w:p>
        </w:tc>
        <w:tc>
          <w:tcPr>
            <w:tcW w:w="380" w:type="dxa"/>
            <w:vAlign w:val="bottom"/>
            <w:shd w:val="clear" w:color="auto" w:fill="D8D8D8"/>
          </w:tcPr>
          <w:p>
            <w:pPr>
              <w:spacing w:after="0"/>
              <w:rPr>
                <w:sz w:val="20"/>
                <w:szCs w:val="20"/>
                <w:color w:val="auto"/>
              </w:rPr>
            </w:pPr>
          </w:p>
        </w:tc>
        <w:tc>
          <w:tcPr>
            <w:tcW w:w="1100" w:type="dxa"/>
            <w:vAlign w:val="bottom"/>
            <w:vMerge w:val="restart"/>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61.9</w:t>
            </w:r>
          </w:p>
        </w:tc>
        <w:tc>
          <w:tcPr>
            <w:tcW w:w="56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560" w:type="dxa"/>
            <w:vAlign w:val="bottom"/>
            <w:shd w:val="clear" w:color="auto" w:fill="D8D8D8"/>
          </w:tcPr>
          <w:p>
            <w:pPr>
              <w:spacing w:after="0"/>
              <w:rPr>
                <w:sz w:val="20"/>
                <w:szCs w:val="20"/>
                <w:color w:val="auto"/>
              </w:rPr>
            </w:pPr>
          </w:p>
        </w:tc>
        <w:tc>
          <w:tcPr>
            <w:tcW w:w="11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D8D8D8"/>
          </w:tcPr>
          <w:p>
            <w:pPr>
              <w:ind w:left="200"/>
              <w:spacing w:after="0"/>
              <w:rPr>
                <w:sz w:val="20"/>
                <w:szCs w:val="20"/>
                <w:color w:val="auto"/>
              </w:rPr>
            </w:pPr>
            <w:r>
              <w:rPr>
                <w:rFonts w:ascii="Arial" w:cs="Arial" w:eastAsia="Arial" w:hAnsi="Arial"/>
                <w:sz w:val="18"/>
                <w:szCs w:val="18"/>
                <w:color w:val="auto"/>
              </w:rPr>
              <w:t>instruments</w:t>
            </w:r>
          </w:p>
        </w:tc>
        <w:tc>
          <w:tcPr>
            <w:tcW w:w="380" w:type="dxa"/>
            <w:vAlign w:val="bottom"/>
            <w:tcBorders>
              <w:bottom w:val="single" w:sz="8" w:color="auto"/>
            </w:tcBorders>
            <w:shd w:val="clear" w:color="auto" w:fill="D8D8D8"/>
          </w:tcPr>
          <w:p>
            <w:pPr>
              <w:spacing w:after="0"/>
              <w:rPr>
                <w:sz w:val="20"/>
                <w:szCs w:val="20"/>
                <w:color w:val="auto"/>
              </w:rPr>
            </w:pPr>
          </w:p>
        </w:tc>
        <w:tc>
          <w:tcPr>
            <w:tcW w:w="1100" w:type="dxa"/>
            <w:vAlign w:val="bottom"/>
            <w:tcBorders>
              <w:bottom w:val="single" w:sz="8" w:color="auto"/>
            </w:tcBorders>
            <w:vMerge w:val="continue"/>
            <w:shd w:val="clear" w:color="auto" w:fill="D8D8D8"/>
          </w:tcPr>
          <w:p>
            <w:pPr>
              <w:spacing w:after="0"/>
              <w:rPr>
                <w:sz w:val="20"/>
                <w:szCs w:val="20"/>
                <w:color w:val="auto"/>
              </w:rPr>
            </w:pPr>
          </w:p>
        </w:tc>
        <w:tc>
          <w:tcPr>
            <w:tcW w:w="560" w:type="dxa"/>
            <w:vAlign w:val="bottom"/>
            <w:tcBorders>
              <w:bottom w:val="single" w:sz="8" w:color="auto"/>
            </w:tcBorders>
            <w:shd w:val="clear" w:color="auto" w:fill="D8D8D8"/>
          </w:tcPr>
          <w:p>
            <w:pPr>
              <w:spacing w:after="0"/>
              <w:rPr>
                <w:sz w:val="20"/>
                <w:szCs w:val="20"/>
                <w:color w:val="auto"/>
              </w:rPr>
            </w:pPr>
          </w:p>
        </w:tc>
        <w:tc>
          <w:tcPr>
            <w:tcW w:w="1100" w:type="dxa"/>
            <w:vAlign w:val="bottom"/>
            <w:tcBorders>
              <w:bottom w:val="single" w:sz="8" w:color="auto"/>
            </w:tcBorders>
            <w:shd w:val="clear" w:color="auto" w:fill="D8D8D8"/>
          </w:tcPr>
          <w:p>
            <w:pPr>
              <w:jc w:val="right"/>
              <w:ind w:right="173"/>
              <w:spacing w:after="0"/>
              <w:rPr>
                <w:sz w:val="20"/>
                <w:szCs w:val="20"/>
                <w:color w:val="auto"/>
              </w:rPr>
            </w:pPr>
            <w:r>
              <w:rPr>
                <w:rFonts w:ascii="Arial" w:cs="Arial" w:eastAsia="Arial" w:hAnsi="Arial"/>
                <w:sz w:val="18"/>
                <w:szCs w:val="18"/>
                <w:color w:val="auto"/>
              </w:rPr>
              <w:t>100.0</w:t>
            </w:r>
          </w:p>
        </w:tc>
        <w:tc>
          <w:tcPr>
            <w:tcW w:w="560" w:type="dxa"/>
            <w:vAlign w:val="bottom"/>
            <w:tcBorders>
              <w:bottom w:val="single" w:sz="8" w:color="auto"/>
            </w:tcBorders>
            <w:shd w:val="clear" w:color="auto" w:fill="D8D8D8"/>
          </w:tcPr>
          <w:p>
            <w:pPr>
              <w:spacing w:after="0"/>
              <w:rPr>
                <w:sz w:val="20"/>
                <w:szCs w:val="20"/>
                <w:color w:val="auto"/>
              </w:rPr>
            </w:pPr>
          </w:p>
        </w:tc>
        <w:tc>
          <w:tcPr>
            <w:tcW w:w="1180" w:type="dxa"/>
            <w:vAlign w:val="bottom"/>
            <w:tcBorders>
              <w:bottom w:val="single" w:sz="8" w:color="auto"/>
            </w:tcBorders>
            <w:shd w:val="clear" w:color="auto" w:fill="D8D8D8"/>
          </w:tcPr>
          <w:p>
            <w:pPr>
              <w:jc w:val="right"/>
              <w:ind w:right="253"/>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1"/>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60.7</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114.8</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During the years ended December 31, 2019 and 2018, the amortization of losses related to the portion of our risk management hedging instruments, fair value hedges, and cash flow hedges that was excluded from the assessment of effectiveness was not material.</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year ended December 31, 2017, net losses related to ineffectiveness, as well as net losses related to the portion of our risk-management hedging instruments, fair value hedges, and cash flow hedges that were excluded from the assessment of effectiveness, were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Risk-Management Instruments on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70"/>
        </w:trPr>
        <w:tc>
          <w:tcPr>
            <w:tcW w:w="51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investment hedges:</w:t>
            </w:r>
          </w:p>
        </w:tc>
        <w:tc>
          <w:tcPr>
            <w:tcW w:w="2820" w:type="dxa"/>
            <w:vAlign w:val="bottom"/>
            <w:shd w:val="clear" w:color="auto" w:fill="D8D8D8"/>
          </w:tcPr>
          <w:p>
            <w:pPr>
              <w:spacing w:after="0"/>
              <w:rPr>
                <w:sz w:val="23"/>
                <w:szCs w:val="23"/>
                <w:color w:val="auto"/>
              </w:rPr>
            </w:pPr>
          </w:p>
        </w:tc>
        <w:tc>
          <w:tcPr>
            <w:tcW w:w="54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3"/>
        </w:trPr>
        <w:tc>
          <w:tcPr>
            <w:tcW w:w="51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820" w:type="dxa"/>
            <w:vAlign w:val="bottom"/>
          </w:tcPr>
          <w:p>
            <w:pPr>
              <w:jc w:val="right"/>
              <w:ind w:right="679"/>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40.1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110.4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(361.5)</w:t>
            </w:r>
          </w:p>
        </w:tc>
      </w:tr>
      <w:tr>
        <w:trPr>
          <w:trHeight w:val="277"/>
        </w:trPr>
        <w:tc>
          <w:tcPr>
            <w:tcW w:w="51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Cross-currency interest rate swaps</w:t>
            </w:r>
          </w:p>
        </w:tc>
        <w:tc>
          <w:tcPr>
            <w:tcW w:w="2820" w:type="dxa"/>
            <w:vAlign w:val="bottom"/>
            <w:shd w:val="clear" w:color="auto" w:fill="D8D8D8"/>
          </w:tcPr>
          <w:p>
            <w:pPr>
              <w:spacing w:after="0"/>
              <w:rPr>
                <w:sz w:val="24"/>
                <w:szCs w:val="24"/>
                <w:color w:val="auto"/>
              </w:rPr>
            </w:pPr>
          </w:p>
        </w:tc>
        <w:tc>
          <w:tcPr>
            <w:tcW w:w="54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47.4</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96.8</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(126.6)</w:t>
            </w:r>
          </w:p>
        </w:tc>
      </w:tr>
      <w:tr>
        <w:trPr>
          <w:trHeight w:val="263"/>
        </w:trPr>
        <w:tc>
          <w:tcPr>
            <w:tcW w:w="5140" w:type="dxa"/>
            <w:vAlign w:val="bottom"/>
          </w:tcPr>
          <w:p>
            <w:pPr>
              <w:ind w:left="240"/>
              <w:spacing w:after="0"/>
              <w:rPr>
                <w:sz w:val="20"/>
                <w:szCs w:val="20"/>
                <w:color w:val="auto"/>
              </w:rPr>
            </w:pPr>
            <w:r>
              <w:rPr>
                <w:rFonts w:ascii="Arial" w:cs="Arial" w:eastAsia="Arial" w:hAnsi="Arial"/>
                <w:sz w:val="18"/>
                <w:szCs w:val="18"/>
                <w:color w:val="auto"/>
              </w:rPr>
              <w:t>Foreign currency exchange contracts</w:t>
            </w:r>
          </w:p>
        </w:tc>
        <w:tc>
          <w:tcPr>
            <w:tcW w:w="2820" w:type="dxa"/>
            <w:vAlign w:val="bottom"/>
          </w:tcPr>
          <w:p>
            <w:pPr>
              <w:spacing w:after="0"/>
              <w:rPr>
                <w:sz w:val="22"/>
                <w:szCs w:val="22"/>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14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8"/>
                <w:szCs w:val="18"/>
                <w:color w:val="auto"/>
              </w:rPr>
              <w:t>Cash flow hedges:</w:t>
            </w:r>
          </w:p>
        </w:tc>
        <w:tc>
          <w:tcPr>
            <w:tcW w:w="2820" w:type="dxa"/>
            <w:vAlign w:val="bottom"/>
            <w:tcBorders>
              <w:bottom w:val="single" w:sz="8" w:color="D1D1D1"/>
            </w:tcBorders>
            <w:shd w:val="clear" w:color="auto" w:fill="D1D1D1"/>
          </w:tcPr>
          <w:p>
            <w:pPr>
              <w:spacing w:after="0"/>
              <w:rPr>
                <w:sz w:val="22"/>
                <w:szCs w:val="22"/>
                <w:color w:val="auto"/>
              </w:rPr>
            </w:pPr>
          </w:p>
        </w:tc>
        <w:tc>
          <w:tcPr>
            <w:tcW w:w="540" w:type="dxa"/>
            <w:vAlign w:val="bottom"/>
            <w:tcBorders>
              <w:bottom w:val="single" w:sz="8" w:color="D1D1D1"/>
            </w:tcBorders>
            <w:shd w:val="clear" w:color="auto" w:fill="D1D1D1"/>
          </w:tcPr>
          <w:p>
            <w:pPr>
              <w:spacing w:after="0"/>
              <w:rPr>
                <w:sz w:val="22"/>
                <w:szCs w:val="22"/>
                <w:color w:val="auto"/>
              </w:rPr>
            </w:pPr>
          </w:p>
        </w:tc>
        <w:tc>
          <w:tcPr>
            <w:tcW w:w="380" w:type="dxa"/>
            <w:vAlign w:val="bottom"/>
            <w:tcBorders>
              <w:bottom w:val="single" w:sz="8" w:color="D1D1D1"/>
            </w:tcBorders>
            <w:shd w:val="clear" w:color="auto" w:fill="D1D1D1"/>
          </w:tcPr>
          <w:p>
            <w:pPr>
              <w:spacing w:after="0"/>
              <w:rPr>
                <w:sz w:val="22"/>
                <w:szCs w:val="22"/>
                <w:color w:val="auto"/>
              </w:rPr>
            </w:pPr>
          </w:p>
        </w:tc>
        <w:tc>
          <w:tcPr>
            <w:tcW w:w="1060" w:type="dxa"/>
            <w:vAlign w:val="bottom"/>
            <w:tcBorders>
              <w:bottom w:val="single" w:sz="8" w:color="D1D1D1"/>
            </w:tcBorders>
            <w:shd w:val="clear" w:color="auto" w:fill="D1D1D1"/>
          </w:tcPr>
          <w:p>
            <w:pPr>
              <w:spacing w:after="0"/>
              <w:rPr>
                <w:sz w:val="22"/>
                <w:szCs w:val="22"/>
                <w:color w:val="auto"/>
              </w:rPr>
            </w:pPr>
          </w:p>
        </w:tc>
        <w:tc>
          <w:tcPr>
            <w:tcW w:w="440" w:type="dxa"/>
            <w:vAlign w:val="bottom"/>
            <w:tcBorders>
              <w:bottom w:val="single" w:sz="8" w:color="D1D1D1"/>
            </w:tcBorders>
            <w:shd w:val="clear" w:color="auto" w:fill="D1D1D1"/>
          </w:tcPr>
          <w:p>
            <w:pPr>
              <w:spacing w:after="0"/>
              <w:rPr>
                <w:sz w:val="22"/>
                <w:szCs w:val="22"/>
                <w:color w:val="auto"/>
              </w:rPr>
            </w:pPr>
          </w:p>
        </w:tc>
        <w:tc>
          <w:tcPr>
            <w:tcW w:w="1040" w:type="dxa"/>
            <w:vAlign w:val="bottom"/>
            <w:tcBorders>
              <w:bottom w:val="single" w:sz="8" w:color="D1D1D1"/>
            </w:tcBorders>
            <w:shd w:val="clear" w:color="auto" w:fill="D1D1D1"/>
          </w:tcPr>
          <w:p>
            <w:pPr>
              <w:spacing w:after="0"/>
              <w:rPr>
                <w:sz w:val="22"/>
                <w:szCs w:val="22"/>
                <w:color w:val="auto"/>
              </w:rPr>
            </w:pPr>
          </w:p>
        </w:tc>
      </w:tr>
      <w:tr>
        <w:trPr>
          <w:trHeight w:val="263"/>
        </w:trPr>
        <w:tc>
          <w:tcPr>
            <w:tcW w:w="5140" w:type="dxa"/>
            <w:vAlign w:val="bottom"/>
          </w:tcPr>
          <w:p>
            <w:pPr>
              <w:ind w:left="240"/>
              <w:spacing w:after="0"/>
              <w:rPr>
                <w:sz w:val="20"/>
                <w:szCs w:val="20"/>
                <w:color w:val="auto"/>
              </w:rPr>
            </w:pPr>
            <w:r>
              <w:rPr>
                <w:rFonts w:ascii="Arial" w:cs="Arial" w:eastAsia="Arial" w:hAnsi="Arial"/>
                <w:sz w:val="18"/>
                <w:szCs w:val="18"/>
                <w:color w:val="auto"/>
              </w:rPr>
              <w:t>Forward-starting interest rate swaps</w:t>
            </w:r>
          </w:p>
        </w:tc>
        <w:tc>
          <w:tcPr>
            <w:tcW w:w="2820" w:type="dxa"/>
            <w:vAlign w:val="bottom"/>
          </w:tcPr>
          <w:p>
            <w:pPr>
              <w:spacing w:after="0"/>
              <w:rPr>
                <w:sz w:val="22"/>
                <w:szCs w:val="22"/>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31.6</w:t>
            </w:r>
          </w:p>
        </w:tc>
        <w:tc>
          <w:tcPr>
            <w:tcW w:w="38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13.0</w:t>
            </w:r>
          </w:p>
        </w:tc>
      </w:tr>
      <w:tr>
        <w:trPr>
          <w:trHeight w:val="277"/>
        </w:trPr>
        <w:tc>
          <w:tcPr>
            <w:tcW w:w="51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Cross-currency interest rate swaps</w:t>
            </w:r>
          </w:p>
        </w:tc>
        <w:tc>
          <w:tcPr>
            <w:tcW w:w="2820" w:type="dxa"/>
            <w:vAlign w:val="bottom"/>
            <w:shd w:val="clear" w:color="auto" w:fill="D8D8D8"/>
          </w:tcPr>
          <w:p>
            <w:pPr>
              <w:spacing w:after="0"/>
              <w:rPr>
                <w:sz w:val="24"/>
                <w:szCs w:val="24"/>
                <w:color w:val="auto"/>
              </w:rPr>
            </w:pPr>
          </w:p>
        </w:tc>
        <w:tc>
          <w:tcPr>
            <w:tcW w:w="54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(8.3)</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2020, we expect to reclassify $16.3 million of net losses on cash flow hedges from accumulated other comprehensive loss to other–net, (income) expense. During the year ended December 31, 2019 and 2018, the amounts excluded from the assessment of hedge effectiveness recognized in other comprehensive income (loss) were not material.</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71</w:t>
      </w:r>
    </w:p>
    <w:p>
      <w:pPr>
        <w:sectPr>
          <w:pgSz w:w="11900" w:h="16838" w:orient="portrait"/>
          <w:cols w:equalWidth="0" w:num="1">
            <w:col w:w="11420"/>
          </w:cols>
          <w:pgMar w:left="240" w:top="71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3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following tables summarize certain fair value information at December 31 for assets and liabilities measured at fair value on a recurring basis, as well as the carrying amount and amortized cost of certain other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center"/>
              <w:ind w:left="975"/>
              <w:spacing w:after="0"/>
              <w:rPr>
                <w:sz w:val="20"/>
                <w:szCs w:val="20"/>
                <w:color w:val="auto"/>
              </w:rPr>
            </w:pPr>
            <w:r>
              <w:rPr>
                <w:rFonts w:ascii="Arial" w:cs="Arial" w:eastAsia="Arial" w:hAnsi="Arial"/>
                <w:sz w:val="13"/>
                <w:szCs w:val="13"/>
                <w:b w:val="1"/>
                <w:bCs w:val="1"/>
                <w:color w:val="auto"/>
                <w:w w:val="96"/>
              </w:rPr>
              <w:t>Fair Value Measurements Using</w:t>
            </w:r>
          </w:p>
        </w:tc>
        <w:tc>
          <w:tcPr>
            <w:tcW w:w="11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right="175"/>
              <w:spacing w:after="0" w:line="140" w:lineRule="exact"/>
              <w:rPr>
                <w:sz w:val="20"/>
                <w:szCs w:val="20"/>
                <w:color w:val="auto"/>
              </w:rPr>
            </w:pPr>
            <w:r>
              <w:rPr>
                <w:rFonts w:ascii="Arial" w:cs="Arial" w:eastAsia="Arial" w:hAnsi="Arial"/>
                <w:sz w:val="13"/>
                <w:szCs w:val="13"/>
                <w:b w:val="1"/>
                <w:bCs w:val="1"/>
                <w:color w:val="auto"/>
                <w:w w:val="99"/>
              </w:rPr>
              <w:t>Significant</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1"/>
                <w:szCs w:val="11"/>
                <w:color w:val="auto"/>
              </w:rPr>
            </w:pPr>
          </w:p>
        </w:tc>
        <w:tc>
          <w:tcPr>
            <w:tcW w:w="116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8"/>
              </w:rPr>
              <w:t>Observable</w:t>
            </w:r>
          </w:p>
        </w:tc>
        <w:tc>
          <w:tcPr>
            <w:tcW w:w="300" w:type="dxa"/>
            <w:vAlign w:val="bottom"/>
          </w:tcPr>
          <w:p>
            <w:pPr>
              <w:spacing w:after="0"/>
              <w:rPr>
                <w:sz w:val="11"/>
                <w:szCs w:val="11"/>
                <w:color w:val="auto"/>
              </w:rPr>
            </w:pPr>
          </w:p>
        </w:tc>
        <w:tc>
          <w:tcPr>
            <w:tcW w:w="116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332"/>
              <w:spacing w:after="0" w:line="135"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1"/>
                <w:szCs w:val="11"/>
                <w:color w:val="auto"/>
              </w:rPr>
            </w:pPr>
          </w:p>
        </w:tc>
        <w:tc>
          <w:tcPr>
            <w:tcW w:w="1160" w:type="dxa"/>
            <w:vAlign w:val="bottom"/>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1"/>
                <w:szCs w:val="11"/>
                <w:color w:val="auto"/>
              </w:rPr>
            </w:pPr>
          </w:p>
        </w:tc>
        <w:tc>
          <w:tcPr>
            <w:tcW w:w="880" w:type="dxa"/>
            <w:vAlign w:val="bottom"/>
          </w:tcPr>
          <w:p>
            <w:pPr>
              <w:jc w:val="right"/>
              <w:ind w:right="372"/>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8"/>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8"/>
                <w:szCs w:val="8"/>
                <w:b w:val="1"/>
                <w:bCs w:val="1"/>
                <w:color w:val="auto"/>
              </w:rPr>
              <w:t>(1)</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8"/>
              </w:rPr>
              <w:t>(Level 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94"/>
              </w:rPr>
              <w:t>(Level 2)</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8"/>
              </w:rPr>
              <w:t>(Level 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4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8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1,025.4</w:t>
            </w:r>
          </w:p>
        </w:tc>
        <w:tc>
          <w:tcPr>
            <w:tcW w:w="2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D8D8D8"/>
            </w:tcBorders>
          </w:tcPr>
          <w:p>
            <w:pPr>
              <w:jc w:val="right"/>
              <w:ind w:right="131"/>
              <w:spacing w:after="0"/>
              <w:rPr>
                <w:sz w:val="20"/>
                <w:szCs w:val="20"/>
                <w:color w:val="auto"/>
              </w:rPr>
            </w:pPr>
            <w:r>
              <w:rPr>
                <w:rFonts w:ascii="Arial" w:cs="Arial" w:eastAsia="Arial" w:hAnsi="Arial"/>
                <w:sz w:val="18"/>
                <w:szCs w:val="18"/>
                <w:b w:val="1"/>
                <w:bCs w:val="1"/>
                <w:color w:val="auto"/>
              </w:rPr>
              <w:t>1,025.4</w:t>
            </w:r>
          </w:p>
        </w:tc>
        <w:tc>
          <w:tcPr>
            <w:tcW w:w="140" w:type="dxa"/>
            <w:vAlign w:val="bottom"/>
            <w:tcBorders>
              <w:bottom w:val="single" w:sz="8" w:color="D8D8D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1,025.4</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D8D8D8"/>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D8D8D8"/>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b w:val="1"/>
                <w:bCs w:val="1"/>
                <w:color w:val="auto"/>
              </w:rPr>
              <w:t>1,025.4</w:t>
            </w: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7.2</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7.2</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7.2</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81.4</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81.1</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81.4</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81.4</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2.6</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2.6</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9.8</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9.8</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9.8</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101.0</w:t>
            </w:r>
          </w:p>
        </w:tc>
        <w:tc>
          <w:tcPr>
            <w:tcW w:w="240" w:type="dxa"/>
            <w:vAlign w:val="bottom"/>
            <w:tcBorders>
              <w:bottom w:val="single" w:sz="8" w:color="D8D8D8"/>
            </w:tcBorders>
          </w:tcPr>
          <w:p>
            <w:pPr>
              <w:spacing w:after="0"/>
              <w:rPr>
                <w:sz w:val="24"/>
                <w:szCs w:val="24"/>
                <w:color w:val="auto"/>
              </w:rPr>
            </w:pPr>
          </w:p>
        </w:tc>
        <w:tc>
          <w:tcPr>
            <w:tcW w:w="1020" w:type="dxa"/>
            <w:vAlign w:val="bottom"/>
            <w:tcBorders>
              <w:bottom w:val="single" w:sz="8" w:color="D8D8D8"/>
            </w:tcBorders>
          </w:tcPr>
          <w:p>
            <w:pPr>
              <w:spacing w:after="0"/>
              <w:rPr>
                <w:sz w:val="24"/>
                <w:szCs w:val="24"/>
                <w:color w:val="auto"/>
              </w:rPr>
            </w:pPr>
          </w:p>
        </w:tc>
        <w:tc>
          <w:tcPr>
            <w:tcW w:w="140" w:type="dxa"/>
            <w:vAlign w:val="bottom"/>
            <w:tcBorders>
              <w:bottom w:val="single" w:sz="8" w:color="D8D8D8"/>
            </w:tcBorders>
          </w:tcPr>
          <w:p>
            <w:pPr>
              <w:spacing w:after="0"/>
              <w:rPr>
                <w:sz w:val="24"/>
                <w:szCs w:val="24"/>
                <w:color w:val="auto"/>
              </w:rPr>
            </w:pPr>
          </w:p>
        </w:tc>
        <w:tc>
          <w:tcPr>
            <w:tcW w:w="1240" w:type="dxa"/>
            <w:vAlign w:val="bottom"/>
            <w:tcBorders>
              <w:bottom w:val="single" w:sz="8" w:color="D8D8D8"/>
            </w:tcBorders>
          </w:tcPr>
          <w:p>
            <w:pPr>
              <w:spacing w:after="0"/>
              <w:rPr>
                <w:sz w:val="24"/>
                <w:szCs w:val="24"/>
                <w:color w:val="auto"/>
              </w:rPr>
            </w:pPr>
          </w:p>
        </w:tc>
        <w:tc>
          <w:tcPr>
            <w:tcW w:w="34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0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80" w:type="dxa"/>
            <w:vAlign w:val="bottom"/>
            <w:tcBorders>
              <w:bottom w:val="single" w:sz="8" w:color="D8D8D8"/>
            </w:tcBorders>
          </w:tcPr>
          <w:p>
            <w:pPr>
              <w:spacing w:after="0"/>
              <w:rPr>
                <w:sz w:val="24"/>
                <w:szCs w:val="24"/>
                <w:color w:val="auto"/>
              </w:rPr>
            </w:pPr>
          </w:p>
        </w:tc>
        <w:tc>
          <w:tcPr>
            <w:tcW w:w="880" w:type="dxa"/>
            <w:vAlign w:val="bottom"/>
            <w:tcBorders>
              <w:bottom w:val="single" w:sz="8" w:color="D8D8D8"/>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77.2</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76.3</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77.2</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77.2</w:t>
            </w: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271.1</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267.8</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271.1</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271.1</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101.1</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99.6</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101.1</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101.1</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30.0</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29.6</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30.0</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60.0</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27.4</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60.0</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718.6</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254.4</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718.6</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718.6</w:t>
            </w:r>
          </w:p>
        </w:tc>
        <w:tc>
          <w:tcPr>
            <w:tcW w:w="0" w:type="dxa"/>
            <w:vAlign w:val="bottom"/>
          </w:tcPr>
          <w:p>
            <w:pPr>
              <w:spacing w:after="0"/>
              <w:rPr>
                <w:sz w:val="1"/>
                <w:szCs w:val="1"/>
                <w:color w:val="auto"/>
              </w:rPr>
            </w:pPr>
          </w:p>
        </w:tc>
      </w:tr>
      <w:tr>
        <w:trPr>
          <w:trHeight w:val="226"/>
        </w:trPr>
        <w:tc>
          <w:tcPr>
            <w:tcW w:w="3300" w:type="dxa"/>
            <w:vAlign w:val="bottom"/>
          </w:tcPr>
          <w:p>
            <w:pPr>
              <w:ind w:left="180"/>
              <w:spacing w:after="0"/>
              <w:rPr>
                <w:sz w:val="20"/>
                <w:szCs w:val="20"/>
                <w:color w:val="auto"/>
              </w:rPr>
            </w:pPr>
            <w:r>
              <w:rPr>
                <w:rFonts w:ascii="Arial" w:cs="Arial" w:eastAsia="Arial" w:hAnsi="Arial"/>
                <w:sz w:val="18"/>
                <w:szCs w:val="18"/>
                <w:color w:val="auto"/>
              </w:rPr>
              <w:t>Equity investments without readily</w:t>
            </w:r>
          </w:p>
        </w:tc>
        <w:tc>
          <w:tcPr>
            <w:tcW w:w="220" w:type="dxa"/>
            <w:vAlign w:val="bottom"/>
          </w:tcPr>
          <w:p>
            <w:pPr>
              <w:spacing w:after="0"/>
              <w:rPr>
                <w:sz w:val="19"/>
                <w:szCs w:val="19"/>
                <w:color w:val="auto"/>
              </w:rPr>
            </w:pP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405.0</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340"/>
              <w:spacing w:after="0" w:line="233" w:lineRule="exact"/>
              <w:rPr>
                <w:sz w:val="20"/>
                <w:szCs w:val="20"/>
                <w:color w:val="auto"/>
              </w:rPr>
            </w:pPr>
            <w:r>
              <w:rPr>
                <w:rFonts w:ascii="Arial" w:cs="Arial" w:eastAsia="Arial" w:hAnsi="Arial"/>
                <w:sz w:val="18"/>
                <w:szCs w:val="18"/>
                <w:color w:val="auto"/>
              </w:rPr>
              <w:t>determinable fair values</w:t>
            </w:r>
            <w:r>
              <w:rPr>
                <w:rFonts w:ascii="Arial" w:cs="Arial" w:eastAsia="Arial" w:hAnsi="Arial"/>
                <w:sz w:val="21"/>
                <w:szCs w:val="21"/>
                <w:color w:val="auto"/>
                <w:vertAlign w:val="superscript"/>
              </w:rPr>
              <w:t>(2)</w:t>
            </w: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D1D1D1"/>
          </w:tcPr>
          <w:p>
            <w:pPr>
              <w:spacing w:after="0"/>
              <w:rPr>
                <w:sz w:val="23"/>
                <w:szCs w:val="23"/>
                <w:color w:val="auto"/>
              </w:rPr>
            </w:pPr>
          </w:p>
        </w:tc>
        <w:tc>
          <w:tcPr>
            <w:tcW w:w="1040" w:type="dxa"/>
            <w:vAlign w:val="bottom"/>
            <w:tcBorders>
              <w:bottom w:val="single" w:sz="8" w:color="auto"/>
            </w:tcBorders>
            <w:shd w:val="clear" w:color="auto" w:fill="D1D1D1"/>
          </w:tcPr>
          <w:p>
            <w:pPr>
              <w:jc w:val="right"/>
              <w:ind w:right="132"/>
              <w:spacing w:after="0"/>
              <w:rPr>
                <w:sz w:val="20"/>
                <w:szCs w:val="20"/>
                <w:color w:val="auto"/>
              </w:rPr>
            </w:pPr>
            <w:r>
              <w:rPr>
                <w:rFonts w:ascii="Arial" w:cs="Arial" w:eastAsia="Arial" w:hAnsi="Arial"/>
                <w:sz w:val="18"/>
                <w:szCs w:val="18"/>
                <w:b w:val="1"/>
                <w:bCs w:val="1"/>
                <w:color w:val="auto"/>
              </w:rPr>
              <w:t>299.4</w:t>
            </w:r>
          </w:p>
        </w:tc>
        <w:tc>
          <w:tcPr>
            <w:tcW w:w="240" w:type="dxa"/>
            <w:vAlign w:val="bottom"/>
            <w:shd w:val="clear" w:color="auto" w:fill="D1D1D1"/>
          </w:tcPr>
          <w:p>
            <w:pPr>
              <w:spacing w:after="0"/>
              <w:rPr>
                <w:sz w:val="23"/>
                <w:szCs w:val="23"/>
                <w:color w:val="auto"/>
              </w:rPr>
            </w:pPr>
          </w:p>
        </w:tc>
        <w:tc>
          <w:tcPr>
            <w:tcW w:w="1020" w:type="dxa"/>
            <w:vAlign w:val="bottom"/>
            <w:shd w:val="clear" w:color="auto" w:fill="D1D1D1"/>
          </w:tcPr>
          <w:p>
            <w:pPr>
              <w:spacing w:after="0"/>
              <w:rPr>
                <w:sz w:val="23"/>
                <w:szCs w:val="23"/>
                <w:color w:val="auto"/>
              </w:rPr>
            </w:pPr>
          </w:p>
        </w:tc>
        <w:tc>
          <w:tcPr>
            <w:tcW w:w="140" w:type="dxa"/>
            <w:vAlign w:val="bottom"/>
            <w:shd w:val="clear" w:color="auto" w:fill="D1D1D1"/>
          </w:tcPr>
          <w:p>
            <w:pPr>
              <w:spacing w:after="0"/>
              <w:rPr>
                <w:sz w:val="23"/>
                <w:szCs w:val="23"/>
                <w:color w:val="auto"/>
              </w:rPr>
            </w:pPr>
          </w:p>
        </w:tc>
        <w:tc>
          <w:tcPr>
            <w:tcW w:w="1240" w:type="dxa"/>
            <w:vAlign w:val="bottom"/>
            <w:shd w:val="clear" w:color="auto" w:fill="D1D1D1"/>
          </w:tcPr>
          <w:p>
            <w:pPr>
              <w:spacing w:after="0"/>
              <w:rPr>
                <w:sz w:val="23"/>
                <w:szCs w:val="23"/>
                <w:color w:val="auto"/>
              </w:rPr>
            </w:pPr>
          </w:p>
        </w:tc>
        <w:tc>
          <w:tcPr>
            <w:tcW w:w="340" w:type="dxa"/>
            <w:vAlign w:val="bottom"/>
            <w:shd w:val="clear" w:color="auto" w:fill="D1D1D1"/>
          </w:tcPr>
          <w:p>
            <w:pPr>
              <w:spacing w:after="0"/>
              <w:rPr>
                <w:sz w:val="23"/>
                <w:szCs w:val="23"/>
                <w:color w:val="auto"/>
              </w:rPr>
            </w:pPr>
          </w:p>
        </w:tc>
        <w:tc>
          <w:tcPr>
            <w:tcW w:w="1160" w:type="dxa"/>
            <w:vAlign w:val="bottom"/>
            <w:shd w:val="clear" w:color="auto" w:fill="D1D1D1"/>
          </w:tcPr>
          <w:p>
            <w:pPr>
              <w:spacing w:after="0"/>
              <w:rPr>
                <w:sz w:val="23"/>
                <w:szCs w:val="23"/>
                <w:color w:val="auto"/>
              </w:rPr>
            </w:pPr>
          </w:p>
        </w:tc>
        <w:tc>
          <w:tcPr>
            <w:tcW w:w="300" w:type="dxa"/>
            <w:vAlign w:val="bottom"/>
            <w:shd w:val="clear" w:color="auto" w:fill="D1D1D1"/>
          </w:tcPr>
          <w:p>
            <w:pPr>
              <w:spacing w:after="0"/>
              <w:rPr>
                <w:sz w:val="23"/>
                <w:szCs w:val="23"/>
                <w:color w:val="auto"/>
              </w:rPr>
            </w:pPr>
          </w:p>
        </w:tc>
        <w:tc>
          <w:tcPr>
            <w:tcW w:w="1160" w:type="dxa"/>
            <w:vAlign w:val="bottom"/>
            <w:shd w:val="clear" w:color="auto" w:fill="D1D1D1"/>
          </w:tcPr>
          <w:p>
            <w:pPr>
              <w:spacing w:after="0"/>
              <w:rPr>
                <w:sz w:val="23"/>
                <w:szCs w:val="23"/>
                <w:color w:val="auto"/>
              </w:rPr>
            </w:pPr>
          </w:p>
        </w:tc>
        <w:tc>
          <w:tcPr>
            <w:tcW w:w="380" w:type="dxa"/>
            <w:vAlign w:val="bottom"/>
            <w:shd w:val="clear" w:color="auto" w:fill="D1D1D1"/>
          </w:tcPr>
          <w:p>
            <w:pPr>
              <w:spacing w:after="0"/>
              <w:rPr>
                <w:sz w:val="23"/>
                <w:szCs w:val="23"/>
                <w:color w:val="auto"/>
              </w:rPr>
            </w:pPr>
          </w:p>
        </w:tc>
        <w:tc>
          <w:tcPr>
            <w:tcW w:w="880" w:type="dxa"/>
            <w:vAlign w:val="bottom"/>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1D1D1"/>
            </w:tcBorders>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1,962.4</w:t>
            </w:r>
          </w:p>
        </w:tc>
        <w:tc>
          <w:tcPr>
            <w:tcW w:w="240" w:type="dxa"/>
            <w:vAlign w:val="bottom"/>
            <w:tcBorders>
              <w:bottom w:val="single" w:sz="8" w:color="D1D1D1"/>
            </w:tcBorders>
          </w:tcPr>
          <w:p>
            <w:pPr>
              <w:spacing w:after="0"/>
              <w:rPr>
                <w:sz w:val="24"/>
                <w:szCs w:val="24"/>
                <w:color w:val="auto"/>
              </w:rPr>
            </w:pPr>
          </w:p>
        </w:tc>
        <w:tc>
          <w:tcPr>
            <w:tcW w:w="1020" w:type="dxa"/>
            <w:vAlign w:val="bottom"/>
            <w:tcBorders>
              <w:bottom w:val="single" w:sz="8" w:color="D1D1D1"/>
            </w:tcBorders>
          </w:tcPr>
          <w:p>
            <w:pPr>
              <w:spacing w:after="0"/>
              <w:rPr>
                <w:sz w:val="24"/>
                <w:szCs w:val="24"/>
                <w:color w:val="auto"/>
              </w:rPr>
            </w:pPr>
          </w:p>
        </w:tc>
        <w:tc>
          <w:tcPr>
            <w:tcW w:w="140" w:type="dxa"/>
            <w:vAlign w:val="bottom"/>
            <w:tcBorders>
              <w:bottom w:val="single" w:sz="8" w:color="D1D1D1"/>
            </w:tcBorders>
          </w:tcPr>
          <w:p>
            <w:pPr>
              <w:spacing w:after="0"/>
              <w:rPr>
                <w:sz w:val="24"/>
                <w:szCs w:val="24"/>
                <w:color w:val="auto"/>
              </w:rPr>
            </w:pPr>
          </w:p>
        </w:tc>
        <w:tc>
          <w:tcPr>
            <w:tcW w:w="1240" w:type="dxa"/>
            <w:vAlign w:val="bottom"/>
            <w:tcBorders>
              <w:bottom w:val="single" w:sz="8" w:color="D1D1D1"/>
            </w:tcBorders>
          </w:tcPr>
          <w:p>
            <w:pPr>
              <w:spacing w:after="0"/>
              <w:rPr>
                <w:sz w:val="24"/>
                <w:szCs w:val="24"/>
                <w:color w:val="auto"/>
              </w:rPr>
            </w:pPr>
          </w:p>
        </w:tc>
        <w:tc>
          <w:tcPr>
            <w:tcW w:w="340" w:type="dxa"/>
            <w:vAlign w:val="bottom"/>
            <w:tcBorders>
              <w:bottom w:val="single" w:sz="8" w:color="D1D1D1"/>
            </w:tcBorders>
          </w:tcPr>
          <w:p>
            <w:pPr>
              <w:spacing w:after="0"/>
              <w:rPr>
                <w:sz w:val="24"/>
                <w:szCs w:val="24"/>
                <w:color w:val="auto"/>
              </w:rPr>
            </w:pPr>
          </w:p>
        </w:tc>
        <w:tc>
          <w:tcPr>
            <w:tcW w:w="1160" w:type="dxa"/>
            <w:vAlign w:val="bottom"/>
            <w:tcBorders>
              <w:bottom w:val="single" w:sz="8" w:color="D1D1D1"/>
            </w:tcBorders>
          </w:tcPr>
          <w:p>
            <w:pPr>
              <w:spacing w:after="0"/>
              <w:rPr>
                <w:sz w:val="24"/>
                <w:szCs w:val="24"/>
                <w:color w:val="auto"/>
              </w:rPr>
            </w:pPr>
          </w:p>
        </w:tc>
        <w:tc>
          <w:tcPr>
            <w:tcW w:w="300" w:type="dxa"/>
            <w:vAlign w:val="bottom"/>
            <w:tcBorders>
              <w:bottom w:val="single" w:sz="8" w:color="D1D1D1"/>
            </w:tcBorders>
          </w:tcPr>
          <w:p>
            <w:pPr>
              <w:spacing w:after="0"/>
              <w:rPr>
                <w:sz w:val="24"/>
                <w:szCs w:val="24"/>
                <w:color w:val="auto"/>
              </w:rPr>
            </w:pPr>
          </w:p>
        </w:tc>
        <w:tc>
          <w:tcPr>
            <w:tcW w:w="1160" w:type="dxa"/>
            <w:vAlign w:val="bottom"/>
            <w:tcBorders>
              <w:bottom w:val="single" w:sz="8" w:color="D1D1D1"/>
            </w:tcBorders>
          </w:tcPr>
          <w:p>
            <w:pPr>
              <w:spacing w:after="0"/>
              <w:rPr>
                <w:sz w:val="24"/>
                <w:szCs w:val="24"/>
                <w:color w:val="auto"/>
              </w:rPr>
            </w:pPr>
          </w:p>
        </w:tc>
        <w:tc>
          <w:tcPr>
            <w:tcW w:w="380" w:type="dxa"/>
            <w:vAlign w:val="bottom"/>
            <w:tcBorders>
              <w:bottom w:val="single" w:sz="8" w:color="D1D1D1"/>
            </w:tcBorders>
          </w:tcPr>
          <w:p>
            <w:pPr>
              <w:spacing w:after="0"/>
              <w:rPr>
                <w:sz w:val="24"/>
                <w:szCs w:val="24"/>
                <w:color w:val="auto"/>
              </w:rPr>
            </w:pPr>
          </w:p>
        </w:tc>
        <w:tc>
          <w:tcPr>
            <w:tcW w:w="880" w:type="dxa"/>
            <w:vAlign w:val="bottom"/>
            <w:tcBorders>
              <w:bottom w:val="single" w:sz="8" w:color="D1D1D1"/>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00" w:type="dxa"/>
            <w:vAlign w:val="bottom"/>
            <w:shd w:val="clear" w:color="auto" w:fill="D1D1D1"/>
          </w:tcPr>
          <w:p>
            <w:pPr>
              <w:spacing w:after="0"/>
              <w:rPr>
                <w:sz w:val="10"/>
                <w:szCs w:val="10"/>
                <w:color w:val="auto"/>
              </w:rPr>
            </w:pPr>
          </w:p>
        </w:tc>
        <w:tc>
          <w:tcPr>
            <w:tcW w:w="220" w:type="dxa"/>
            <w:vAlign w:val="bottom"/>
            <w:shd w:val="clear" w:color="auto" w:fill="D1D1D1"/>
          </w:tcPr>
          <w:p>
            <w:pPr>
              <w:spacing w:after="0"/>
              <w:rPr>
                <w:sz w:val="10"/>
                <w:szCs w:val="10"/>
                <w:color w:val="auto"/>
              </w:rPr>
            </w:pPr>
          </w:p>
        </w:tc>
        <w:tc>
          <w:tcPr>
            <w:tcW w:w="1040" w:type="dxa"/>
            <w:vAlign w:val="bottom"/>
            <w:shd w:val="clear" w:color="auto" w:fill="D1D1D1"/>
          </w:tcPr>
          <w:p>
            <w:pPr>
              <w:spacing w:after="0"/>
              <w:rPr>
                <w:sz w:val="10"/>
                <w:szCs w:val="10"/>
                <w:color w:val="auto"/>
              </w:rPr>
            </w:pPr>
          </w:p>
        </w:tc>
        <w:tc>
          <w:tcPr>
            <w:tcW w:w="240" w:type="dxa"/>
            <w:vAlign w:val="bottom"/>
            <w:shd w:val="clear" w:color="auto" w:fill="D1D1D1"/>
          </w:tcPr>
          <w:p>
            <w:pPr>
              <w:spacing w:after="0"/>
              <w:rPr>
                <w:sz w:val="10"/>
                <w:szCs w:val="10"/>
                <w:color w:val="auto"/>
              </w:rPr>
            </w:pPr>
          </w:p>
        </w:tc>
        <w:tc>
          <w:tcPr>
            <w:tcW w:w="1020" w:type="dxa"/>
            <w:vAlign w:val="bottom"/>
            <w:shd w:val="clear" w:color="auto" w:fill="D1D1D1"/>
          </w:tcPr>
          <w:p>
            <w:pPr>
              <w:spacing w:after="0"/>
              <w:rPr>
                <w:sz w:val="10"/>
                <w:szCs w:val="10"/>
                <w:color w:val="auto"/>
              </w:rPr>
            </w:pPr>
          </w:p>
        </w:tc>
        <w:tc>
          <w:tcPr>
            <w:tcW w:w="140" w:type="dxa"/>
            <w:vAlign w:val="bottom"/>
            <w:shd w:val="clear" w:color="auto" w:fill="D1D1D1"/>
          </w:tcPr>
          <w:p>
            <w:pPr>
              <w:spacing w:after="0"/>
              <w:rPr>
                <w:sz w:val="10"/>
                <w:szCs w:val="10"/>
                <w:color w:val="auto"/>
              </w:rPr>
            </w:pPr>
          </w:p>
        </w:tc>
        <w:tc>
          <w:tcPr>
            <w:tcW w:w="1240" w:type="dxa"/>
            <w:vAlign w:val="bottom"/>
            <w:shd w:val="clear" w:color="auto" w:fill="D1D1D1"/>
          </w:tcPr>
          <w:p>
            <w:pPr>
              <w:spacing w:after="0"/>
              <w:rPr>
                <w:sz w:val="10"/>
                <w:szCs w:val="10"/>
                <w:color w:val="auto"/>
              </w:rPr>
            </w:pPr>
          </w:p>
        </w:tc>
        <w:tc>
          <w:tcPr>
            <w:tcW w:w="340" w:type="dxa"/>
            <w:vAlign w:val="bottom"/>
            <w:shd w:val="clear" w:color="auto" w:fill="D1D1D1"/>
          </w:tcPr>
          <w:p>
            <w:pPr>
              <w:spacing w:after="0"/>
              <w:rPr>
                <w:sz w:val="10"/>
                <w:szCs w:val="10"/>
                <w:color w:val="auto"/>
              </w:rPr>
            </w:pPr>
          </w:p>
        </w:tc>
        <w:tc>
          <w:tcPr>
            <w:tcW w:w="1160" w:type="dxa"/>
            <w:vAlign w:val="bottom"/>
            <w:shd w:val="clear" w:color="auto" w:fill="D1D1D1"/>
          </w:tcPr>
          <w:p>
            <w:pPr>
              <w:spacing w:after="0"/>
              <w:rPr>
                <w:sz w:val="10"/>
                <w:szCs w:val="10"/>
                <w:color w:val="auto"/>
              </w:rPr>
            </w:pPr>
          </w:p>
        </w:tc>
        <w:tc>
          <w:tcPr>
            <w:tcW w:w="300" w:type="dxa"/>
            <w:vAlign w:val="bottom"/>
            <w:shd w:val="clear" w:color="auto" w:fill="D1D1D1"/>
          </w:tcPr>
          <w:p>
            <w:pPr>
              <w:spacing w:after="0"/>
              <w:rPr>
                <w:sz w:val="10"/>
                <w:szCs w:val="10"/>
                <w:color w:val="auto"/>
              </w:rPr>
            </w:pPr>
          </w:p>
        </w:tc>
        <w:tc>
          <w:tcPr>
            <w:tcW w:w="1160" w:type="dxa"/>
            <w:vAlign w:val="bottom"/>
            <w:shd w:val="clear" w:color="auto" w:fill="D1D1D1"/>
          </w:tcPr>
          <w:p>
            <w:pPr>
              <w:spacing w:after="0"/>
              <w:rPr>
                <w:sz w:val="10"/>
                <w:szCs w:val="10"/>
                <w:color w:val="auto"/>
              </w:rPr>
            </w:pPr>
          </w:p>
        </w:tc>
        <w:tc>
          <w:tcPr>
            <w:tcW w:w="380" w:type="dxa"/>
            <w:vAlign w:val="bottom"/>
            <w:shd w:val="clear" w:color="auto" w:fill="D1D1D1"/>
          </w:tcPr>
          <w:p>
            <w:pPr>
              <w:spacing w:after="0"/>
              <w:rPr>
                <w:sz w:val="10"/>
                <w:szCs w:val="10"/>
                <w:color w:val="auto"/>
              </w:rPr>
            </w:pPr>
          </w:p>
        </w:tc>
        <w:tc>
          <w:tcPr>
            <w:tcW w:w="880" w:type="dxa"/>
            <w:vAlign w:val="bottom"/>
            <w:shd w:val="clear" w:color="auto" w:fill="D1D1D1"/>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30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1D1"/>
          </w:tcPr>
          <w:p>
            <w:pPr>
              <w:jc w:val="right"/>
              <w:ind w:right="132"/>
              <w:spacing w:after="0"/>
              <w:rPr>
                <w:sz w:val="20"/>
                <w:szCs w:val="20"/>
                <w:color w:val="auto"/>
              </w:rPr>
            </w:pPr>
            <w:r>
              <w:rPr>
                <w:rFonts w:ascii="Arial" w:cs="Arial" w:eastAsia="Arial" w:hAnsi="Arial"/>
                <w:sz w:val="18"/>
                <w:szCs w:val="18"/>
                <w:color w:val="auto"/>
              </w:rPr>
              <w:t>5,727.1</w:t>
            </w:r>
          </w:p>
        </w:tc>
        <w:tc>
          <w:tcPr>
            <w:tcW w:w="240" w:type="dxa"/>
            <w:vAlign w:val="bottom"/>
            <w:tcBorders>
              <w:bottom w:val="single" w:sz="8" w:color="D1D1D1"/>
            </w:tcBorders>
            <w:shd w:val="clear" w:color="auto" w:fill="D1D1D1"/>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D1D1D1"/>
            </w:tcBorders>
            <w:shd w:val="clear" w:color="auto" w:fill="D1D1D1"/>
          </w:tcPr>
          <w:p>
            <w:pPr>
              <w:jc w:val="right"/>
              <w:ind w:right="131"/>
              <w:spacing w:after="0"/>
              <w:rPr>
                <w:sz w:val="20"/>
                <w:szCs w:val="20"/>
                <w:color w:val="auto"/>
              </w:rPr>
            </w:pPr>
            <w:r>
              <w:rPr>
                <w:rFonts w:ascii="Arial" w:cs="Arial" w:eastAsia="Arial" w:hAnsi="Arial"/>
                <w:sz w:val="18"/>
                <w:szCs w:val="18"/>
                <w:color w:val="auto"/>
              </w:rPr>
              <w:t>5,727.1</w:t>
            </w:r>
          </w:p>
        </w:tc>
        <w:tc>
          <w:tcPr>
            <w:tcW w:w="1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1D1D1"/>
            </w:tcBorders>
            <w:shd w:val="clear" w:color="auto" w:fill="D1D1D1"/>
          </w:tcPr>
          <w:p>
            <w:pPr>
              <w:jc w:val="right"/>
              <w:ind w:right="35"/>
              <w:spacing w:after="0"/>
              <w:rPr>
                <w:sz w:val="20"/>
                <w:szCs w:val="20"/>
                <w:color w:val="auto"/>
              </w:rPr>
            </w:pPr>
            <w:r>
              <w:rPr>
                <w:rFonts w:ascii="Arial" w:cs="Arial" w:eastAsia="Arial" w:hAnsi="Arial"/>
                <w:sz w:val="18"/>
                <w:szCs w:val="18"/>
                <w:color w:val="auto"/>
              </w:rPr>
              <w:t>5,727.1</w:t>
            </w:r>
          </w:p>
        </w:tc>
        <w:tc>
          <w:tcPr>
            <w:tcW w:w="340" w:type="dxa"/>
            <w:vAlign w:val="bottom"/>
            <w:tcBorders>
              <w:bottom w:val="single" w:sz="8" w:color="D1D1D1"/>
            </w:tcBorders>
            <w:shd w:val="clear" w:color="auto" w:fill="D1D1D1"/>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1D1D1"/>
            </w:tcBorders>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1D1D1"/>
            </w:tcBorders>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1D1D1"/>
            </w:tcBorders>
            <w:shd w:val="clear" w:color="auto" w:fill="D1D1D1"/>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1D1D1"/>
            </w:tcBorders>
            <w:shd w:val="clear" w:color="auto" w:fill="D1D1D1"/>
          </w:tcPr>
          <w:p>
            <w:pPr>
              <w:jc w:val="right"/>
              <w:ind w:right="12"/>
              <w:spacing w:after="0"/>
              <w:rPr>
                <w:sz w:val="20"/>
                <w:szCs w:val="20"/>
                <w:color w:val="auto"/>
              </w:rPr>
            </w:pPr>
            <w:r>
              <w:rPr>
                <w:rFonts w:ascii="Arial" w:cs="Arial" w:eastAsia="Arial" w:hAnsi="Arial"/>
                <w:sz w:val="18"/>
                <w:szCs w:val="18"/>
                <w:color w:val="auto"/>
              </w:rPr>
              <w:t>5,727.1</w:t>
            </w:r>
          </w:p>
        </w:tc>
        <w:tc>
          <w:tcPr>
            <w:tcW w:w="0" w:type="dxa"/>
            <w:vAlign w:val="bottom"/>
          </w:tcPr>
          <w:p>
            <w:pPr>
              <w:spacing w:after="0"/>
              <w:rPr>
                <w:sz w:val="1"/>
                <w:szCs w:val="1"/>
                <w:color w:val="auto"/>
              </w:rPr>
            </w:pPr>
          </w:p>
        </w:tc>
      </w:tr>
      <w:tr>
        <w:trPr>
          <w:trHeight w:val="250"/>
        </w:trPr>
        <w:tc>
          <w:tcPr>
            <w:tcW w:w="330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D1D1D1"/>
          </w:tcPr>
          <w:p>
            <w:pPr>
              <w:spacing w:after="0"/>
              <w:rPr>
                <w:sz w:val="20"/>
                <w:szCs w:val="20"/>
                <w:color w:val="auto"/>
              </w:rPr>
            </w:pPr>
          </w:p>
        </w:tc>
        <w:tc>
          <w:tcPr>
            <w:tcW w:w="1040" w:type="dxa"/>
            <w:vAlign w:val="bottom"/>
            <w:shd w:val="clear" w:color="auto" w:fill="D1D1D1"/>
          </w:tcPr>
          <w:p>
            <w:pPr>
              <w:spacing w:after="0"/>
              <w:rPr>
                <w:sz w:val="20"/>
                <w:szCs w:val="20"/>
                <w:color w:val="auto"/>
              </w:rPr>
            </w:pPr>
          </w:p>
        </w:tc>
        <w:tc>
          <w:tcPr>
            <w:tcW w:w="240" w:type="dxa"/>
            <w:vAlign w:val="bottom"/>
            <w:shd w:val="clear" w:color="auto" w:fill="D1D1D1"/>
          </w:tcPr>
          <w:p>
            <w:pPr>
              <w:spacing w:after="0"/>
              <w:rPr>
                <w:sz w:val="20"/>
                <w:szCs w:val="20"/>
                <w:color w:val="auto"/>
              </w:rPr>
            </w:pPr>
          </w:p>
        </w:tc>
        <w:tc>
          <w:tcPr>
            <w:tcW w:w="1020" w:type="dxa"/>
            <w:vAlign w:val="bottom"/>
            <w:shd w:val="clear" w:color="auto" w:fill="D1D1D1"/>
          </w:tcPr>
          <w:p>
            <w:pPr>
              <w:spacing w:after="0"/>
              <w:rPr>
                <w:sz w:val="20"/>
                <w:szCs w:val="20"/>
                <w:color w:val="auto"/>
              </w:rPr>
            </w:pPr>
          </w:p>
        </w:tc>
        <w:tc>
          <w:tcPr>
            <w:tcW w:w="140" w:type="dxa"/>
            <w:vAlign w:val="bottom"/>
            <w:shd w:val="clear" w:color="auto" w:fill="D1D1D1"/>
          </w:tcPr>
          <w:p>
            <w:pPr>
              <w:spacing w:after="0"/>
              <w:rPr>
                <w:sz w:val="20"/>
                <w:szCs w:val="20"/>
                <w:color w:val="auto"/>
              </w:rPr>
            </w:pPr>
          </w:p>
        </w:tc>
        <w:tc>
          <w:tcPr>
            <w:tcW w:w="1240" w:type="dxa"/>
            <w:vAlign w:val="bottom"/>
            <w:shd w:val="clear" w:color="auto" w:fill="D1D1D1"/>
          </w:tcPr>
          <w:p>
            <w:pPr>
              <w:spacing w:after="0"/>
              <w:rPr>
                <w:sz w:val="20"/>
                <w:szCs w:val="20"/>
                <w:color w:val="auto"/>
              </w:rPr>
            </w:pPr>
          </w:p>
        </w:tc>
        <w:tc>
          <w:tcPr>
            <w:tcW w:w="340" w:type="dxa"/>
            <w:vAlign w:val="bottom"/>
            <w:shd w:val="clear" w:color="auto" w:fill="D1D1D1"/>
          </w:tcPr>
          <w:p>
            <w:pPr>
              <w:spacing w:after="0"/>
              <w:rPr>
                <w:sz w:val="20"/>
                <w:szCs w:val="20"/>
                <w:color w:val="auto"/>
              </w:rPr>
            </w:pPr>
          </w:p>
        </w:tc>
        <w:tc>
          <w:tcPr>
            <w:tcW w:w="1160" w:type="dxa"/>
            <w:vAlign w:val="bottom"/>
            <w:shd w:val="clear" w:color="auto" w:fill="D1D1D1"/>
          </w:tcPr>
          <w:p>
            <w:pPr>
              <w:spacing w:after="0"/>
              <w:rPr>
                <w:sz w:val="20"/>
                <w:szCs w:val="20"/>
                <w:color w:val="auto"/>
              </w:rPr>
            </w:pPr>
          </w:p>
        </w:tc>
        <w:tc>
          <w:tcPr>
            <w:tcW w:w="300" w:type="dxa"/>
            <w:vAlign w:val="bottom"/>
            <w:shd w:val="clear" w:color="auto" w:fill="D1D1D1"/>
          </w:tcPr>
          <w:p>
            <w:pPr>
              <w:spacing w:after="0"/>
              <w:rPr>
                <w:sz w:val="20"/>
                <w:szCs w:val="20"/>
                <w:color w:val="auto"/>
              </w:rPr>
            </w:pPr>
          </w:p>
        </w:tc>
        <w:tc>
          <w:tcPr>
            <w:tcW w:w="1160" w:type="dxa"/>
            <w:vAlign w:val="bottom"/>
            <w:shd w:val="clear" w:color="auto" w:fill="D1D1D1"/>
          </w:tcPr>
          <w:p>
            <w:pPr>
              <w:spacing w:after="0"/>
              <w:rPr>
                <w:sz w:val="20"/>
                <w:szCs w:val="20"/>
                <w:color w:val="auto"/>
              </w:rPr>
            </w:pPr>
          </w:p>
        </w:tc>
        <w:tc>
          <w:tcPr>
            <w:tcW w:w="380" w:type="dxa"/>
            <w:vAlign w:val="bottom"/>
            <w:shd w:val="clear" w:color="auto" w:fill="D1D1D1"/>
          </w:tcPr>
          <w:p>
            <w:pPr>
              <w:spacing w:after="0"/>
              <w:rPr>
                <w:sz w:val="20"/>
                <w:szCs w:val="20"/>
                <w:color w:val="auto"/>
              </w:rPr>
            </w:pPr>
          </w:p>
        </w:tc>
        <w:tc>
          <w:tcPr>
            <w:tcW w:w="880" w:type="dxa"/>
            <w:vAlign w:val="bottom"/>
            <w:shd w:val="clear" w:color="auto" w:fill="D1D1D1"/>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D1D1D1"/>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D1D1D1"/>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D1D1D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D1D1D1"/>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1D1"/>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62.2</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7"/>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1D1D1"/>
          </w:tcPr>
          <w:p>
            <w:pPr>
              <w:spacing w:after="0"/>
              <w:rPr>
                <w:sz w:val="24"/>
                <w:szCs w:val="24"/>
                <w:color w:val="auto"/>
              </w:rPr>
            </w:pP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7.6</w:t>
            </w:r>
          </w:p>
        </w:tc>
        <w:tc>
          <w:tcPr>
            <w:tcW w:w="240" w:type="dxa"/>
            <w:vAlign w:val="bottom"/>
            <w:shd w:val="clear" w:color="auto" w:fill="D1D1D1"/>
          </w:tcPr>
          <w:p>
            <w:pPr>
              <w:spacing w:after="0"/>
              <w:rPr>
                <w:sz w:val="24"/>
                <w:szCs w:val="24"/>
                <w:color w:val="auto"/>
              </w:rPr>
            </w:pP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7.7</w:t>
            </w:r>
          </w:p>
        </w:tc>
        <w:tc>
          <w:tcPr>
            <w:tcW w:w="140" w:type="dxa"/>
            <w:vAlign w:val="bottom"/>
            <w:shd w:val="clear" w:color="auto" w:fill="D1D1D1"/>
          </w:tcPr>
          <w:p>
            <w:pPr>
              <w:spacing w:after="0"/>
              <w:rPr>
                <w:sz w:val="24"/>
                <w:szCs w:val="24"/>
                <w:color w:val="auto"/>
              </w:rPr>
            </w:pP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1D1"/>
          </w:tcPr>
          <w:p>
            <w:pPr>
              <w:spacing w:after="0"/>
              <w:rPr>
                <w:sz w:val="24"/>
                <w:szCs w:val="24"/>
                <w:color w:val="auto"/>
              </w:rPr>
            </w:pP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7.6</w:t>
            </w:r>
          </w:p>
        </w:tc>
        <w:tc>
          <w:tcPr>
            <w:tcW w:w="300" w:type="dxa"/>
            <w:vAlign w:val="bottom"/>
            <w:shd w:val="clear" w:color="auto" w:fill="D1D1D1"/>
          </w:tcPr>
          <w:p>
            <w:pPr>
              <w:spacing w:after="0"/>
              <w:rPr>
                <w:sz w:val="24"/>
                <w:szCs w:val="24"/>
                <w:color w:val="auto"/>
              </w:rPr>
            </w:pP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1D1"/>
          </w:tcPr>
          <w:p>
            <w:pPr>
              <w:spacing w:after="0"/>
              <w:rPr>
                <w:sz w:val="24"/>
                <w:szCs w:val="24"/>
                <w:color w:val="auto"/>
              </w:rPr>
            </w:pP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4"/>
        </w:trPr>
        <w:tc>
          <w:tcPr>
            <w:tcW w:w="3300" w:type="dxa"/>
            <w:vAlign w:val="bottom"/>
            <w:tcBorders>
              <w:bottom w:val="single" w:sz="8" w:color="D1D1D1"/>
            </w:tcBorders>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D1D1D1"/>
            </w:tcBorders>
          </w:tcPr>
          <w:p>
            <w:pPr>
              <w:spacing w:after="0"/>
              <w:rPr>
                <w:sz w:val="22"/>
                <w:szCs w:val="22"/>
                <w:color w:val="auto"/>
              </w:rPr>
            </w:pPr>
          </w:p>
        </w:tc>
        <w:tc>
          <w:tcPr>
            <w:tcW w:w="1020" w:type="dxa"/>
            <w:vAlign w:val="bottom"/>
            <w:tcBorders>
              <w:bottom w:val="single" w:sz="8" w:color="D1D1D1"/>
            </w:tcBorders>
          </w:tcPr>
          <w:p>
            <w:pPr>
              <w:jc w:val="right"/>
              <w:ind w:right="131"/>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D1D1D1"/>
            </w:tcBorders>
          </w:tcPr>
          <w:p>
            <w:pPr>
              <w:spacing w:after="0"/>
              <w:rPr>
                <w:sz w:val="22"/>
                <w:szCs w:val="22"/>
                <w:color w:val="auto"/>
              </w:rPr>
            </w:pPr>
          </w:p>
        </w:tc>
        <w:tc>
          <w:tcPr>
            <w:tcW w:w="1240" w:type="dxa"/>
            <w:vAlign w:val="bottom"/>
            <w:tcBorders>
              <w:bottom w:val="single" w:sz="8" w:color="D1D1D1"/>
            </w:tcBorders>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1D1D1"/>
            </w:tcBorders>
          </w:tcPr>
          <w:p>
            <w:pPr>
              <w:spacing w:after="0"/>
              <w:rPr>
                <w:sz w:val="22"/>
                <w:szCs w:val="22"/>
                <w:color w:val="auto"/>
              </w:rPr>
            </w:pPr>
          </w:p>
        </w:tc>
        <w:tc>
          <w:tcPr>
            <w:tcW w:w="1160" w:type="dxa"/>
            <w:vAlign w:val="bottom"/>
            <w:tcBorders>
              <w:bottom w:val="single" w:sz="8" w:color="D1D1D1"/>
            </w:tcBorders>
          </w:tcPr>
          <w:p>
            <w:pPr>
              <w:jc w:val="right"/>
              <w:ind w:right="35"/>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D1D1D1"/>
            </w:tcBorders>
          </w:tcPr>
          <w:p>
            <w:pPr>
              <w:spacing w:after="0"/>
              <w:rPr>
                <w:sz w:val="22"/>
                <w:szCs w:val="22"/>
                <w:color w:val="auto"/>
              </w:rPr>
            </w:pPr>
          </w:p>
        </w:tc>
        <w:tc>
          <w:tcPr>
            <w:tcW w:w="1160" w:type="dxa"/>
            <w:vAlign w:val="bottom"/>
            <w:tcBorders>
              <w:bottom w:val="single" w:sz="8" w:color="D1D1D1"/>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1D1D1"/>
            </w:tcBorders>
          </w:tcPr>
          <w:p>
            <w:pPr>
              <w:spacing w:after="0"/>
              <w:rPr>
                <w:sz w:val="22"/>
                <w:szCs w:val="22"/>
                <w:color w:val="auto"/>
              </w:rPr>
            </w:pPr>
          </w:p>
        </w:tc>
        <w:tc>
          <w:tcPr>
            <w:tcW w:w="880" w:type="dxa"/>
            <w:vAlign w:val="bottom"/>
            <w:tcBorders>
              <w:bottom w:val="single" w:sz="8" w:color="D1D1D1"/>
            </w:tcBorders>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4"/>
        </w:trPr>
        <w:tc>
          <w:tcPr>
            <w:tcW w:w="3300" w:type="dxa"/>
            <w:vAlign w:val="bottom"/>
            <w:tcBorders>
              <w:bottom w:val="single" w:sz="8" w:color="D1D1D1"/>
            </w:tcBorders>
            <w:shd w:val="clear" w:color="auto" w:fill="D1D1D1"/>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1D1"/>
          </w:tcPr>
          <w:p>
            <w:pPr>
              <w:jc w:val="right"/>
              <w:ind w:right="132"/>
              <w:spacing w:after="0"/>
              <w:rPr>
                <w:sz w:val="20"/>
                <w:szCs w:val="20"/>
                <w:color w:val="auto"/>
              </w:rPr>
            </w:pPr>
            <w:r>
              <w:rPr>
                <w:rFonts w:ascii="Arial" w:cs="Arial" w:eastAsia="Arial" w:hAnsi="Arial"/>
                <w:sz w:val="18"/>
                <w:szCs w:val="18"/>
                <w:color w:val="auto"/>
              </w:rPr>
              <w:t>88.2</w:t>
            </w:r>
          </w:p>
        </w:tc>
        <w:tc>
          <w:tcPr>
            <w:tcW w:w="240" w:type="dxa"/>
            <w:vAlign w:val="bottom"/>
            <w:tcBorders>
              <w:bottom w:val="single" w:sz="8" w:color="D1D1D1"/>
            </w:tcBorders>
            <w:shd w:val="clear" w:color="auto" w:fill="D1D1D1"/>
          </w:tcPr>
          <w:p>
            <w:pPr>
              <w:spacing w:after="0"/>
              <w:rPr>
                <w:sz w:val="24"/>
                <w:szCs w:val="24"/>
                <w:color w:val="auto"/>
              </w:rPr>
            </w:pPr>
          </w:p>
        </w:tc>
        <w:tc>
          <w:tcPr>
            <w:tcW w:w="1020" w:type="dxa"/>
            <w:vAlign w:val="bottom"/>
            <w:tcBorders>
              <w:bottom w:val="single" w:sz="8" w:color="D1D1D1"/>
            </w:tcBorders>
            <w:shd w:val="clear" w:color="auto" w:fill="D1D1D1"/>
          </w:tcPr>
          <w:p>
            <w:pPr>
              <w:spacing w:after="0"/>
              <w:rPr>
                <w:sz w:val="24"/>
                <w:szCs w:val="24"/>
                <w:color w:val="auto"/>
              </w:rPr>
            </w:pPr>
          </w:p>
        </w:tc>
        <w:tc>
          <w:tcPr>
            <w:tcW w:w="140" w:type="dxa"/>
            <w:vAlign w:val="bottom"/>
            <w:tcBorders>
              <w:bottom w:val="single" w:sz="8" w:color="D1D1D1"/>
            </w:tcBorders>
            <w:shd w:val="clear" w:color="auto" w:fill="D1D1D1"/>
          </w:tcPr>
          <w:p>
            <w:pPr>
              <w:spacing w:after="0"/>
              <w:rPr>
                <w:sz w:val="24"/>
                <w:szCs w:val="24"/>
                <w:color w:val="auto"/>
              </w:rPr>
            </w:pPr>
          </w:p>
        </w:tc>
        <w:tc>
          <w:tcPr>
            <w:tcW w:w="1240" w:type="dxa"/>
            <w:vAlign w:val="bottom"/>
            <w:tcBorders>
              <w:bottom w:val="single" w:sz="8" w:color="D1D1D1"/>
            </w:tcBorders>
            <w:shd w:val="clear" w:color="auto" w:fill="D1D1D1"/>
          </w:tcPr>
          <w:p>
            <w:pPr>
              <w:spacing w:after="0"/>
              <w:rPr>
                <w:sz w:val="24"/>
                <w:szCs w:val="24"/>
                <w:color w:val="auto"/>
              </w:rPr>
            </w:pPr>
          </w:p>
        </w:tc>
        <w:tc>
          <w:tcPr>
            <w:tcW w:w="340" w:type="dxa"/>
            <w:vAlign w:val="bottom"/>
            <w:tcBorders>
              <w:bottom w:val="single" w:sz="8" w:color="D1D1D1"/>
            </w:tcBorders>
            <w:shd w:val="clear" w:color="auto" w:fill="D1D1D1"/>
          </w:tcPr>
          <w:p>
            <w:pPr>
              <w:spacing w:after="0"/>
              <w:rPr>
                <w:sz w:val="24"/>
                <w:szCs w:val="24"/>
                <w:color w:val="auto"/>
              </w:rPr>
            </w:pPr>
          </w:p>
        </w:tc>
        <w:tc>
          <w:tcPr>
            <w:tcW w:w="1160" w:type="dxa"/>
            <w:vAlign w:val="bottom"/>
            <w:tcBorders>
              <w:bottom w:val="single" w:sz="8" w:color="D1D1D1"/>
            </w:tcBorders>
            <w:shd w:val="clear" w:color="auto" w:fill="D1D1D1"/>
          </w:tcPr>
          <w:p>
            <w:pPr>
              <w:spacing w:after="0"/>
              <w:rPr>
                <w:sz w:val="24"/>
                <w:szCs w:val="24"/>
                <w:color w:val="auto"/>
              </w:rPr>
            </w:pPr>
          </w:p>
        </w:tc>
        <w:tc>
          <w:tcPr>
            <w:tcW w:w="300" w:type="dxa"/>
            <w:vAlign w:val="bottom"/>
            <w:tcBorders>
              <w:bottom w:val="single" w:sz="8" w:color="D1D1D1"/>
            </w:tcBorders>
            <w:shd w:val="clear" w:color="auto" w:fill="D1D1D1"/>
          </w:tcPr>
          <w:p>
            <w:pPr>
              <w:spacing w:after="0"/>
              <w:rPr>
                <w:sz w:val="24"/>
                <w:szCs w:val="24"/>
                <w:color w:val="auto"/>
              </w:rPr>
            </w:pPr>
          </w:p>
        </w:tc>
        <w:tc>
          <w:tcPr>
            <w:tcW w:w="1160" w:type="dxa"/>
            <w:vAlign w:val="bottom"/>
            <w:tcBorders>
              <w:bottom w:val="single" w:sz="8" w:color="D1D1D1"/>
            </w:tcBorders>
            <w:shd w:val="clear" w:color="auto" w:fill="D1D1D1"/>
          </w:tcPr>
          <w:p>
            <w:pPr>
              <w:spacing w:after="0"/>
              <w:rPr>
                <w:sz w:val="24"/>
                <w:szCs w:val="24"/>
                <w:color w:val="auto"/>
              </w:rPr>
            </w:pPr>
          </w:p>
        </w:tc>
        <w:tc>
          <w:tcPr>
            <w:tcW w:w="380" w:type="dxa"/>
            <w:vAlign w:val="bottom"/>
            <w:tcBorders>
              <w:bottom w:val="single" w:sz="8" w:color="D1D1D1"/>
            </w:tcBorders>
            <w:shd w:val="clear" w:color="auto" w:fill="D1D1D1"/>
          </w:tcPr>
          <w:p>
            <w:pPr>
              <w:spacing w:after="0"/>
              <w:rPr>
                <w:sz w:val="24"/>
                <w:szCs w:val="24"/>
                <w:color w:val="auto"/>
              </w:rPr>
            </w:pPr>
          </w:p>
        </w:tc>
        <w:tc>
          <w:tcPr>
            <w:tcW w:w="880" w:type="dxa"/>
            <w:vAlign w:val="bottom"/>
            <w:tcBorders>
              <w:bottom w:val="single" w:sz="8" w:color="D1D1D1"/>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D1D1D1"/>
          </w:tcPr>
          <w:p>
            <w:pPr>
              <w:spacing w:after="0"/>
              <w:rPr>
                <w:sz w:val="20"/>
                <w:szCs w:val="20"/>
                <w:color w:val="auto"/>
              </w:rPr>
            </w:pPr>
          </w:p>
        </w:tc>
        <w:tc>
          <w:tcPr>
            <w:tcW w:w="1040" w:type="dxa"/>
            <w:vAlign w:val="bottom"/>
            <w:shd w:val="clear" w:color="auto" w:fill="D1D1D1"/>
          </w:tcPr>
          <w:p>
            <w:pPr>
              <w:spacing w:after="0"/>
              <w:rPr>
                <w:sz w:val="20"/>
                <w:szCs w:val="20"/>
                <w:color w:val="auto"/>
              </w:rPr>
            </w:pPr>
          </w:p>
        </w:tc>
        <w:tc>
          <w:tcPr>
            <w:tcW w:w="240" w:type="dxa"/>
            <w:vAlign w:val="bottom"/>
            <w:shd w:val="clear" w:color="auto" w:fill="D1D1D1"/>
          </w:tcPr>
          <w:p>
            <w:pPr>
              <w:spacing w:after="0"/>
              <w:rPr>
                <w:sz w:val="20"/>
                <w:szCs w:val="20"/>
                <w:color w:val="auto"/>
              </w:rPr>
            </w:pPr>
          </w:p>
        </w:tc>
        <w:tc>
          <w:tcPr>
            <w:tcW w:w="1020" w:type="dxa"/>
            <w:vAlign w:val="bottom"/>
            <w:shd w:val="clear" w:color="auto" w:fill="D1D1D1"/>
          </w:tcPr>
          <w:p>
            <w:pPr>
              <w:spacing w:after="0"/>
              <w:rPr>
                <w:sz w:val="20"/>
                <w:szCs w:val="20"/>
                <w:color w:val="auto"/>
              </w:rPr>
            </w:pPr>
          </w:p>
        </w:tc>
        <w:tc>
          <w:tcPr>
            <w:tcW w:w="140" w:type="dxa"/>
            <w:vAlign w:val="bottom"/>
            <w:shd w:val="clear" w:color="auto" w:fill="D1D1D1"/>
          </w:tcPr>
          <w:p>
            <w:pPr>
              <w:spacing w:after="0"/>
              <w:rPr>
                <w:sz w:val="20"/>
                <w:szCs w:val="20"/>
                <w:color w:val="auto"/>
              </w:rPr>
            </w:pPr>
          </w:p>
        </w:tc>
        <w:tc>
          <w:tcPr>
            <w:tcW w:w="1240" w:type="dxa"/>
            <w:vAlign w:val="bottom"/>
            <w:shd w:val="clear" w:color="auto" w:fill="D1D1D1"/>
          </w:tcPr>
          <w:p>
            <w:pPr>
              <w:spacing w:after="0"/>
              <w:rPr>
                <w:sz w:val="20"/>
                <w:szCs w:val="20"/>
                <w:color w:val="auto"/>
              </w:rPr>
            </w:pPr>
          </w:p>
        </w:tc>
        <w:tc>
          <w:tcPr>
            <w:tcW w:w="340" w:type="dxa"/>
            <w:vAlign w:val="bottom"/>
            <w:shd w:val="clear" w:color="auto" w:fill="D1D1D1"/>
          </w:tcPr>
          <w:p>
            <w:pPr>
              <w:spacing w:after="0"/>
              <w:rPr>
                <w:sz w:val="20"/>
                <w:szCs w:val="20"/>
                <w:color w:val="auto"/>
              </w:rPr>
            </w:pPr>
          </w:p>
        </w:tc>
        <w:tc>
          <w:tcPr>
            <w:tcW w:w="1160" w:type="dxa"/>
            <w:vAlign w:val="bottom"/>
            <w:shd w:val="clear" w:color="auto" w:fill="D1D1D1"/>
          </w:tcPr>
          <w:p>
            <w:pPr>
              <w:spacing w:after="0"/>
              <w:rPr>
                <w:sz w:val="20"/>
                <w:szCs w:val="20"/>
                <w:color w:val="auto"/>
              </w:rPr>
            </w:pPr>
          </w:p>
        </w:tc>
        <w:tc>
          <w:tcPr>
            <w:tcW w:w="300" w:type="dxa"/>
            <w:vAlign w:val="bottom"/>
            <w:shd w:val="clear" w:color="auto" w:fill="D1D1D1"/>
          </w:tcPr>
          <w:p>
            <w:pPr>
              <w:spacing w:after="0"/>
              <w:rPr>
                <w:sz w:val="20"/>
                <w:szCs w:val="20"/>
                <w:color w:val="auto"/>
              </w:rPr>
            </w:pPr>
          </w:p>
        </w:tc>
        <w:tc>
          <w:tcPr>
            <w:tcW w:w="1160" w:type="dxa"/>
            <w:vAlign w:val="bottom"/>
            <w:shd w:val="clear" w:color="auto" w:fill="D1D1D1"/>
          </w:tcPr>
          <w:p>
            <w:pPr>
              <w:spacing w:after="0"/>
              <w:rPr>
                <w:sz w:val="20"/>
                <w:szCs w:val="20"/>
                <w:color w:val="auto"/>
              </w:rPr>
            </w:pPr>
          </w:p>
        </w:tc>
        <w:tc>
          <w:tcPr>
            <w:tcW w:w="380" w:type="dxa"/>
            <w:vAlign w:val="bottom"/>
            <w:shd w:val="clear" w:color="auto" w:fill="D1D1D1"/>
          </w:tcPr>
          <w:p>
            <w:pPr>
              <w:spacing w:after="0"/>
              <w:rPr>
                <w:sz w:val="20"/>
                <w:szCs w:val="20"/>
                <w:color w:val="auto"/>
              </w:rPr>
            </w:pPr>
          </w:p>
        </w:tc>
        <w:tc>
          <w:tcPr>
            <w:tcW w:w="880" w:type="dxa"/>
            <w:vAlign w:val="bottom"/>
            <w:shd w:val="clear" w:color="auto" w:fill="D1D1D1"/>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D1D1D1"/>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149.1</w:t>
            </w:r>
          </w:p>
        </w:tc>
        <w:tc>
          <w:tcPr>
            <w:tcW w:w="240" w:type="dxa"/>
            <w:vAlign w:val="bottom"/>
            <w:shd w:val="clear" w:color="auto" w:fill="D1D1D1"/>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153.6</w:t>
            </w:r>
          </w:p>
        </w:tc>
        <w:tc>
          <w:tcPr>
            <w:tcW w:w="140" w:type="dxa"/>
            <w:vAlign w:val="bottom"/>
            <w:shd w:val="clear" w:color="auto" w:fill="D1D1D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149.1</w:t>
            </w:r>
          </w:p>
        </w:tc>
        <w:tc>
          <w:tcPr>
            <w:tcW w:w="340" w:type="dxa"/>
            <w:vAlign w:val="bottom"/>
            <w:shd w:val="clear" w:color="auto" w:fill="D1D1D1"/>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1D1"/>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568.0</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587.8</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568.0</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77"/>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D1D1D1"/>
          </w:tcPr>
          <w:p>
            <w:pPr>
              <w:spacing w:after="0"/>
              <w:rPr>
                <w:sz w:val="24"/>
                <w:szCs w:val="24"/>
                <w:color w:val="auto"/>
              </w:rPr>
            </w:pP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111.4</w:t>
            </w:r>
          </w:p>
        </w:tc>
        <w:tc>
          <w:tcPr>
            <w:tcW w:w="240" w:type="dxa"/>
            <w:vAlign w:val="bottom"/>
            <w:shd w:val="clear" w:color="auto" w:fill="D1D1D1"/>
          </w:tcPr>
          <w:p>
            <w:pPr>
              <w:spacing w:after="0"/>
              <w:rPr>
                <w:sz w:val="24"/>
                <w:szCs w:val="24"/>
                <w:color w:val="auto"/>
              </w:rPr>
            </w:pP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114.5</w:t>
            </w:r>
          </w:p>
        </w:tc>
        <w:tc>
          <w:tcPr>
            <w:tcW w:w="140" w:type="dxa"/>
            <w:vAlign w:val="bottom"/>
            <w:shd w:val="clear" w:color="auto" w:fill="D1D1D1"/>
          </w:tcPr>
          <w:p>
            <w:pPr>
              <w:spacing w:after="0"/>
              <w:rPr>
                <w:sz w:val="24"/>
                <w:szCs w:val="24"/>
                <w:color w:val="auto"/>
              </w:rPr>
            </w:pP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1D1"/>
          </w:tcPr>
          <w:p>
            <w:pPr>
              <w:spacing w:after="0"/>
              <w:rPr>
                <w:sz w:val="24"/>
                <w:szCs w:val="24"/>
                <w:color w:val="auto"/>
              </w:rPr>
            </w:pP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111.4</w:t>
            </w:r>
          </w:p>
        </w:tc>
        <w:tc>
          <w:tcPr>
            <w:tcW w:w="300" w:type="dxa"/>
            <w:vAlign w:val="bottom"/>
            <w:shd w:val="clear" w:color="auto" w:fill="D1D1D1"/>
          </w:tcPr>
          <w:p>
            <w:pPr>
              <w:spacing w:after="0"/>
              <w:rPr>
                <w:sz w:val="24"/>
                <w:szCs w:val="24"/>
                <w:color w:val="auto"/>
              </w:rPr>
            </w:pP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1D1"/>
          </w:tcPr>
          <w:p>
            <w:pPr>
              <w:spacing w:after="0"/>
              <w:rPr>
                <w:sz w:val="24"/>
                <w:szCs w:val="24"/>
                <w:color w:val="auto"/>
              </w:rPr>
            </w:pP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7"/>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D1D1D1"/>
          </w:tcPr>
          <w:p>
            <w:pPr>
              <w:spacing w:after="0"/>
              <w:rPr>
                <w:sz w:val="24"/>
                <w:szCs w:val="24"/>
                <w:color w:val="auto"/>
              </w:rPr>
            </w:pP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87.8</w:t>
            </w:r>
          </w:p>
        </w:tc>
        <w:tc>
          <w:tcPr>
            <w:tcW w:w="240" w:type="dxa"/>
            <w:vAlign w:val="bottom"/>
            <w:shd w:val="clear" w:color="auto" w:fill="D1D1D1"/>
          </w:tcPr>
          <w:p>
            <w:pPr>
              <w:spacing w:after="0"/>
              <w:rPr>
                <w:sz w:val="24"/>
                <w:szCs w:val="24"/>
                <w:color w:val="auto"/>
              </w:rPr>
            </w:pP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D1D1D1"/>
          </w:tcPr>
          <w:p>
            <w:pPr>
              <w:spacing w:after="0"/>
              <w:rPr>
                <w:sz w:val="24"/>
                <w:szCs w:val="24"/>
                <w:color w:val="auto"/>
              </w:rPr>
            </w:pP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1D1"/>
          </w:tcPr>
          <w:p>
            <w:pPr>
              <w:spacing w:after="0"/>
              <w:rPr>
                <w:sz w:val="24"/>
                <w:szCs w:val="24"/>
                <w:color w:val="auto"/>
              </w:rPr>
            </w:pP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1D1"/>
          </w:tcPr>
          <w:p>
            <w:pPr>
              <w:spacing w:after="0"/>
              <w:rPr>
                <w:sz w:val="24"/>
                <w:szCs w:val="24"/>
                <w:color w:val="auto"/>
              </w:rPr>
            </w:pP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87.8</w:t>
            </w:r>
          </w:p>
        </w:tc>
        <w:tc>
          <w:tcPr>
            <w:tcW w:w="380" w:type="dxa"/>
            <w:vAlign w:val="bottom"/>
            <w:shd w:val="clear" w:color="auto" w:fill="D1D1D1"/>
          </w:tcPr>
          <w:p>
            <w:pPr>
              <w:spacing w:after="0"/>
              <w:rPr>
                <w:sz w:val="24"/>
                <w:szCs w:val="24"/>
                <w:color w:val="auto"/>
              </w:rPr>
            </w:pP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357.5</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238.3</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357.5</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33"/>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Equity investments without readily</w:t>
            </w:r>
          </w:p>
        </w:tc>
        <w:tc>
          <w:tcPr>
            <w:tcW w:w="220" w:type="dxa"/>
            <w:vAlign w:val="bottom"/>
            <w:shd w:val="clear" w:color="auto" w:fill="D1D1D1"/>
          </w:tcPr>
          <w:p>
            <w:pPr>
              <w:spacing w:after="0"/>
              <w:rPr>
                <w:sz w:val="20"/>
                <w:szCs w:val="20"/>
                <w:color w:val="auto"/>
              </w:rPr>
            </w:pPr>
          </w:p>
        </w:tc>
        <w:tc>
          <w:tcPr>
            <w:tcW w:w="1040" w:type="dxa"/>
            <w:vAlign w:val="bottom"/>
            <w:shd w:val="clear" w:color="auto" w:fill="D1D1D1"/>
          </w:tcPr>
          <w:p>
            <w:pPr>
              <w:spacing w:after="0"/>
              <w:rPr>
                <w:sz w:val="20"/>
                <w:szCs w:val="20"/>
                <w:color w:val="auto"/>
              </w:rPr>
            </w:pPr>
          </w:p>
        </w:tc>
        <w:tc>
          <w:tcPr>
            <w:tcW w:w="240" w:type="dxa"/>
            <w:vAlign w:val="bottom"/>
            <w:shd w:val="clear" w:color="auto" w:fill="D1D1D1"/>
          </w:tcPr>
          <w:p>
            <w:pPr>
              <w:spacing w:after="0"/>
              <w:rPr>
                <w:sz w:val="20"/>
                <w:szCs w:val="20"/>
                <w:color w:val="auto"/>
              </w:rPr>
            </w:pPr>
          </w:p>
        </w:tc>
        <w:tc>
          <w:tcPr>
            <w:tcW w:w="1020" w:type="dxa"/>
            <w:vAlign w:val="bottom"/>
            <w:shd w:val="clear" w:color="auto" w:fill="D1D1D1"/>
          </w:tcPr>
          <w:p>
            <w:pPr>
              <w:spacing w:after="0"/>
              <w:rPr>
                <w:sz w:val="20"/>
                <w:szCs w:val="20"/>
                <w:color w:val="auto"/>
              </w:rPr>
            </w:pPr>
          </w:p>
        </w:tc>
        <w:tc>
          <w:tcPr>
            <w:tcW w:w="140" w:type="dxa"/>
            <w:vAlign w:val="bottom"/>
            <w:shd w:val="clear" w:color="auto" w:fill="D1D1D1"/>
          </w:tcPr>
          <w:p>
            <w:pPr>
              <w:spacing w:after="0"/>
              <w:rPr>
                <w:sz w:val="20"/>
                <w:szCs w:val="20"/>
                <w:color w:val="auto"/>
              </w:rPr>
            </w:pPr>
          </w:p>
        </w:tc>
        <w:tc>
          <w:tcPr>
            <w:tcW w:w="1240" w:type="dxa"/>
            <w:vAlign w:val="bottom"/>
            <w:shd w:val="clear" w:color="auto" w:fill="D1D1D1"/>
          </w:tcPr>
          <w:p>
            <w:pPr>
              <w:spacing w:after="0"/>
              <w:rPr>
                <w:sz w:val="20"/>
                <w:szCs w:val="20"/>
                <w:color w:val="auto"/>
              </w:rPr>
            </w:pPr>
          </w:p>
        </w:tc>
        <w:tc>
          <w:tcPr>
            <w:tcW w:w="340" w:type="dxa"/>
            <w:vAlign w:val="bottom"/>
            <w:shd w:val="clear" w:color="auto" w:fill="D1D1D1"/>
          </w:tcPr>
          <w:p>
            <w:pPr>
              <w:spacing w:after="0"/>
              <w:rPr>
                <w:sz w:val="20"/>
                <w:szCs w:val="20"/>
                <w:color w:val="auto"/>
              </w:rPr>
            </w:pPr>
          </w:p>
        </w:tc>
        <w:tc>
          <w:tcPr>
            <w:tcW w:w="1160" w:type="dxa"/>
            <w:vAlign w:val="bottom"/>
            <w:shd w:val="clear" w:color="auto" w:fill="D1D1D1"/>
          </w:tcPr>
          <w:p>
            <w:pPr>
              <w:spacing w:after="0"/>
              <w:rPr>
                <w:sz w:val="20"/>
                <w:szCs w:val="20"/>
                <w:color w:val="auto"/>
              </w:rPr>
            </w:pPr>
          </w:p>
        </w:tc>
        <w:tc>
          <w:tcPr>
            <w:tcW w:w="300" w:type="dxa"/>
            <w:vAlign w:val="bottom"/>
            <w:shd w:val="clear" w:color="auto" w:fill="D1D1D1"/>
          </w:tcPr>
          <w:p>
            <w:pPr>
              <w:spacing w:after="0"/>
              <w:rPr>
                <w:sz w:val="20"/>
                <w:szCs w:val="20"/>
                <w:color w:val="auto"/>
              </w:rPr>
            </w:pPr>
          </w:p>
        </w:tc>
        <w:tc>
          <w:tcPr>
            <w:tcW w:w="1160" w:type="dxa"/>
            <w:vAlign w:val="bottom"/>
            <w:shd w:val="clear" w:color="auto" w:fill="D1D1D1"/>
          </w:tcPr>
          <w:p>
            <w:pPr>
              <w:spacing w:after="0"/>
              <w:rPr>
                <w:sz w:val="20"/>
                <w:szCs w:val="20"/>
                <w:color w:val="auto"/>
              </w:rPr>
            </w:pPr>
          </w:p>
        </w:tc>
        <w:tc>
          <w:tcPr>
            <w:tcW w:w="380" w:type="dxa"/>
            <w:vAlign w:val="bottom"/>
            <w:shd w:val="clear" w:color="auto" w:fill="D1D1D1"/>
          </w:tcPr>
          <w:p>
            <w:pPr>
              <w:spacing w:after="0"/>
              <w:rPr>
                <w:sz w:val="20"/>
                <w:szCs w:val="20"/>
                <w:color w:val="auto"/>
              </w:rPr>
            </w:pPr>
          </w:p>
        </w:tc>
        <w:tc>
          <w:tcPr>
            <w:tcW w:w="880" w:type="dxa"/>
            <w:vAlign w:val="bottom"/>
            <w:shd w:val="clear" w:color="auto" w:fill="D1D1D1"/>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shd w:val="clear" w:color="auto" w:fill="D1D1D1"/>
          </w:tcPr>
          <w:p>
            <w:pPr>
              <w:ind w:left="340"/>
              <w:spacing w:after="0" w:line="233" w:lineRule="exact"/>
              <w:rPr>
                <w:sz w:val="20"/>
                <w:szCs w:val="20"/>
                <w:color w:val="auto"/>
              </w:rPr>
            </w:pPr>
            <w:r>
              <w:rPr>
                <w:rFonts w:ascii="Arial" w:cs="Arial" w:eastAsia="Arial" w:hAnsi="Arial"/>
                <w:sz w:val="18"/>
                <w:szCs w:val="18"/>
                <w:color w:val="auto"/>
              </w:rPr>
              <w:t>determinable fair values</w:t>
            </w:r>
            <w:r>
              <w:rPr>
                <w:rFonts w:ascii="Arial" w:cs="Arial" w:eastAsia="Arial" w:hAnsi="Arial"/>
                <w:sz w:val="21"/>
                <w:szCs w:val="21"/>
                <w:color w:val="auto"/>
                <w:vertAlign w:val="superscript"/>
              </w:rPr>
              <w:t>(2)</w:t>
            </w:r>
          </w:p>
        </w:tc>
        <w:tc>
          <w:tcPr>
            <w:tcW w:w="220" w:type="dxa"/>
            <w:vAlign w:val="bottom"/>
            <w:shd w:val="clear" w:color="auto" w:fill="D1D1D1"/>
          </w:tcPr>
          <w:p>
            <w:pPr>
              <w:spacing w:after="0"/>
              <w:rPr>
                <w:sz w:val="20"/>
                <w:szCs w:val="20"/>
                <w:color w:val="auto"/>
              </w:rPr>
            </w:pP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414.7</w:t>
            </w:r>
          </w:p>
        </w:tc>
        <w:tc>
          <w:tcPr>
            <w:tcW w:w="240" w:type="dxa"/>
            <w:vAlign w:val="bottom"/>
            <w:shd w:val="clear" w:color="auto" w:fill="D1D1D1"/>
          </w:tcPr>
          <w:p>
            <w:pPr>
              <w:spacing w:after="0"/>
              <w:rPr>
                <w:sz w:val="20"/>
                <w:szCs w:val="20"/>
                <w:color w:val="auto"/>
              </w:rPr>
            </w:pPr>
          </w:p>
        </w:tc>
        <w:tc>
          <w:tcPr>
            <w:tcW w:w="1020" w:type="dxa"/>
            <w:vAlign w:val="bottom"/>
            <w:shd w:val="clear" w:color="auto" w:fill="D1D1D1"/>
          </w:tcPr>
          <w:p>
            <w:pPr>
              <w:spacing w:after="0"/>
              <w:rPr>
                <w:sz w:val="20"/>
                <w:szCs w:val="20"/>
                <w:color w:val="auto"/>
              </w:rPr>
            </w:pPr>
          </w:p>
        </w:tc>
        <w:tc>
          <w:tcPr>
            <w:tcW w:w="140" w:type="dxa"/>
            <w:vAlign w:val="bottom"/>
            <w:shd w:val="clear" w:color="auto" w:fill="D1D1D1"/>
          </w:tcPr>
          <w:p>
            <w:pPr>
              <w:spacing w:after="0"/>
              <w:rPr>
                <w:sz w:val="20"/>
                <w:szCs w:val="20"/>
                <w:color w:val="auto"/>
              </w:rPr>
            </w:pPr>
          </w:p>
        </w:tc>
        <w:tc>
          <w:tcPr>
            <w:tcW w:w="1240" w:type="dxa"/>
            <w:vAlign w:val="bottom"/>
            <w:shd w:val="clear" w:color="auto" w:fill="D1D1D1"/>
          </w:tcPr>
          <w:p>
            <w:pPr>
              <w:spacing w:after="0"/>
              <w:rPr>
                <w:sz w:val="20"/>
                <w:szCs w:val="20"/>
                <w:color w:val="auto"/>
              </w:rPr>
            </w:pPr>
          </w:p>
        </w:tc>
        <w:tc>
          <w:tcPr>
            <w:tcW w:w="340" w:type="dxa"/>
            <w:vAlign w:val="bottom"/>
            <w:shd w:val="clear" w:color="auto" w:fill="D1D1D1"/>
          </w:tcPr>
          <w:p>
            <w:pPr>
              <w:spacing w:after="0"/>
              <w:rPr>
                <w:sz w:val="20"/>
                <w:szCs w:val="20"/>
                <w:color w:val="auto"/>
              </w:rPr>
            </w:pPr>
          </w:p>
        </w:tc>
        <w:tc>
          <w:tcPr>
            <w:tcW w:w="1160" w:type="dxa"/>
            <w:vAlign w:val="bottom"/>
            <w:shd w:val="clear" w:color="auto" w:fill="D1D1D1"/>
          </w:tcPr>
          <w:p>
            <w:pPr>
              <w:spacing w:after="0"/>
              <w:rPr>
                <w:sz w:val="20"/>
                <w:szCs w:val="20"/>
                <w:color w:val="auto"/>
              </w:rPr>
            </w:pPr>
          </w:p>
        </w:tc>
        <w:tc>
          <w:tcPr>
            <w:tcW w:w="300" w:type="dxa"/>
            <w:vAlign w:val="bottom"/>
            <w:shd w:val="clear" w:color="auto" w:fill="D1D1D1"/>
          </w:tcPr>
          <w:p>
            <w:pPr>
              <w:spacing w:after="0"/>
              <w:rPr>
                <w:sz w:val="20"/>
                <w:szCs w:val="20"/>
                <w:color w:val="auto"/>
              </w:rPr>
            </w:pPr>
          </w:p>
        </w:tc>
        <w:tc>
          <w:tcPr>
            <w:tcW w:w="1160" w:type="dxa"/>
            <w:vAlign w:val="bottom"/>
            <w:shd w:val="clear" w:color="auto" w:fill="D1D1D1"/>
          </w:tcPr>
          <w:p>
            <w:pPr>
              <w:spacing w:after="0"/>
              <w:rPr>
                <w:sz w:val="20"/>
                <w:szCs w:val="20"/>
                <w:color w:val="auto"/>
              </w:rPr>
            </w:pPr>
          </w:p>
        </w:tc>
        <w:tc>
          <w:tcPr>
            <w:tcW w:w="380" w:type="dxa"/>
            <w:vAlign w:val="bottom"/>
            <w:shd w:val="clear" w:color="auto" w:fill="D1D1D1"/>
          </w:tcPr>
          <w:p>
            <w:pPr>
              <w:spacing w:after="0"/>
              <w:rPr>
                <w:sz w:val="20"/>
                <w:szCs w:val="20"/>
                <w:color w:val="auto"/>
              </w:rPr>
            </w:pPr>
          </w:p>
        </w:tc>
        <w:tc>
          <w:tcPr>
            <w:tcW w:w="880" w:type="dxa"/>
            <w:vAlign w:val="bottom"/>
            <w:shd w:val="clear" w:color="auto" w:fill="D1D1D1"/>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289.2</w:t>
            </w:r>
          </w:p>
        </w:tc>
        <w:tc>
          <w:tcPr>
            <w:tcW w:w="240" w:type="dxa"/>
            <w:vAlign w:val="bottom"/>
            <w:tcBorders>
              <w:bottom w:val="single" w:sz="8" w:color="D8D8D8"/>
            </w:tcBorders>
          </w:tcPr>
          <w:p>
            <w:pPr>
              <w:spacing w:after="0"/>
              <w:rPr>
                <w:sz w:val="23"/>
                <w:szCs w:val="23"/>
                <w:color w:val="auto"/>
              </w:rPr>
            </w:pPr>
          </w:p>
        </w:tc>
        <w:tc>
          <w:tcPr>
            <w:tcW w:w="10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color w:val="auto"/>
              </w:rPr>
              <w:t>2,005.4</w:t>
            </w:r>
          </w:p>
        </w:tc>
        <w:tc>
          <w:tcPr>
            <w:tcW w:w="240" w:type="dxa"/>
            <w:vAlign w:val="bottom"/>
            <w:tcBorders>
              <w:bottom w:val="single" w:sz="8" w:color="D8D8D8"/>
            </w:tcBorders>
            <w:shd w:val="clear" w:color="auto" w:fill="D8D8D8"/>
          </w:tcPr>
          <w:p>
            <w:pPr>
              <w:spacing w:after="0"/>
              <w:rPr>
                <w:sz w:val="23"/>
                <w:szCs w:val="23"/>
                <w:color w:val="auto"/>
              </w:rPr>
            </w:pPr>
          </w:p>
        </w:tc>
        <w:tc>
          <w:tcPr>
            <w:tcW w:w="1020" w:type="dxa"/>
            <w:vAlign w:val="bottom"/>
            <w:tcBorders>
              <w:bottom w:val="single" w:sz="8" w:color="D8D8D8"/>
            </w:tcBorders>
            <w:shd w:val="clear" w:color="auto" w:fill="D8D8D8"/>
          </w:tcPr>
          <w:p>
            <w:pPr>
              <w:spacing w:after="0"/>
              <w:rPr>
                <w:sz w:val="23"/>
                <w:szCs w:val="23"/>
                <w:color w:val="auto"/>
              </w:rPr>
            </w:pPr>
          </w:p>
        </w:tc>
        <w:tc>
          <w:tcPr>
            <w:tcW w:w="140" w:type="dxa"/>
            <w:vAlign w:val="bottom"/>
            <w:tcBorders>
              <w:bottom w:val="single" w:sz="8" w:color="D8D8D8"/>
            </w:tcBorders>
            <w:shd w:val="clear" w:color="auto" w:fill="D8D8D8"/>
          </w:tcPr>
          <w:p>
            <w:pPr>
              <w:spacing w:after="0"/>
              <w:rPr>
                <w:sz w:val="23"/>
                <w:szCs w:val="23"/>
                <w:color w:val="auto"/>
              </w:rPr>
            </w:pPr>
          </w:p>
        </w:tc>
        <w:tc>
          <w:tcPr>
            <w:tcW w:w="12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0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80" w:type="dxa"/>
            <w:vAlign w:val="bottom"/>
            <w:tcBorders>
              <w:bottom w:val="single" w:sz="8" w:color="D8D8D8"/>
            </w:tcBorders>
            <w:shd w:val="clear" w:color="auto" w:fill="D8D8D8"/>
          </w:tcPr>
          <w:p>
            <w:pPr>
              <w:spacing w:after="0"/>
              <w:rPr>
                <w:sz w:val="23"/>
                <w:szCs w:val="23"/>
                <w:color w:val="auto"/>
              </w:rPr>
            </w:pPr>
          </w:p>
        </w:tc>
        <w:tc>
          <w:tcPr>
            <w:tcW w:w="88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140" w:hanging="132"/>
        <w:spacing w:after="0"/>
        <w:tabs>
          <w:tab w:leader="none" w:pos="140" w:val="left"/>
        </w:tabs>
        <w:numPr>
          <w:ilvl w:val="0"/>
          <w:numId w:val="56"/>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6"/>
        </w:numPr>
        <w:rPr>
          <w:rFonts w:ascii="Arial" w:cs="Arial" w:eastAsia="Arial" w:hAnsi="Arial"/>
          <w:sz w:val="16"/>
          <w:szCs w:val="16"/>
          <w:color w:val="auto"/>
          <w:vertAlign w:val="superscript"/>
        </w:rPr>
      </w:pPr>
      <w:r>
        <w:rPr>
          <w:rFonts w:ascii="Arial" w:cs="Arial" w:eastAsia="Arial" w:hAnsi="Arial"/>
          <w:sz w:val="13"/>
          <w:szCs w:val="13"/>
          <w:color w:val="auto"/>
        </w:rPr>
        <w:t>Fair value disclosures are not applicable for equity method investments and investments accounted for under the measurement alternative for equity investments.</w:t>
      </w:r>
    </w:p>
    <w:p>
      <w:pPr>
        <w:sectPr>
          <w:pgSz w:w="11900" w:h="16838" w:orient="portrait"/>
          <w:cols w:equalWidth="0" w:num="1">
            <w:col w:w="11420"/>
          </w:cols>
          <w:pgMar w:left="240" w:top="711"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72</w:t>
      </w:r>
    </w:p>
    <w:p>
      <w:pPr>
        <w:sectPr>
          <w:pgSz w:w="11900" w:h="16838" w:orient="portrait"/>
          <w:cols w:equalWidth="0" w:num="1">
            <w:col w:w="11420"/>
          </w:cols>
          <w:pgMar w:left="240" w:top="711" w:right="2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78"/>
        </w:trPr>
        <w:tc>
          <w:tcPr>
            <w:tcW w:w="4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Fair Value Measurements Using</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0"/>
        </w:trPr>
        <w:tc>
          <w:tcPr>
            <w:tcW w:w="4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5"/>
              </w:rPr>
              <w:t>Quoted Prices</w:t>
            </w:r>
          </w:p>
        </w:tc>
        <w:tc>
          <w:tcPr>
            <w:tcW w:w="380" w:type="dxa"/>
            <w:vAlign w:val="bottom"/>
          </w:tcPr>
          <w:p>
            <w:pPr>
              <w:spacing w:after="0"/>
              <w:rPr>
                <w:sz w:val="12"/>
                <w:szCs w:val="12"/>
                <w:color w:val="auto"/>
              </w:rPr>
            </w:pPr>
          </w:p>
        </w:tc>
        <w:tc>
          <w:tcPr>
            <w:tcW w:w="1180" w:type="dxa"/>
            <w:vAlign w:val="bottom"/>
          </w:tcPr>
          <w:p>
            <w:pPr>
              <w:jc w:val="center"/>
              <w:ind w:right="185"/>
              <w:spacing w:after="0" w:line="140"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5"/>
        </w:trPr>
        <w:tc>
          <w:tcPr>
            <w:tcW w:w="4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95"/>
              </w:rPr>
              <w:t>in Active</w:t>
            </w:r>
          </w:p>
        </w:tc>
        <w:tc>
          <w:tcPr>
            <w:tcW w:w="380" w:type="dxa"/>
            <w:vAlign w:val="bottom"/>
          </w:tcPr>
          <w:p>
            <w:pPr>
              <w:spacing w:after="0"/>
              <w:rPr>
                <w:sz w:val="11"/>
                <w:szCs w:val="11"/>
                <w:color w:val="auto"/>
              </w:rPr>
            </w:pPr>
          </w:p>
        </w:tc>
        <w:tc>
          <w:tcPr>
            <w:tcW w:w="118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1100" w:type="dxa"/>
            <w:vAlign w:val="bottom"/>
          </w:tcPr>
          <w:p>
            <w:pPr>
              <w:jc w:val="center"/>
              <w:ind w:right="103"/>
              <w:spacing w:after="0" w:line="135" w:lineRule="exact"/>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96"/>
              </w:rPr>
              <w:t>Markets for</w:t>
            </w:r>
          </w:p>
        </w:tc>
        <w:tc>
          <w:tcPr>
            <w:tcW w:w="380" w:type="dxa"/>
            <w:vAlign w:val="bottom"/>
          </w:tcPr>
          <w:p>
            <w:pPr>
              <w:spacing w:after="0"/>
              <w:rPr>
                <w:sz w:val="11"/>
                <w:szCs w:val="11"/>
                <w:color w:val="auto"/>
              </w:rPr>
            </w:pPr>
          </w:p>
        </w:tc>
        <w:tc>
          <w:tcPr>
            <w:tcW w:w="1180" w:type="dxa"/>
            <w:vAlign w:val="bottom"/>
          </w:tcPr>
          <w:p>
            <w:pPr>
              <w:jc w:val="center"/>
              <w:ind w:right="185"/>
              <w:spacing w:after="0" w:line="135" w:lineRule="exact"/>
              <w:rPr>
                <w:sz w:val="20"/>
                <w:szCs w:val="20"/>
                <w:color w:val="auto"/>
              </w:rPr>
            </w:pPr>
            <w:r>
              <w:rPr>
                <w:rFonts w:ascii="Arial" w:cs="Arial" w:eastAsia="Arial" w:hAnsi="Arial"/>
                <w:sz w:val="13"/>
                <w:szCs w:val="13"/>
                <w:b w:val="1"/>
                <w:bCs w:val="1"/>
                <w:color w:val="auto"/>
                <w:w w:val="95"/>
              </w:rPr>
              <w:t>Observable</w:t>
            </w:r>
          </w:p>
        </w:tc>
        <w:tc>
          <w:tcPr>
            <w:tcW w:w="240" w:type="dxa"/>
            <w:vAlign w:val="bottom"/>
          </w:tcPr>
          <w:p>
            <w:pPr>
              <w:spacing w:after="0"/>
              <w:rPr>
                <w:sz w:val="11"/>
                <w:szCs w:val="11"/>
                <w:color w:val="auto"/>
              </w:rPr>
            </w:pPr>
          </w:p>
        </w:tc>
        <w:tc>
          <w:tcPr>
            <w:tcW w:w="110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95"/>
              </w:rPr>
              <w:t>Unobservable</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jc w:val="right"/>
              <w:ind w:right="459"/>
              <w:spacing w:after="0" w:line="135" w:lineRule="exact"/>
              <w:rPr>
                <w:sz w:val="20"/>
                <w:szCs w:val="20"/>
                <w:color w:val="auto"/>
              </w:rPr>
            </w:pPr>
            <w:r>
              <w:rPr>
                <w:rFonts w:ascii="Arial" w:cs="Arial" w:eastAsia="Arial" w:hAnsi="Arial"/>
                <w:sz w:val="13"/>
                <w:szCs w:val="13"/>
                <w:b w:val="1"/>
                <w:bCs w:val="1"/>
                <w:color w:val="auto"/>
              </w:rPr>
              <w:t>Carrying</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80" w:type="dxa"/>
            <w:vAlign w:val="bottom"/>
          </w:tcPr>
          <w:p>
            <w:pPr>
              <w:spacing w:after="0"/>
              <w:rPr>
                <w:sz w:val="11"/>
                <w:szCs w:val="11"/>
                <w:color w:val="auto"/>
              </w:rPr>
            </w:pPr>
          </w:p>
        </w:tc>
        <w:tc>
          <w:tcPr>
            <w:tcW w:w="118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Inputs</w:t>
            </w:r>
          </w:p>
        </w:tc>
        <w:tc>
          <w:tcPr>
            <w:tcW w:w="240" w:type="dxa"/>
            <w:vAlign w:val="bottom"/>
          </w:tcPr>
          <w:p>
            <w:pPr>
              <w:spacing w:after="0"/>
              <w:rPr>
                <w:sz w:val="11"/>
                <w:szCs w:val="11"/>
                <w:color w:val="auto"/>
              </w:rPr>
            </w:pPr>
          </w:p>
        </w:tc>
        <w:tc>
          <w:tcPr>
            <w:tcW w:w="110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1"/>
                <w:szCs w:val="11"/>
                <w:color w:val="auto"/>
              </w:rPr>
            </w:pPr>
          </w:p>
        </w:tc>
        <w:tc>
          <w:tcPr>
            <w:tcW w:w="1000" w:type="dxa"/>
            <w:vAlign w:val="bottom"/>
          </w:tcPr>
          <w:p>
            <w:pPr>
              <w:jc w:val="right"/>
              <w:ind w:right="439"/>
              <w:spacing w:after="0" w:line="135" w:lineRule="exact"/>
              <w:rPr>
                <w:sz w:val="20"/>
                <w:szCs w:val="20"/>
                <w:color w:val="auto"/>
              </w:rPr>
            </w:pPr>
            <w:r>
              <w:rPr>
                <w:rFonts w:ascii="Arial" w:cs="Arial" w:eastAsia="Arial" w:hAnsi="Arial"/>
                <w:sz w:val="13"/>
                <w:szCs w:val="13"/>
                <w:b w:val="1"/>
                <w:bCs w:val="1"/>
                <w:color w:val="auto"/>
              </w:rPr>
              <w:t>Fair</w:t>
            </w:r>
          </w:p>
        </w:tc>
      </w:tr>
      <w:tr>
        <w:trPr>
          <w:trHeight w:val="178"/>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Description</w:t>
            </w:r>
          </w:p>
        </w:tc>
        <w:tc>
          <w:tcPr>
            <w:tcW w:w="8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8"/>
              </w:rPr>
              <w:t>(Level 1)</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4"/>
              </w:rPr>
              <w:t>(Level 3)</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Value</w:t>
            </w:r>
          </w:p>
        </w:tc>
      </w:tr>
      <w:tr>
        <w:trPr>
          <w:trHeight w:val="250"/>
        </w:trPr>
        <w:tc>
          <w:tcPr>
            <w:tcW w:w="41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80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16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r>
      <w:tr>
        <w:trPr>
          <w:trHeight w:val="26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December 31, 2019</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8"/>
                <w:szCs w:val="18"/>
                <w:b w:val="1"/>
                <w:bCs w:val="1"/>
                <w:color w:val="auto"/>
              </w:rPr>
              <w:t>(1,494.2)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
              <w:spacing w:after="0"/>
              <w:rPr>
                <w:sz w:val="20"/>
                <w:szCs w:val="20"/>
                <w:color w:val="auto"/>
              </w:rPr>
            </w:pPr>
            <w:r>
              <w:rPr>
                <w:rFonts w:ascii="Arial" w:cs="Arial" w:eastAsia="Arial" w:hAnsi="Arial"/>
                <w:sz w:val="18"/>
                <w:szCs w:val="18"/>
                <w:b w:val="1"/>
                <w:bCs w:val="1"/>
                <w:color w:val="auto"/>
              </w:rPr>
              <w:t>(1,491.6)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(1,491.6)</w:t>
            </w:r>
          </w:p>
        </w:tc>
      </w:tr>
      <w:tr>
        <w:trPr>
          <w:trHeight w:val="277"/>
        </w:trPr>
        <w:tc>
          <w:tcPr>
            <w:tcW w:w="41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31, 2018</w:t>
            </w:r>
          </w:p>
        </w:tc>
        <w:tc>
          <w:tcPr>
            <w:tcW w:w="8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79"/>
              <w:spacing w:after="0"/>
              <w:rPr>
                <w:sz w:val="20"/>
                <w:szCs w:val="20"/>
                <w:color w:val="auto"/>
              </w:rPr>
            </w:pPr>
            <w:r>
              <w:rPr>
                <w:rFonts w:ascii="Arial" w:cs="Arial" w:eastAsia="Arial" w:hAnsi="Arial"/>
                <w:sz w:val="18"/>
                <w:szCs w:val="18"/>
                <w:color w:val="auto"/>
              </w:rPr>
              <w:t>(498.9)</w:t>
            </w:r>
          </w:p>
        </w:tc>
        <w:tc>
          <w:tcPr>
            <w:tcW w:w="160" w:type="dxa"/>
            <w:vAlign w:val="bottom"/>
            <w:shd w:val="clear" w:color="auto" w:fill="D8D8D8"/>
          </w:tcPr>
          <w:p>
            <w:pPr>
              <w:spacing w:after="0"/>
              <w:rPr>
                <w:sz w:val="24"/>
                <w:szCs w:val="24"/>
                <w:color w:val="auto"/>
              </w:rPr>
            </w:pPr>
          </w:p>
        </w:tc>
        <w:tc>
          <w:tcPr>
            <w:tcW w:w="840" w:type="dxa"/>
            <w:vAlign w:val="bottom"/>
            <w:shd w:val="clear" w:color="auto" w:fill="D8D8D8"/>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5"/>
              <w:spacing w:after="0"/>
              <w:rPr>
                <w:sz w:val="20"/>
                <w:szCs w:val="20"/>
                <w:color w:val="auto"/>
              </w:rPr>
            </w:pPr>
            <w:r>
              <w:rPr>
                <w:rFonts w:ascii="Arial" w:cs="Arial" w:eastAsia="Arial" w:hAnsi="Arial"/>
                <w:sz w:val="18"/>
                <w:szCs w:val="18"/>
                <w:color w:val="auto"/>
              </w:rPr>
              <w:t>(497.6)</w:t>
            </w:r>
          </w:p>
        </w:tc>
        <w:tc>
          <w:tcPr>
            <w:tcW w:w="240" w:type="dxa"/>
            <w:vAlign w:val="bottom"/>
            <w:shd w:val="clear" w:color="auto" w:fill="D8D8D8"/>
          </w:tcPr>
          <w:p>
            <w:pPr>
              <w:spacing w:after="0"/>
              <w:rPr>
                <w:sz w:val="24"/>
                <w:szCs w:val="24"/>
                <w:color w:val="auto"/>
              </w:rPr>
            </w:pPr>
          </w:p>
        </w:tc>
        <w:tc>
          <w:tcPr>
            <w:tcW w:w="1100" w:type="dxa"/>
            <w:vAlign w:val="bottom"/>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(497.6)</w:t>
            </w:r>
          </w:p>
        </w:tc>
      </w:tr>
      <w:tr>
        <w:trPr>
          <w:trHeight w:val="324"/>
        </w:trPr>
        <w:tc>
          <w:tcPr>
            <w:tcW w:w="4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1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80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16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r>
      <w:tr>
        <w:trPr>
          <w:trHeight w:val="26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December 31, 2019</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8"/>
                <w:szCs w:val="18"/>
                <w:b w:val="1"/>
                <w:bCs w:val="1"/>
                <w:color w:val="auto"/>
              </w:rPr>
              <w:t>(13,823.0)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
              <w:spacing w:after="0"/>
              <w:rPr>
                <w:sz w:val="20"/>
                <w:szCs w:val="20"/>
                <w:color w:val="auto"/>
              </w:rPr>
            </w:pPr>
            <w:r>
              <w:rPr>
                <w:rFonts w:ascii="Arial" w:cs="Arial" w:eastAsia="Arial" w:hAnsi="Arial"/>
                <w:sz w:val="18"/>
                <w:szCs w:val="18"/>
                <w:b w:val="1"/>
                <w:bCs w:val="1"/>
                <w:color w:val="auto"/>
              </w:rPr>
              <w:t>(15,150.0)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(15,150.0)</w:t>
            </w:r>
          </w:p>
        </w:tc>
      </w:tr>
      <w:tr>
        <w:trPr>
          <w:trHeight w:val="277"/>
        </w:trPr>
        <w:tc>
          <w:tcPr>
            <w:tcW w:w="41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31, 2018</w:t>
            </w:r>
          </w:p>
        </w:tc>
        <w:tc>
          <w:tcPr>
            <w:tcW w:w="8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79"/>
              <w:spacing w:after="0"/>
              <w:rPr>
                <w:sz w:val="20"/>
                <w:szCs w:val="20"/>
                <w:color w:val="auto"/>
              </w:rPr>
            </w:pPr>
            <w:r>
              <w:rPr>
                <w:rFonts w:ascii="Arial" w:cs="Arial" w:eastAsia="Arial" w:hAnsi="Arial"/>
                <w:sz w:val="18"/>
                <w:szCs w:val="18"/>
                <w:color w:val="auto"/>
              </w:rPr>
              <w:t>(9,799.7)</w:t>
            </w:r>
          </w:p>
        </w:tc>
        <w:tc>
          <w:tcPr>
            <w:tcW w:w="160" w:type="dxa"/>
            <w:vAlign w:val="bottom"/>
            <w:shd w:val="clear" w:color="auto" w:fill="D8D8D8"/>
          </w:tcPr>
          <w:p>
            <w:pPr>
              <w:spacing w:after="0"/>
              <w:rPr>
                <w:sz w:val="24"/>
                <w:szCs w:val="24"/>
                <w:color w:val="auto"/>
              </w:rPr>
            </w:pPr>
          </w:p>
        </w:tc>
        <w:tc>
          <w:tcPr>
            <w:tcW w:w="840" w:type="dxa"/>
            <w:vAlign w:val="bottom"/>
            <w:shd w:val="clear" w:color="auto" w:fill="D8D8D8"/>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5"/>
              <w:spacing w:after="0"/>
              <w:rPr>
                <w:sz w:val="20"/>
                <w:szCs w:val="20"/>
                <w:color w:val="auto"/>
              </w:rPr>
            </w:pPr>
            <w:r>
              <w:rPr>
                <w:rFonts w:ascii="Arial" w:cs="Arial" w:eastAsia="Arial" w:hAnsi="Arial"/>
                <w:sz w:val="18"/>
                <w:szCs w:val="18"/>
                <w:color w:val="auto"/>
              </w:rPr>
              <w:t>(9,989.4)</w:t>
            </w:r>
          </w:p>
        </w:tc>
        <w:tc>
          <w:tcPr>
            <w:tcW w:w="240" w:type="dxa"/>
            <w:vAlign w:val="bottom"/>
            <w:shd w:val="clear" w:color="auto" w:fill="D8D8D8"/>
          </w:tcPr>
          <w:p>
            <w:pPr>
              <w:spacing w:after="0"/>
              <w:rPr>
                <w:sz w:val="24"/>
                <w:szCs w:val="24"/>
                <w:color w:val="auto"/>
              </w:rPr>
            </w:pPr>
          </w:p>
        </w:tc>
        <w:tc>
          <w:tcPr>
            <w:tcW w:w="1100" w:type="dxa"/>
            <w:vAlign w:val="bottom"/>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(9,989.4)</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73</w:t>
      </w:r>
    </w:p>
    <w:p>
      <w:pPr>
        <w:sectPr>
          <w:pgSz w:w="11900" w:h="16838" w:orient="portrait"/>
          <w:cols w:equalWidth="0" w:num="1">
            <w:col w:w="11420"/>
          </w:cols>
          <w:pgMar w:left="240" w:top="901" w:right="239" w:bottom="1440" w:gutter="0" w:footer="0" w:header="0"/>
        </w:sectPr>
      </w:pPr>
    </w:p>
    <w:bookmarkStart w:id="73" w:name="page74"/>
    <w:bookmarkEnd w:id="73"/>
    <w:tbl>
      <w:tblPr>
        <w:tblLayout w:type="fixed"/>
        <w:tblInd w:w="4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980" w:type="dxa"/>
            <w:vAlign w:val="bottom"/>
            <w:tcBorders>
              <w:bottom w:val="single" w:sz="8" w:color="auto"/>
            </w:tcBorders>
            <w:gridSpan w:val="2"/>
          </w:tcPr>
          <w:p>
            <w:pPr>
              <w:jc w:val="center"/>
              <w:ind w:left="1017"/>
              <w:spacing w:after="0"/>
              <w:rPr>
                <w:sz w:val="20"/>
                <w:szCs w:val="20"/>
                <w:color w:val="auto"/>
              </w:rPr>
            </w:pPr>
            <w:r>
              <w:rPr>
                <w:rFonts w:ascii="Arial" w:cs="Arial" w:eastAsia="Arial" w:hAnsi="Arial"/>
                <w:sz w:val="13"/>
                <w:szCs w:val="13"/>
                <w:b w:val="1"/>
                <w:bCs w:val="1"/>
                <w:color w:val="auto"/>
                <w:w w:val="96"/>
              </w:rPr>
              <w:t>Fair Value Measurements Using</w:t>
            </w:r>
          </w:p>
        </w:tc>
        <w:tc>
          <w:tcPr>
            <w:tcW w:w="104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r>
      <w:tr>
        <w:trPr>
          <w:trHeight w:val="140"/>
        </w:trPr>
        <w:tc>
          <w:tcPr>
            <w:tcW w:w="28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60" w:type="dxa"/>
            <w:vAlign w:val="bottom"/>
          </w:tcPr>
          <w:p>
            <w:pPr>
              <w:jc w:val="center"/>
              <w:ind w:right="317"/>
              <w:spacing w:after="0" w:line="140" w:lineRule="exact"/>
              <w:rPr>
                <w:sz w:val="20"/>
                <w:szCs w:val="20"/>
                <w:color w:val="auto"/>
              </w:rPr>
            </w:pPr>
            <w:r>
              <w:rPr>
                <w:rFonts w:ascii="Arial" w:cs="Arial" w:eastAsia="Arial" w:hAnsi="Arial"/>
                <w:sz w:val="13"/>
                <w:szCs w:val="13"/>
                <w:b w:val="1"/>
                <w:bCs w:val="1"/>
                <w:color w:val="auto"/>
                <w:w w:val="99"/>
              </w:rPr>
              <w:t>Significant</w:t>
            </w: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8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4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1560" w:type="dxa"/>
            <w:vAlign w:val="bottom"/>
          </w:tcPr>
          <w:p>
            <w:pPr>
              <w:jc w:val="center"/>
              <w:ind w:right="317"/>
              <w:spacing w:after="0" w:line="135" w:lineRule="exact"/>
              <w:rPr>
                <w:sz w:val="20"/>
                <w:szCs w:val="20"/>
                <w:color w:val="auto"/>
              </w:rPr>
            </w:pPr>
            <w:r>
              <w:rPr>
                <w:rFonts w:ascii="Arial" w:cs="Arial" w:eastAsia="Arial" w:hAnsi="Arial"/>
                <w:sz w:val="13"/>
                <w:szCs w:val="13"/>
                <w:b w:val="1"/>
                <w:bCs w:val="1"/>
                <w:color w:val="auto"/>
                <w:w w:val="97"/>
              </w:rPr>
              <w:t>Other</w:t>
            </w:r>
          </w:p>
        </w:tc>
        <w:tc>
          <w:tcPr>
            <w:tcW w:w="104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6"/>
              </w:rPr>
              <w:t>Significant</w:t>
            </w:r>
          </w:p>
        </w:tc>
        <w:tc>
          <w:tcPr>
            <w:tcW w:w="900" w:type="dxa"/>
            <w:vAlign w:val="bottom"/>
          </w:tcPr>
          <w:p>
            <w:pPr>
              <w:spacing w:after="0"/>
              <w:rPr>
                <w:sz w:val="11"/>
                <w:szCs w:val="11"/>
                <w:color w:val="auto"/>
              </w:rPr>
            </w:pPr>
          </w:p>
        </w:tc>
      </w:tr>
      <w:tr>
        <w:trPr>
          <w:trHeight w:val="135"/>
        </w:trPr>
        <w:tc>
          <w:tcPr>
            <w:tcW w:w="28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1560" w:type="dxa"/>
            <w:vAlign w:val="bottom"/>
          </w:tcPr>
          <w:p>
            <w:pPr>
              <w:jc w:val="center"/>
              <w:ind w:right="317"/>
              <w:spacing w:after="0" w:line="135" w:lineRule="exact"/>
              <w:rPr>
                <w:sz w:val="20"/>
                <w:szCs w:val="20"/>
                <w:color w:val="auto"/>
              </w:rPr>
            </w:pPr>
            <w:r>
              <w:rPr>
                <w:rFonts w:ascii="Arial" w:cs="Arial" w:eastAsia="Arial" w:hAnsi="Arial"/>
                <w:sz w:val="13"/>
                <w:szCs w:val="13"/>
                <w:b w:val="1"/>
                <w:bCs w:val="1"/>
                <w:color w:val="auto"/>
                <w:w w:val="98"/>
              </w:rPr>
              <w:t>Observable</w:t>
            </w:r>
          </w:p>
        </w:tc>
        <w:tc>
          <w:tcPr>
            <w:tcW w:w="10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5"/>
              </w:rPr>
              <w:t>Unobservable</w:t>
            </w:r>
          </w:p>
        </w:tc>
        <w:tc>
          <w:tcPr>
            <w:tcW w:w="900" w:type="dxa"/>
            <w:vAlign w:val="bottom"/>
          </w:tcPr>
          <w:p>
            <w:pPr>
              <w:spacing w:after="0"/>
              <w:rPr>
                <w:sz w:val="11"/>
                <w:szCs w:val="11"/>
                <w:color w:val="auto"/>
              </w:rPr>
            </w:pPr>
          </w:p>
        </w:tc>
      </w:tr>
      <w:tr>
        <w:trPr>
          <w:trHeight w:val="135"/>
        </w:trPr>
        <w:tc>
          <w:tcPr>
            <w:tcW w:w="2840" w:type="dxa"/>
            <w:vAlign w:val="bottom"/>
          </w:tcPr>
          <w:p>
            <w:pPr>
              <w:spacing w:after="0"/>
              <w:rPr>
                <w:sz w:val="11"/>
                <w:szCs w:val="11"/>
                <w:color w:val="auto"/>
              </w:rPr>
            </w:pPr>
          </w:p>
        </w:tc>
        <w:tc>
          <w:tcPr>
            <w:tcW w:w="3140" w:type="dxa"/>
            <w:vAlign w:val="bottom"/>
          </w:tcPr>
          <w:p>
            <w:pPr>
              <w:jc w:val="center"/>
              <w:ind w:left="1597"/>
              <w:spacing w:after="0" w:line="135" w:lineRule="exact"/>
              <w:rPr>
                <w:sz w:val="20"/>
                <w:szCs w:val="20"/>
                <w:color w:val="auto"/>
              </w:rPr>
            </w:pPr>
            <w:r>
              <w:rPr>
                <w:rFonts w:ascii="Arial" w:cs="Arial" w:eastAsia="Arial" w:hAnsi="Arial"/>
                <w:sz w:val="13"/>
                <w:szCs w:val="13"/>
                <w:b w:val="1"/>
                <w:bCs w:val="1"/>
                <w:color w:val="auto"/>
                <w:w w:val="97"/>
              </w:rPr>
              <w:t>Carrying</w:t>
            </w:r>
          </w:p>
        </w:tc>
        <w:tc>
          <w:tcPr>
            <w:tcW w:w="14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560" w:type="dxa"/>
            <w:vAlign w:val="bottom"/>
          </w:tcPr>
          <w:p>
            <w:pPr>
              <w:jc w:val="center"/>
              <w:ind w:right="317"/>
              <w:spacing w:after="0" w:line="135" w:lineRule="exact"/>
              <w:rPr>
                <w:sz w:val="20"/>
                <w:szCs w:val="20"/>
                <w:color w:val="auto"/>
              </w:rPr>
            </w:pPr>
            <w:r>
              <w:rPr>
                <w:rFonts w:ascii="Arial" w:cs="Arial" w:eastAsia="Arial" w:hAnsi="Arial"/>
                <w:sz w:val="13"/>
                <w:szCs w:val="13"/>
                <w:b w:val="1"/>
                <w:bCs w:val="1"/>
                <w:color w:val="auto"/>
                <w:w w:val="97"/>
              </w:rPr>
              <w:t>Inputs</w:t>
            </w:r>
          </w:p>
        </w:tc>
        <w:tc>
          <w:tcPr>
            <w:tcW w:w="10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7"/>
              </w:rPr>
              <w:t>Inputs</w:t>
            </w:r>
          </w:p>
        </w:tc>
        <w:tc>
          <w:tcPr>
            <w:tcW w:w="900" w:type="dxa"/>
            <w:vAlign w:val="bottom"/>
          </w:tcPr>
          <w:p>
            <w:pPr>
              <w:jc w:val="center"/>
              <w:ind w:left="517"/>
              <w:spacing w:after="0" w:line="135" w:lineRule="exact"/>
              <w:rPr>
                <w:sz w:val="20"/>
                <w:szCs w:val="20"/>
                <w:color w:val="auto"/>
              </w:rPr>
            </w:pPr>
            <w:r>
              <w:rPr>
                <w:rFonts w:ascii="Arial" w:cs="Arial" w:eastAsia="Arial" w:hAnsi="Arial"/>
                <w:sz w:val="13"/>
                <w:szCs w:val="13"/>
                <w:b w:val="1"/>
                <w:bCs w:val="1"/>
                <w:color w:val="auto"/>
              </w:rPr>
              <w:t>Fair</w:t>
            </w:r>
          </w:p>
        </w:tc>
      </w:tr>
      <w:tr>
        <w:trPr>
          <w:trHeight w:val="168"/>
        </w:trPr>
        <w:tc>
          <w:tcPr>
            <w:tcW w:w="284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3140" w:type="dxa"/>
            <w:vAlign w:val="bottom"/>
          </w:tcPr>
          <w:p>
            <w:pPr>
              <w:jc w:val="center"/>
              <w:ind w:left="1597"/>
              <w:spacing w:after="0"/>
              <w:rPr>
                <w:sz w:val="20"/>
                <w:szCs w:val="20"/>
                <w:color w:val="auto"/>
              </w:rPr>
            </w:pPr>
            <w:r>
              <w:rPr>
                <w:rFonts w:ascii="Arial" w:cs="Arial" w:eastAsia="Arial" w:hAnsi="Arial"/>
                <w:sz w:val="13"/>
                <w:szCs w:val="13"/>
                <w:b w:val="1"/>
                <w:bCs w:val="1"/>
                <w:color w:val="auto"/>
                <w:w w:val="97"/>
              </w:rPr>
              <w:t>Amount</w:t>
            </w: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4"/>
              </w:rPr>
              <w:t>(Level 1)</w:t>
            </w:r>
          </w:p>
        </w:tc>
        <w:tc>
          <w:tcPr>
            <w:tcW w:w="1560" w:type="dxa"/>
            <w:vAlign w:val="bottom"/>
          </w:tcPr>
          <w:p>
            <w:pPr>
              <w:jc w:val="center"/>
              <w:ind w:right="317"/>
              <w:spacing w:after="0"/>
              <w:rPr>
                <w:sz w:val="20"/>
                <w:szCs w:val="20"/>
                <w:color w:val="auto"/>
              </w:rPr>
            </w:pPr>
            <w:r>
              <w:rPr>
                <w:rFonts w:ascii="Arial" w:cs="Arial" w:eastAsia="Arial" w:hAnsi="Arial"/>
                <w:sz w:val="13"/>
                <w:szCs w:val="13"/>
                <w:b w:val="1"/>
                <w:bCs w:val="1"/>
                <w:color w:val="auto"/>
                <w:w w:val="94"/>
              </w:rPr>
              <w:t>(Level 2)</w:t>
            </w:r>
          </w:p>
        </w:tc>
        <w:tc>
          <w:tcPr>
            <w:tcW w:w="1040" w:type="dxa"/>
            <w:vAlign w:val="bottom"/>
          </w:tcPr>
          <w:p>
            <w:pPr>
              <w:jc w:val="center"/>
              <w:ind w:right="157"/>
              <w:spacing w:after="0"/>
              <w:rPr>
                <w:sz w:val="20"/>
                <w:szCs w:val="20"/>
                <w:color w:val="auto"/>
              </w:rPr>
            </w:pPr>
            <w:r>
              <w:rPr>
                <w:rFonts w:ascii="Arial" w:cs="Arial" w:eastAsia="Arial" w:hAnsi="Arial"/>
                <w:sz w:val="13"/>
                <w:szCs w:val="13"/>
                <w:b w:val="1"/>
                <w:bCs w:val="1"/>
                <w:color w:val="auto"/>
                <w:w w:val="94"/>
              </w:rPr>
              <w:t>(Level 3)</w:t>
            </w:r>
          </w:p>
        </w:tc>
        <w:tc>
          <w:tcPr>
            <w:tcW w:w="900" w:type="dxa"/>
            <w:vAlign w:val="bottom"/>
          </w:tcPr>
          <w:p>
            <w:pPr>
              <w:jc w:val="center"/>
              <w:ind w:left="517"/>
              <w:spacing w:after="0"/>
              <w:rPr>
                <w:sz w:val="20"/>
                <w:szCs w:val="20"/>
                <w:color w:val="auto"/>
              </w:rPr>
            </w:pPr>
            <w:r>
              <w:rPr>
                <w:rFonts w:ascii="Arial" w:cs="Arial" w:eastAsia="Arial" w:hAnsi="Arial"/>
                <w:sz w:val="13"/>
                <w:szCs w:val="13"/>
                <w:b w:val="1"/>
                <w:bCs w:val="1"/>
                <w:color w:val="auto"/>
                <w:w w:val="92"/>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Risk-management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contracts designated as fair value hedges:</w:t>
      </w:r>
    </w:p>
    <w:p>
      <w:pPr>
        <w:spacing w:after="0" w:line="55" w:lineRule="exact"/>
        <w:rPr>
          <w:sz w:val="20"/>
          <w:szCs w:val="20"/>
          <w:color w:val="auto"/>
        </w:rPr>
      </w:pPr>
    </w:p>
    <w:p>
      <w:pPr>
        <w:ind w:left="380"/>
        <w:spacing w:after="0"/>
        <w:tabs>
          <w:tab w:leader="none" w:pos="4640" w:val="left"/>
          <w:tab w:leader="none" w:pos="5440" w:val="left"/>
          <w:tab w:leader="none" w:pos="6020" w:val="left"/>
          <w:tab w:leader="none" w:pos="6980" w:val="left"/>
          <w:tab w:leader="none" w:pos="7400" w:val="left"/>
          <w:tab w:leader="none" w:pos="8180" w:val="left"/>
          <w:tab w:leader="none" w:pos="8780" w:val="left"/>
          <w:tab w:leader="none" w:pos="9740" w:val="left"/>
          <w:tab w:leader="none" w:pos="10160" w:val="left"/>
          <w:tab w:leader="none" w:pos="10940" w:val="left"/>
        </w:tabs>
        <w:rPr>
          <w:sz w:val="20"/>
          <w:szCs w:val="20"/>
          <w:color w:val="auto"/>
        </w:rPr>
      </w:pPr>
      <w:r>
        <w:rPr>
          <w:rFonts w:ascii="Arial" w:cs="Arial" w:eastAsia="Arial" w:hAnsi="Arial"/>
          <w:sz w:val="18"/>
          <w:szCs w:val="18"/>
          <w:color w:val="auto"/>
        </w:rPr>
        <w:t>Other noncurrent assets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72.0</w:t>
        <w:tab/>
        <w:t>$</w:t>
      </w:r>
      <w:r>
        <w:rPr>
          <w:sz w:val="20"/>
          <w:szCs w:val="20"/>
          <w:color w:val="auto"/>
        </w:rPr>
        <w:tab/>
      </w: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8"/>
          <w:szCs w:val="18"/>
          <w:b w:val="1"/>
          <w:bCs w:val="1"/>
          <w:color w:val="auto"/>
        </w:rPr>
        <w:t>72.0</w:t>
        <w:tab/>
        <w:t>$</w:t>
      </w:r>
      <w:r>
        <w:rPr>
          <w:sz w:val="20"/>
          <w:szCs w:val="20"/>
          <w:color w:val="auto"/>
        </w:rPr>
        <w:tab/>
      </w: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8"/>
          <w:szCs w:val="18"/>
          <w:b w:val="1"/>
          <w:bCs w:val="1"/>
          <w:color w:val="auto"/>
        </w:rPr>
        <w:t>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contracts designated as cash flow hedges:</w:t>
      </w:r>
    </w:p>
    <w:p>
      <w:pPr>
        <w:spacing w:after="0" w:line="55" w:lineRule="exact"/>
        <w:rPr>
          <w:sz w:val="20"/>
          <w:szCs w:val="20"/>
          <w:color w:val="auto"/>
        </w:rPr>
      </w:pPr>
    </w:p>
    <w:p>
      <w:pPr>
        <w:ind w:left="380"/>
        <w:spacing w:after="0"/>
        <w:tabs>
          <w:tab w:leader="none" w:pos="5440" w:val="left"/>
          <w:tab w:leader="none" w:pos="6980" w:val="left"/>
          <w:tab w:leader="none" w:pos="8180" w:val="left"/>
          <w:tab w:leader="none" w:pos="9740" w:val="left"/>
          <w:tab w:leader="none" w:pos="10940" w:val="left"/>
        </w:tabs>
        <w:rPr>
          <w:sz w:val="20"/>
          <w:szCs w:val="20"/>
          <w:color w:val="auto"/>
        </w:rPr>
      </w:pPr>
      <w:r>
        <w:rPr>
          <w:rFonts w:ascii="Arial" w:cs="Arial" w:eastAsia="Arial" w:hAnsi="Arial"/>
          <w:sz w:val="18"/>
          <w:szCs w:val="18"/>
          <w:color w:val="auto"/>
        </w:rPr>
        <w:t>Other noncurrent assets</w:t>
      </w:r>
      <w:r>
        <w:rPr>
          <w:sz w:val="20"/>
          <w:szCs w:val="20"/>
          <w:color w:val="auto"/>
        </w:rPr>
        <w:tab/>
      </w:r>
      <w:r>
        <w:rPr>
          <w:rFonts w:ascii="Arial" w:cs="Arial" w:eastAsia="Arial" w:hAnsi="Arial"/>
          <w:sz w:val="18"/>
          <w:szCs w:val="18"/>
          <w:b w:val="1"/>
          <w:bCs w:val="1"/>
          <w:color w:val="auto"/>
        </w:rPr>
        <w:t>43.3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43.3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Cross-currency interest rate contracts designated as</w:t>
      </w:r>
    </w:p>
    <w:p>
      <w:pPr>
        <w:ind w:left="340"/>
        <w:spacing w:after="0"/>
        <w:rPr>
          <w:sz w:val="20"/>
          <w:szCs w:val="20"/>
          <w:color w:val="auto"/>
        </w:rPr>
      </w:pPr>
      <w:r>
        <w:rPr>
          <w:rFonts w:ascii="Arial" w:cs="Arial" w:eastAsia="Arial" w:hAnsi="Arial"/>
          <w:sz w:val="18"/>
          <w:szCs w:val="18"/>
          <w:color w:val="auto"/>
        </w:rPr>
        <w:t>net investment hedges:</w:t>
      </w:r>
    </w:p>
    <w:p>
      <w:pPr>
        <w:sectPr>
          <w:pgSz w:w="11900" w:h="16838" w:orient="portrait"/>
          <w:cols w:equalWidth="0" w:num="1">
            <w:col w:w="11420"/>
          </w:cols>
          <w:pgMar w:left="240" w:top="901" w:right="239" w:bottom="1440" w:gutter="0" w:footer="0" w:header="0"/>
        </w:sectPr>
      </w:pP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63" w:lineRule="exact"/>
        <w:rPr>
          <w:sz w:val="20"/>
          <w:szCs w:val="20"/>
          <w:color w:val="auto"/>
        </w:rPr>
      </w:pPr>
    </w:p>
    <w:p>
      <w:pPr>
        <w:ind w:left="340" w:right="340" w:hanging="161"/>
        <w:spacing w:after="0" w:line="246" w:lineRule="auto"/>
        <w:rPr>
          <w:sz w:val="20"/>
          <w:szCs w:val="20"/>
          <w:color w:val="auto"/>
        </w:rPr>
      </w:pPr>
      <w:r>
        <w:rPr>
          <w:rFonts w:ascii="Arial" w:cs="Arial" w:eastAsia="Arial" w:hAnsi="Arial"/>
          <w:sz w:val="18"/>
          <w:szCs w:val="18"/>
          <w:color w:val="auto"/>
        </w:rPr>
        <w:t>Cross-currency interest rate contracts designated as cash flow hedges: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rPr>
              <w:t>45.1</w:t>
            </w:r>
          </w:p>
        </w:tc>
        <w:tc>
          <w:tcPr>
            <w:tcW w:w="12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30"/>
              <w:spacing w:after="0"/>
              <w:rPr>
                <w:sz w:val="20"/>
                <w:szCs w:val="20"/>
                <w:color w:val="auto"/>
              </w:rPr>
            </w:pPr>
            <w:r>
              <w:rPr>
                <w:rFonts w:ascii="Arial" w:cs="Arial" w:eastAsia="Arial" w:hAnsi="Arial"/>
                <w:sz w:val="18"/>
                <w:szCs w:val="18"/>
                <w:b w:val="1"/>
                <w:bCs w:val="1"/>
                <w:color w:val="auto"/>
              </w:rPr>
              <w:t>45.1</w:t>
            </w:r>
          </w:p>
        </w:tc>
        <w:tc>
          <w:tcPr>
            <w:tcW w:w="12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45.1</w:t>
            </w:r>
          </w:p>
        </w:tc>
      </w:tr>
      <w:tr>
        <w:trPr>
          <w:trHeight w:val="270"/>
        </w:trPr>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w w:val="93"/>
              </w:rPr>
              <w:t>(21.4)</w:t>
            </w:r>
          </w:p>
        </w:tc>
        <w:tc>
          <w:tcPr>
            <w:tcW w:w="12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(21.4)</w:t>
            </w:r>
          </w:p>
        </w:tc>
        <w:tc>
          <w:tcPr>
            <w:tcW w:w="12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(21.4)</w:t>
            </w:r>
          </w:p>
        </w:tc>
      </w:tr>
      <w:tr>
        <w:trPr>
          <w:trHeight w:val="270"/>
        </w:trPr>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(5.7)</w:t>
            </w:r>
          </w:p>
        </w:tc>
        <w:tc>
          <w:tcPr>
            <w:tcW w:w="12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(5.7)</w:t>
            </w:r>
          </w:p>
        </w:tc>
        <w:tc>
          <w:tcPr>
            <w:tcW w:w="12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-334010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8890</wp:posOffset>
            </wp:positionV>
            <wp:extent cx="7246620"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4680" w:space="720"/>
            <w:col w:w="6020"/>
          </w:cols>
          <w:pgMar w:left="240" w:top="901" w:right="239" w:bottom="1440" w:gutter="0" w:footer="0" w:header="0"/>
          <w:type w:val="continuous"/>
        </w:sectPr>
      </w:pP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63" w:lineRule="exact"/>
        <w:rPr>
          <w:sz w:val="20"/>
          <w:szCs w:val="20"/>
          <w:color w:val="auto"/>
        </w:rPr>
      </w:pPr>
    </w:p>
    <w:p>
      <w:pPr>
        <w:ind w:left="340" w:right="120" w:hanging="161"/>
        <w:spacing w:after="0" w:line="246" w:lineRule="auto"/>
        <w:rPr>
          <w:sz w:val="20"/>
          <w:szCs w:val="20"/>
          <w:color w:val="auto"/>
        </w:rPr>
      </w:pPr>
      <w:r>
        <w:rPr>
          <w:rFonts w:ascii="Arial" w:cs="Arial" w:eastAsia="Arial" w:hAnsi="Arial"/>
          <w:sz w:val="18"/>
          <w:szCs w:val="18"/>
          <w:color w:val="auto"/>
        </w:rPr>
        <w:t>Foreign exchange contracts not designated as hedging instruments: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rPr>
              <w:t>3.0</w:t>
            </w:r>
          </w:p>
        </w:tc>
        <w:tc>
          <w:tcPr>
            <w:tcW w:w="1220" w:type="dxa"/>
            <w:vAlign w:val="bottom"/>
          </w:tcPr>
          <w:p>
            <w:pPr>
              <w:spacing w:after="0"/>
              <w:rPr>
                <w:sz w:val="20"/>
                <w:szCs w:val="20"/>
                <w:color w:val="auto"/>
              </w:rPr>
            </w:pPr>
          </w:p>
        </w:tc>
        <w:tc>
          <w:tcPr>
            <w:tcW w:w="1520" w:type="dxa"/>
            <w:vAlign w:val="bottom"/>
          </w:tcPr>
          <w:p>
            <w:pPr>
              <w:jc w:val="right"/>
              <w:ind w:right="530"/>
              <w:spacing w:after="0"/>
              <w:rPr>
                <w:sz w:val="20"/>
                <w:szCs w:val="20"/>
                <w:color w:val="auto"/>
              </w:rPr>
            </w:pPr>
            <w:r>
              <w:rPr>
                <w:rFonts w:ascii="Arial" w:cs="Arial" w:eastAsia="Arial" w:hAnsi="Arial"/>
                <w:sz w:val="18"/>
                <w:szCs w:val="18"/>
                <w:b w:val="1"/>
                <w:bCs w:val="1"/>
                <w:color w:val="auto"/>
              </w:rPr>
              <w:t>3.0</w:t>
            </w:r>
          </w:p>
        </w:tc>
        <w:tc>
          <w:tcPr>
            <w:tcW w:w="1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0"/>
        </w:trPr>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w w:val="93"/>
              </w:rPr>
              <w:t>(20.1)</w:t>
            </w:r>
          </w:p>
        </w:tc>
        <w:tc>
          <w:tcPr>
            <w:tcW w:w="12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w:t>
            </w:r>
          </w:p>
        </w:tc>
        <w:tc>
          <w:tcPr>
            <w:tcW w:w="12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-162560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8" w:lineRule="exact"/>
        <w:rPr>
          <w:sz w:val="20"/>
          <w:szCs w:val="20"/>
          <w:color w:val="auto"/>
        </w:rPr>
      </w:pPr>
    </w:p>
    <w:p>
      <w:pPr>
        <w:sectPr>
          <w:pgSz w:w="11900" w:h="16838" w:orient="portrait"/>
          <w:cols w:equalWidth="0" w:num="2">
            <w:col w:w="4680" w:space="720"/>
            <w:col w:w="6020"/>
          </w:cols>
          <w:pgMar w:left="240" w:top="90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980" w:type="dxa"/>
            <w:vAlign w:val="bottom"/>
            <w:shd w:val="clear" w:color="auto" w:fill="DDDDDD"/>
          </w:tcPr>
          <w:p>
            <w:pPr>
              <w:ind w:left="380"/>
              <w:spacing w:after="0"/>
              <w:rPr>
                <w:sz w:val="20"/>
                <w:szCs w:val="20"/>
                <w:color w:val="auto"/>
              </w:rPr>
            </w:pPr>
            <w:r>
              <w:rPr>
                <w:rFonts w:ascii="Arial" w:cs="Arial" w:eastAsia="Arial" w:hAnsi="Arial"/>
                <w:sz w:val="18"/>
                <w:szCs w:val="18"/>
                <w:color w:val="auto"/>
              </w:rPr>
              <w:t>Other receivables</w:t>
            </w:r>
          </w:p>
        </w:tc>
        <w:tc>
          <w:tcPr>
            <w:tcW w:w="1460" w:type="dxa"/>
            <w:vAlign w:val="bottom"/>
            <w:shd w:val="clear" w:color="auto" w:fill="DDDDDD"/>
          </w:tcPr>
          <w:p>
            <w:pPr>
              <w:jc w:val="right"/>
              <w:ind w:right="550"/>
              <w:spacing w:after="0"/>
              <w:rPr>
                <w:sz w:val="20"/>
                <w:szCs w:val="20"/>
                <w:color w:val="auto"/>
              </w:rPr>
            </w:pPr>
            <w:r>
              <w:rPr>
                <w:rFonts w:ascii="Arial" w:cs="Arial" w:eastAsia="Arial" w:hAnsi="Arial"/>
                <w:sz w:val="18"/>
                <w:szCs w:val="18"/>
                <w:b w:val="1"/>
                <w:bCs w:val="1"/>
                <w:color w:val="auto"/>
              </w:rPr>
              <w:t>18.4</w:t>
            </w:r>
          </w:p>
        </w:tc>
        <w:tc>
          <w:tcPr>
            <w:tcW w:w="1220" w:type="dxa"/>
            <w:vAlign w:val="bottom"/>
            <w:shd w:val="clear" w:color="auto" w:fill="DDDDDD"/>
          </w:tcPr>
          <w:p>
            <w:pPr>
              <w:ind w:left="56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DDDDDD"/>
          </w:tcPr>
          <w:p>
            <w:pPr>
              <w:jc w:val="right"/>
              <w:ind w:right="530"/>
              <w:spacing w:after="0"/>
              <w:rPr>
                <w:sz w:val="20"/>
                <w:szCs w:val="20"/>
                <w:color w:val="auto"/>
              </w:rPr>
            </w:pPr>
            <w:r>
              <w:rPr>
                <w:rFonts w:ascii="Arial" w:cs="Arial" w:eastAsia="Arial" w:hAnsi="Arial"/>
                <w:sz w:val="18"/>
                <w:szCs w:val="18"/>
                <w:b w:val="1"/>
                <w:bCs w:val="1"/>
                <w:color w:val="auto"/>
              </w:rPr>
              <w:t>18.4</w:t>
            </w:r>
          </w:p>
        </w:tc>
        <w:tc>
          <w:tcPr>
            <w:tcW w:w="1240" w:type="dxa"/>
            <w:vAlign w:val="bottom"/>
            <w:shd w:val="clear" w:color="auto" w:fill="DDDDDD"/>
          </w:tcPr>
          <w:p>
            <w:pPr>
              <w:ind w:left="58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DDDDD"/>
          </w:tcPr>
          <w:p>
            <w:pPr>
              <w:jc w:val="right"/>
              <w:ind w:right="10"/>
              <w:spacing w:after="0"/>
              <w:rPr>
                <w:sz w:val="20"/>
                <w:szCs w:val="20"/>
                <w:color w:val="auto"/>
              </w:rPr>
            </w:pPr>
            <w:r>
              <w:rPr>
                <w:rFonts w:ascii="Arial" w:cs="Arial" w:eastAsia="Arial" w:hAnsi="Arial"/>
                <w:sz w:val="18"/>
                <w:szCs w:val="18"/>
                <w:b w:val="1"/>
                <w:bCs w:val="1"/>
                <w:color w:val="auto"/>
              </w:rPr>
              <w:t>18.4</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(11.9)</w:t>
            </w:r>
          </w:p>
        </w:tc>
        <w:tc>
          <w:tcPr>
            <w:tcW w:w="122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(11.9)</w:t>
            </w:r>
          </w:p>
        </w:tc>
        <w:tc>
          <w:tcPr>
            <w:tcW w:w="12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277"/>
        </w:trPr>
        <w:tc>
          <w:tcPr>
            <w:tcW w:w="4980" w:type="dxa"/>
            <w:vAlign w:val="bottom"/>
            <w:shd w:val="clear" w:color="auto" w:fill="D8D8D8"/>
          </w:tcPr>
          <w:p>
            <w:pPr>
              <w:spacing w:after="0"/>
              <w:rPr>
                <w:sz w:val="24"/>
                <w:szCs w:val="24"/>
                <w:color w:val="auto"/>
              </w:rPr>
            </w:pPr>
          </w:p>
        </w:tc>
        <w:tc>
          <w:tcPr>
            <w:tcW w:w="1460" w:type="dxa"/>
            <w:vAlign w:val="bottom"/>
            <w:shd w:val="clear" w:color="auto" w:fill="D8D8D8"/>
          </w:tcPr>
          <w:p>
            <w:pPr>
              <w:spacing w:after="0"/>
              <w:rPr>
                <w:sz w:val="24"/>
                <w:szCs w:val="24"/>
                <w:color w:val="auto"/>
              </w:rPr>
            </w:pPr>
          </w:p>
        </w:tc>
        <w:tc>
          <w:tcPr>
            <w:tcW w:w="1220" w:type="dxa"/>
            <w:vAlign w:val="bottom"/>
            <w:shd w:val="clear" w:color="auto" w:fill="D8D8D8"/>
          </w:tcPr>
          <w:p>
            <w:pPr>
              <w:spacing w:after="0"/>
              <w:rPr>
                <w:sz w:val="24"/>
                <w:szCs w:val="24"/>
                <w:color w:val="auto"/>
              </w:rPr>
            </w:pPr>
          </w:p>
        </w:tc>
        <w:tc>
          <w:tcPr>
            <w:tcW w:w="1520" w:type="dxa"/>
            <w:vAlign w:val="bottom"/>
            <w:shd w:val="clear" w:color="auto" w:fill="D8D8D8"/>
          </w:tcPr>
          <w:p>
            <w:pPr>
              <w:spacing w:after="0"/>
              <w:rPr>
                <w:sz w:val="24"/>
                <w:szCs w:val="24"/>
                <w:color w:val="auto"/>
              </w:rPr>
            </w:pPr>
          </w:p>
        </w:tc>
        <w:tc>
          <w:tcPr>
            <w:tcW w:w="124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1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Risk-management instruments</w:t>
            </w:r>
          </w:p>
        </w:tc>
        <w:tc>
          <w:tcPr>
            <w:tcW w:w="1460" w:type="dxa"/>
            <w:vAlign w:val="bottom"/>
            <w:tcBorders>
              <w:bottom w:val="single" w:sz="8" w:color="D8D8D8"/>
            </w:tcBorders>
            <w:shd w:val="clear" w:color="auto" w:fill="D8D8D8"/>
          </w:tcPr>
          <w:p>
            <w:pPr>
              <w:spacing w:after="0"/>
              <w:rPr>
                <w:sz w:val="21"/>
                <w:szCs w:val="21"/>
                <w:color w:val="auto"/>
              </w:rPr>
            </w:pPr>
          </w:p>
        </w:tc>
        <w:tc>
          <w:tcPr>
            <w:tcW w:w="1220" w:type="dxa"/>
            <w:vAlign w:val="bottom"/>
            <w:tcBorders>
              <w:bottom w:val="single" w:sz="8" w:color="D8D8D8"/>
            </w:tcBorders>
            <w:shd w:val="clear" w:color="auto" w:fill="D8D8D8"/>
          </w:tcPr>
          <w:p>
            <w:pPr>
              <w:spacing w:after="0"/>
              <w:rPr>
                <w:sz w:val="21"/>
                <w:szCs w:val="21"/>
                <w:color w:val="auto"/>
              </w:rPr>
            </w:pPr>
          </w:p>
        </w:tc>
        <w:tc>
          <w:tcPr>
            <w:tcW w:w="152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Interest rate contracts designated as fair value hedges:</w:t>
            </w:r>
          </w:p>
        </w:tc>
        <w:tc>
          <w:tcPr>
            <w:tcW w:w="1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8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noncurrent assets</w:t>
            </w:r>
          </w:p>
        </w:tc>
        <w:tc>
          <w:tcPr>
            <w:tcW w:w="1460" w:type="dxa"/>
            <w:vAlign w:val="bottom"/>
            <w:shd w:val="clear" w:color="auto" w:fill="D8D8D8"/>
          </w:tcPr>
          <w:p>
            <w:pPr>
              <w:jc w:val="right"/>
              <w:ind w:right="550"/>
              <w:spacing w:after="0"/>
              <w:rPr>
                <w:sz w:val="20"/>
                <w:szCs w:val="20"/>
                <w:color w:val="auto"/>
              </w:rPr>
            </w:pPr>
            <w:r>
              <w:rPr>
                <w:rFonts w:ascii="Arial" w:cs="Arial" w:eastAsia="Arial" w:hAnsi="Arial"/>
                <w:sz w:val="18"/>
                <w:szCs w:val="18"/>
                <w:color w:val="auto"/>
              </w:rPr>
              <w:t>4.5</w:t>
            </w:r>
          </w:p>
        </w:tc>
        <w:tc>
          <w:tcPr>
            <w:tcW w:w="1220" w:type="dxa"/>
            <w:vAlign w:val="bottom"/>
            <w:shd w:val="clear" w:color="auto" w:fill="D8D8D8"/>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8D8D8"/>
          </w:tcPr>
          <w:p>
            <w:pPr>
              <w:jc w:val="right"/>
              <w:ind w:right="530"/>
              <w:spacing w:after="0"/>
              <w:rPr>
                <w:sz w:val="20"/>
                <w:szCs w:val="20"/>
                <w:color w:val="auto"/>
              </w:rPr>
            </w:pPr>
            <w:r>
              <w:rPr>
                <w:rFonts w:ascii="Arial" w:cs="Arial" w:eastAsia="Arial" w:hAnsi="Arial"/>
                <w:sz w:val="18"/>
                <w:szCs w:val="18"/>
                <w:color w:val="auto"/>
              </w:rPr>
              <w:t>4.5</w:t>
            </w:r>
          </w:p>
        </w:tc>
        <w:tc>
          <w:tcPr>
            <w:tcW w:w="1240" w:type="dxa"/>
            <w:vAlign w:val="bottom"/>
            <w:shd w:val="clear" w:color="auto" w:fill="D8D8D8"/>
          </w:tcPr>
          <w:p>
            <w:pPr>
              <w:ind w:left="5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4.5</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(22.3)</w:t>
            </w:r>
          </w:p>
        </w:tc>
        <w:tc>
          <w:tcPr>
            <w:tcW w:w="122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(22.3)</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7"/>
        </w:trPr>
        <w:tc>
          <w:tcPr>
            <w:tcW w:w="498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noncurrent liabilities</w:t>
            </w:r>
          </w:p>
        </w:tc>
        <w:tc>
          <w:tcPr>
            <w:tcW w:w="1460" w:type="dxa"/>
            <w:vAlign w:val="bottom"/>
            <w:shd w:val="clear" w:color="auto" w:fill="D8D8D8"/>
          </w:tcPr>
          <w:p>
            <w:pPr>
              <w:jc w:val="right"/>
              <w:ind w:right="490"/>
              <w:spacing w:after="0"/>
              <w:rPr>
                <w:sz w:val="20"/>
                <w:szCs w:val="20"/>
                <w:color w:val="auto"/>
              </w:rPr>
            </w:pPr>
            <w:r>
              <w:rPr>
                <w:rFonts w:ascii="Arial" w:cs="Arial" w:eastAsia="Arial" w:hAnsi="Arial"/>
                <w:sz w:val="18"/>
                <w:szCs w:val="18"/>
                <w:color w:val="auto"/>
              </w:rPr>
              <w:t>(19.0)</w:t>
            </w:r>
          </w:p>
        </w:tc>
        <w:tc>
          <w:tcPr>
            <w:tcW w:w="1220" w:type="dxa"/>
            <w:vAlign w:val="bottom"/>
            <w:shd w:val="clear" w:color="auto" w:fill="D8D8D8"/>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8D8D8"/>
          </w:tcPr>
          <w:p>
            <w:pPr>
              <w:jc w:val="right"/>
              <w:ind w:right="470"/>
              <w:spacing w:after="0"/>
              <w:rPr>
                <w:sz w:val="20"/>
                <w:szCs w:val="20"/>
                <w:color w:val="auto"/>
              </w:rPr>
            </w:pPr>
            <w:r>
              <w:rPr>
                <w:rFonts w:ascii="Arial" w:cs="Arial" w:eastAsia="Arial" w:hAnsi="Arial"/>
                <w:sz w:val="18"/>
                <w:szCs w:val="18"/>
                <w:color w:val="auto"/>
              </w:rPr>
              <w:t>(19.0)</w:t>
            </w:r>
          </w:p>
        </w:tc>
        <w:tc>
          <w:tcPr>
            <w:tcW w:w="1240" w:type="dxa"/>
            <w:vAlign w:val="bottom"/>
            <w:shd w:val="clear" w:color="auto" w:fill="D8D8D8"/>
          </w:tcPr>
          <w:p>
            <w:pPr>
              <w:ind w:left="5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Cross-currency interest rate contracts designated as</w:t>
            </w: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7"/>
        </w:trPr>
        <w:tc>
          <w:tcPr>
            <w:tcW w:w="4980" w:type="dxa"/>
            <w:vAlign w:val="bottom"/>
          </w:tcPr>
          <w:p>
            <w:pPr>
              <w:ind w:left="340"/>
              <w:spacing w:after="0"/>
              <w:rPr>
                <w:sz w:val="20"/>
                <w:szCs w:val="20"/>
                <w:color w:val="auto"/>
              </w:rPr>
            </w:pPr>
            <w:r>
              <w:rPr>
                <w:rFonts w:ascii="Arial" w:cs="Arial" w:eastAsia="Arial" w:hAnsi="Arial"/>
                <w:sz w:val="18"/>
                <w:szCs w:val="18"/>
                <w:color w:val="auto"/>
              </w:rPr>
              <w:t>net investment hedges:</w:t>
            </w: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p>
      <w:pPr>
        <w:spacing w:after="0" w:line="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receivables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340" w:right="340" w:hanging="161"/>
        <w:spacing w:after="0" w:line="246" w:lineRule="auto"/>
        <w:rPr>
          <w:sz w:val="20"/>
          <w:szCs w:val="20"/>
          <w:color w:val="auto"/>
        </w:rPr>
      </w:pPr>
      <w:r>
        <w:rPr>
          <w:rFonts w:ascii="Arial" w:cs="Arial" w:eastAsia="Arial" w:hAnsi="Arial"/>
          <w:sz w:val="18"/>
          <w:szCs w:val="18"/>
          <w:color w:val="auto"/>
        </w:rPr>
        <w:t>Cross-currency interest rate contracts not designated as hedging instruments: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80" w:type="dxa"/>
            <w:vAlign w:val="bottom"/>
          </w:tcPr>
          <w:p>
            <w:pPr>
              <w:jc w:val="right"/>
              <w:ind w:right="550"/>
              <w:spacing w:after="0"/>
              <w:rPr>
                <w:sz w:val="20"/>
                <w:szCs w:val="20"/>
                <w:color w:val="auto"/>
              </w:rPr>
            </w:pPr>
            <w:r>
              <w:rPr>
                <w:rFonts w:ascii="Arial" w:cs="Arial" w:eastAsia="Arial" w:hAnsi="Arial"/>
                <w:sz w:val="18"/>
                <w:szCs w:val="18"/>
                <w:color w:val="auto"/>
                <w:w w:val="91"/>
              </w:rPr>
              <w:t>69.2</w:t>
            </w:r>
          </w:p>
        </w:tc>
        <w:tc>
          <w:tcPr>
            <w:tcW w:w="1260" w:type="dxa"/>
            <w:vAlign w:val="bottom"/>
          </w:tcPr>
          <w:p>
            <w:pPr>
              <w:ind w:left="5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69.2</w:t>
            </w:r>
          </w:p>
        </w:tc>
        <w:tc>
          <w:tcPr>
            <w:tcW w:w="1260" w:type="dxa"/>
            <w:vAlign w:val="bottom"/>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0"/>
        </w:trPr>
        <w:tc>
          <w:tcPr>
            <w:tcW w:w="980" w:type="dxa"/>
            <w:vAlign w:val="bottom"/>
          </w:tcPr>
          <w:p>
            <w:pPr>
              <w:jc w:val="right"/>
              <w:ind w:right="550"/>
              <w:spacing w:after="0"/>
              <w:rPr>
                <w:sz w:val="20"/>
                <w:szCs w:val="20"/>
                <w:color w:val="auto"/>
              </w:rPr>
            </w:pPr>
            <w:r>
              <w:rPr>
                <w:rFonts w:ascii="Arial" w:cs="Arial" w:eastAsia="Arial" w:hAnsi="Arial"/>
                <w:sz w:val="18"/>
                <w:szCs w:val="18"/>
                <w:color w:val="auto"/>
              </w:rPr>
              <w:t>8.2</w:t>
            </w:r>
          </w:p>
        </w:tc>
        <w:tc>
          <w:tcPr>
            <w:tcW w:w="1260" w:type="dxa"/>
            <w:vAlign w:val="bottom"/>
          </w:tcPr>
          <w:p>
            <w:pPr>
              <w:ind w:left="5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8.2</w:t>
            </w:r>
          </w:p>
        </w:tc>
        <w:tc>
          <w:tcPr>
            <w:tcW w:w="1260" w:type="dxa"/>
            <w:vAlign w:val="bottom"/>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980" w:type="dxa"/>
            <w:vAlign w:val="bottom"/>
          </w:tcPr>
          <w:p>
            <w:pPr>
              <w:jc w:val="right"/>
              <w:ind w:right="490"/>
              <w:spacing w:after="0"/>
              <w:rPr>
                <w:sz w:val="20"/>
                <w:szCs w:val="20"/>
                <w:color w:val="auto"/>
              </w:rPr>
            </w:pPr>
            <w:r>
              <w:rPr>
                <w:rFonts w:ascii="Arial" w:cs="Arial" w:eastAsia="Arial" w:hAnsi="Arial"/>
                <w:sz w:val="18"/>
                <w:szCs w:val="18"/>
                <w:color w:val="auto"/>
              </w:rPr>
              <w:t>(9.2)</w:t>
            </w:r>
          </w:p>
        </w:tc>
        <w:tc>
          <w:tcPr>
            <w:tcW w:w="1260" w:type="dxa"/>
            <w:vAlign w:val="bottom"/>
          </w:tcPr>
          <w:p>
            <w:pPr>
              <w:ind w:left="5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(9.2)</w:t>
            </w:r>
          </w:p>
        </w:tc>
        <w:tc>
          <w:tcPr>
            <w:tcW w:w="1260" w:type="dxa"/>
            <w:vAlign w:val="bottom"/>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-162560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8" w:lineRule="exact"/>
        <w:rPr>
          <w:sz w:val="20"/>
          <w:szCs w:val="20"/>
          <w:color w:val="auto"/>
        </w:rPr>
      </w:pPr>
    </w:p>
    <w:p>
      <w:pPr>
        <w:sectPr>
          <w:pgSz w:w="11900" w:h="16838" w:orient="portrait"/>
          <w:cols w:equalWidth="0" w:num="2">
            <w:col w:w="4740" w:space="720"/>
            <w:col w:w="5960"/>
          </w:cols>
          <w:pgMar w:left="240" w:top="90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98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noncurrent liabilities</w:t>
            </w:r>
          </w:p>
        </w:tc>
        <w:tc>
          <w:tcPr>
            <w:tcW w:w="1460" w:type="dxa"/>
            <w:vAlign w:val="bottom"/>
            <w:shd w:val="clear" w:color="auto" w:fill="D8D8D8"/>
          </w:tcPr>
          <w:p>
            <w:pPr>
              <w:jc w:val="right"/>
              <w:ind w:right="490"/>
              <w:spacing w:after="0"/>
              <w:rPr>
                <w:sz w:val="20"/>
                <w:szCs w:val="20"/>
                <w:color w:val="auto"/>
              </w:rPr>
            </w:pPr>
            <w:r>
              <w:rPr>
                <w:rFonts w:ascii="Arial" w:cs="Arial" w:eastAsia="Arial" w:hAnsi="Arial"/>
                <w:sz w:val="18"/>
                <w:szCs w:val="18"/>
                <w:color w:val="auto"/>
              </w:rPr>
              <w:t>(25.8)</w:t>
            </w:r>
          </w:p>
        </w:tc>
        <w:tc>
          <w:tcPr>
            <w:tcW w:w="1220" w:type="dxa"/>
            <w:vAlign w:val="bottom"/>
            <w:shd w:val="clear" w:color="auto" w:fill="D8D8D8"/>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8D8D8"/>
          </w:tcPr>
          <w:p>
            <w:pPr>
              <w:jc w:val="right"/>
              <w:ind w:right="470"/>
              <w:spacing w:after="0"/>
              <w:rPr>
                <w:sz w:val="20"/>
                <w:szCs w:val="20"/>
                <w:color w:val="auto"/>
              </w:rPr>
            </w:pPr>
            <w:r>
              <w:rPr>
                <w:rFonts w:ascii="Arial" w:cs="Arial" w:eastAsia="Arial" w:hAnsi="Arial"/>
                <w:sz w:val="18"/>
                <w:szCs w:val="18"/>
                <w:color w:val="auto"/>
              </w:rPr>
              <w:t>(25.8)</w:t>
            </w:r>
          </w:p>
        </w:tc>
        <w:tc>
          <w:tcPr>
            <w:tcW w:w="1240" w:type="dxa"/>
            <w:vAlign w:val="bottom"/>
            <w:shd w:val="clear" w:color="auto" w:fill="D8D8D8"/>
          </w:tcPr>
          <w:p>
            <w:pPr>
              <w:ind w:left="5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Foreign exchange contracts not designated as hedging</w:t>
            </w: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4980" w:type="dxa"/>
            <w:vAlign w:val="bottom"/>
          </w:tcPr>
          <w:p>
            <w:pPr>
              <w:ind w:left="340"/>
              <w:spacing w:after="0"/>
              <w:rPr>
                <w:sz w:val="20"/>
                <w:szCs w:val="20"/>
                <w:color w:val="auto"/>
              </w:rPr>
            </w:pPr>
            <w:r>
              <w:rPr>
                <w:rFonts w:ascii="Arial" w:cs="Arial" w:eastAsia="Arial" w:hAnsi="Arial"/>
                <w:sz w:val="18"/>
                <w:szCs w:val="18"/>
                <w:color w:val="auto"/>
              </w:rPr>
              <w:t>instruments:</w:t>
            </w: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7"/>
        </w:trPr>
        <w:tc>
          <w:tcPr>
            <w:tcW w:w="498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receivables</w:t>
            </w:r>
          </w:p>
        </w:tc>
        <w:tc>
          <w:tcPr>
            <w:tcW w:w="1460" w:type="dxa"/>
            <w:vAlign w:val="bottom"/>
            <w:shd w:val="clear" w:color="auto" w:fill="D8D8D8"/>
          </w:tcPr>
          <w:p>
            <w:pPr>
              <w:jc w:val="right"/>
              <w:ind w:right="550"/>
              <w:spacing w:after="0"/>
              <w:rPr>
                <w:sz w:val="20"/>
                <w:szCs w:val="20"/>
                <w:color w:val="auto"/>
              </w:rPr>
            </w:pPr>
            <w:r>
              <w:rPr>
                <w:rFonts w:ascii="Arial" w:cs="Arial" w:eastAsia="Arial" w:hAnsi="Arial"/>
                <w:sz w:val="18"/>
                <w:szCs w:val="18"/>
                <w:color w:val="auto"/>
              </w:rPr>
              <w:t>11.3</w:t>
            </w:r>
          </w:p>
        </w:tc>
        <w:tc>
          <w:tcPr>
            <w:tcW w:w="1220" w:type="dxa"/>
            <w:vAlign w:val="bottom"/>
            <w:shd w:val="clear" w:color="auto" w:fill="D8D8D8"/>
          </w:tcPr>
          <w:p>
            <w:pPr>
              <w:ind w:lef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8D8D8"/>
          </w:tcPr>
          <w:p>
            <w:pPr>
              <w:jc w:val="right"/>
              <w:ind w:right="530"/>
              <w:spacing w:after="0"/>
              <w:rPr>
                <w:sz w:val="20"/>
                <w:szCs w:val="20"/>
                <w:color w:val="auto"/>
              </w:rPr>
            </w:pPr>
            <w:r>
              <w:rPr>
                <w:rFonts w:ascii="Arial" w:cs="Arial" w:eastAsia="Arial" w:hAnsi="Arial"/>
                <w:sz w:val="18"/>
                <w:szCs w:val="18"/>
                <w:color w:val="auto"/>
              </w:rPr>
              <w:t>11.3</w:t>
            </w:r>
          </w:p>
        </w:tc>
        <w:tc>
          <w:tcPr>
            <w:tcW w:w="1240" w:type="dxa"/>
            <w:vAlign w:val="bottom"/>
            <w:shd w:val="clear" w:color="auto" w:fill="D8D8D8"/>
          </w:tcPr>
          <w:p>
            <w:pPr>
              <w:ind w:left="5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11.3</w:t>
            </w:r>
          </w:p>
        </w:tc>
      </w:tr>
      <w:tr>
        <w:trPr>
          <w:trHeight w:val="257"/>
        </w:trPr>
        <w:tc>
          <w:tcPr>
            <w:tcW w:w="49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(16.3)</w:t>
            </w:r>
          </w:p>
        </w:tc>
        <w:tc>
          <w:tcPr>
            <w:tcW w:w="1220" w:type="dxa"/>
            <w:vAlign w:val="bottom"/>
          </w:tcPr>
          <w:p>
            <w:pPr>
              <w:ind w:left="5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(16.3)</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33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74</w:t>
      </w:r>
    </w:p>
    <w:p>
      <w:pPr>
        <w:sectPr>
          <w:pgSz w:w="11900" w:h="16838" w:orient="portrait"/>
          <w:cols w:equalWidth="0" w:num="1">
            <w:col w:w="11420"/>
          </w:cols>
          <w:pgMar w:left="240" w:top="901" w:right="239" w:bottom="1440" w:gutter="0" w:footer="0" w:header="0"/>
          <w:type w:val="continuous"/>
        </w:sectPr>
      </w:pPr>
    </w:p>
    <w:bookmarkStart w:id="74" w:name="page75"/>
    <w:bookmarkEnd w:id="74"/>
    <w:p>
      <w:pPr>
        <w:ind w:right="860"/>
        <w:spacing w:after="0" w:line="262" w:lineRule="auto"/>
        <w:rPr>
          <w:sz w:val="20"/>
          <w:szCs w:val="20"/>
          <w:color w:val="auto"/>
        </w:rPr>
      </w:pPr>
      <w:r>
        <w:rPr>
          <w:rFonts w:ascii="Arial" w:cs="Arial" w:eastAsia="Arial" w:hAnsi="Arial"/>
          <w:sz w:val="18"/>
          <w:szCs w:val="18"/>
          <w:color w:val="auto"/>
        </w:rPr>
        <w:t>changes from orderly transactions. The fair values of equity method investments and investments measured under the measurement alternative for equity investments that do not have readily determinable fair values are not readily available.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5"/>
        </w:trPr>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82"/>
              <w:spacing w:after="0"/>
              <w:rPr>
                <w:sz w:val="20"/>
                <w:szCs w:val="20"/>
                <w:color w:val="auto"/>
              </w:rPr>
            </w:pPr>
            <w:r>
              <w:rPr>
                <w:rFonts w:ascii="Arial" w:cs="Arial" w:eastAsia="Arial" w:hAnsi="Arial"/>
                <w:sz w:val="14"/>
                <w:szCs w:val="14"/>
                <w:b w:val="1"/>
                <w:bCs w:val="1"/>
                <w:color w:val="auto"/>
              </w:rPr>
              <w:t>More Than 10</w:t>
            </w:r>
          </w:p>
        </w:tc>
      </w:tr>
      <w:tr>
        <w:trPr>
          <w:trHeight w:val="196"/>
        </w:trPr>
        <w:tc>
          <w:tcPr>
            <w:tcW w:w="4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rPr>
              <w:t>1-5 Years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6-10 Years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9"/>
              </w:rPr>
              <w:t>Years</w:t>
            </w:r>
          </w:p>
        </w:tc>
      </w:tr>
      <w:tr>
        <w:trPr>
          <w:trHeight w:val="270"/>
        </w:trPr>
        <w:tc>
          <w:tcPr>
            <w:tcW w:w="46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570.6</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2"/>
              <w:spacing w:after="0"/>
              <w:rPr>
                <w:sz w:val="20"/>
                <w:szCs w:val="20"/>
                <w:color w:val="auto"/>
              </w:rPr>
            </w:pPr>
            <w:r>
              <w:rPr>
                <w:rFonts w:ascii="Arial" w:cs="Arial" w:eastAsia="Arial" w:hAnsi="Arial"/>
                <w:sz w:val="18"/>
                <w:szCs w:val="18"/>
                <w:color w:val="auto"/>
              </w:rPr>
              <w:t>91.2</w:t>
            </w:r>
          </w:p>
        </w:tc>
        <w:tc>
          <w:tcPr>
            <w:tcW w:w="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19"/>
              <w:spacing w:after="0"/>
              <w:rPr>
                <w:sz w:val="20"/>
                <w:szCs w:val="20"/>
                <w:color w:val="auto"/>
              </w:rPr>
            </w:pPr>
            <w:r>
              <w:rPr>
                <w:rFonts w:ascii="Arial" w:cs="Arial" w:eastAsia="Arial" w:hAnsi="Arial"/>
                <w:sz w:val="18"/>
                <w:szCs w:val="18"/>
                <w:color w:val="auto"/>
              </w:rPr>
              <w:t>276.5</w:t>
            </w:r>
          </w:p>
        </w:tc>
        <w:tc>
          <w:tcPr>
            <w:tcW w:w="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42"/>
              <w:spacing w:after="0"/>
              <w:rPr>
                <w:sz w:val="20"/>
                <w:szCs w:val="20"/>
                <w:color w:val="auto"/>
              </w:rPr>
            </w:pPr>
            <w:r>
              <w:rPr>
                <w:rFonts w:ascii="Arial" w:cs="Arial" w:eastAsia="Arial" w:hAnsi="Arial"/>
                <w:sz w:val="18"/>
                <w:szCs w:val="18"/>
                <w:color w:val="auto"/>
              </w:rPr>
              <w:t>122.5</w:t>
            </w:r>
          </w:p>
        </w:tc>
      </w:tr>
    </w:tbl>
    <w:p>
      <w:pPr>
        <w:spacing w:after="0" w:line="32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net unrealized gains (losses) recognized in our consolidated statements of operations for equity securities were $395.3 million and $(20.1) million for the years ended December 31, 2019 and 2018, respectively.</w:t>
      </w:r>
    </w:p>
    <w:p>
      <w:pPr>
        <w:spacing w:after="0" w:line="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for the years ended December 31, 2019 and 2018 were not material.</w:t>
      </w:r>
    </w:p>
    <w:p>
      <w:pPr>
        <w:spacing w:after="0" w:line="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in accumulated other comprehensive loss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70"/>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Unrealized gross gains</w:t>
            </w:r>
          </w:p>
        </w:tc>
        <w:tc>
          <w:tcPr>
            <w:tcW w:w="2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10.3</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0.8</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248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4.0</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29.0</w:t>
            </w:r>
          </w:p>
        </w:tc>
      </w:tr>
      <w:tr>
        <w:trPr>
          <w:trHeight w:val="277"/>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24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429.5</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84.3</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248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141.1</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858.6</w:t>
            </w:r>
          </w:p>
        </w:tc>
      </w:tr>
    </w:tbl>
    <w:p>
      <w:pPr>
        <w:spacing w:after="0" w:line="33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Other-than-temporary impairment losses were not material in 2019, and there were no other-than-temporary impairment losses in 2018 or 2017.</w:t>
      </w:r>
    </w:p>
    <w:p>
      <w:pPr>
        <w:spacing w:after="0" w:line="8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debt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As of December 31, 2019, the available-for-sale securities in an unrealized loss position include primarily fixed-rate debt securities of varying maturities, which are sensitive to changes in the yield curve and other market conditions. Approximately 56 percent of the fixed-rate debt securities in a loss position are investment-grade debt securities. As of December 31, 2019,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investment portfolio, substantially all of which related to equity and available-for-sale securities,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70"/>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Proceeds from sales</w:t>
            </w:r>
          </w:p>
        </w:tc>
        <w:tc>
          <w:tcPr>
            <w:tcW w:w="260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655.5</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5,668.0</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5,769.3</w:t>
            </w: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60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40.0</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176.0</w:t>
            </w:r>
          </w:p>
        </w:tc>
      </w:tr>
      <w:tr>
        <w:trPr>
          <w:trHeight w:val="277"/>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Realized gross losses on sales</w:t>
            </w:r>
          </w:p>
        </w:tc>
        <w:tc>
          <w:tcPr>
            <w:tcW w:w="26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7.9</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51.3</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5.8</w:t>
            </w:r>
          </w:p>
        </w:tc>
      </w:tr>
    </w:tbl>
    <w:p>
      <w:pPr>
        <w:spacing w:after="0" w:line="32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75</w:t>
      </w:r>
    </w:p>
    <w:p>
      <w:pPr>
        <w:sectPr>
          <w:pgSz w:w="11900" w:h="16838" w:orient="portrait"/>
          <w:cols w:equalWidth="0" w:num="1">
            <w:col w:w="11420"/>
          </w:cols>
          <w:pgMar w:left="240" w:top="67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$678.8 million and $696.2 million of accounts receivable as of December 31, 2019 and 2018, respectively, under these factoring arrangements. The costs of factoring such accounts receivable on our consolidated results of operations for the years ended December 31, 2019, 2018, and 2017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8: Goodwill and Other Intangibles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or more frequently if impairment indicators are present, by first assessing qualitative factors to determine whether it is more likely than not that the fair value is less than its carrying amount. If we conclude it is more likely than not that the fair value is less than the carrying amount, a quantitative test that compares the fair value to its carrying value is performed to determine the amount of any impairment. The change in goodwill during 2019 was primarily related to our acquisition of Loxo. See Note 3 for further discussion.</w:t>
      </w:r>
    </w:p>
    <w:p>
      <w:pPr>
        <w:spacing w:after="0" w:line="101" w:lineRule="exact"/>
        <w:rPr>
          <w:sz w:val="20"/>
          <w:szCs w:val="20"/>
          <w:color w:val="auto"/>
        </w:rPr>
      </w:pPr>
    </w:p>
    <w:p>
      <w:pPr>
        <w:ind w:right="1180"/>
        <w:spacing w:after="0" w:line="449" w:lineRule="auto"/>
        <w:rPr>
          <w:sz w:val="20"/>
          <w:szCs w:val="20"/>
          <w:color w:val="auto"/>
        </w:rPr>
      </w:pPr>
      <w:r>
        <w:rPr>
          <w:rFonts w:ascii="Arial" w:cs="Arial" w:eastAsia="Arial" w:hAnsi="Arial"/>
          <w:sz w:val="18"/>
          <w:szCs w:val="18"/>
          <w:color w:val="auto"/>
        </w:rPr>
        <w:t xml:space="preserve">No impairments occurred with respect to the carrying value of goodwill for the years ended December 31, 2019, 2018, and 2017. </w:t>
      </w:r>
      <w:r>
        <w:rPr>
          <w:rFonts w:ascii="Arial" w:cs="Arial" w:eastAsia="Arial" w:hAnsi="Arial"/>
          <w:sz w:val="18"/>
          <w:szCs w:val="18"/>
          <w:i w:val="1"/>
          <w:iCs w:val="1"/>
          <w:color w:val="auto"/>
        </w:rPr>
        <w:t>Other Intangibles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5"/>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5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5"/>
                <w:szCs w:val="15"/>
                <w:color w:val="auto"/>
              </w:rPr>
            </w:pPr>
          </w:p>
        </w:tc>
        <w:tc>
          <w:tcPr>
            <w:tcW w:w="1060" w:type="dxa"/>
            <w:vAlign w:val="bottom"/>
          </w:tcPr>
          <w:p>
            <w:pPr>
              <w:jc w:val="center"/>
              <w:ind w:right="177"/>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57"/>
              <w:spacing w:after="0"/>
              <w:rPr>
                <w:sz w:val="20"/>
                <w:szCs w:val="20"/>
                <w:color w:val="auto"/>
              </w:rPr>
            </w:pPr>
            <w:r>
              <w:rPr>
                <w:rFonts w:ascii="Arial" w:cs="Arial" w:eastAsia="Arial" w:hAnsi="Arial"/>
                <w:sz w:val="14"/>
                <w:szCs w:val="14"/>
                <w:b w:val="1"/>
                <w:bCs w:val="1"/>
                <w:color w:val="auto"/>
              </w:rPr>
              <w:t>Carrying</w:t>
            </w:r>
          </w:p>
        </w:tc>
      </w:tr>
      <w:tr>
        <w:trPr>
          <w:trHeight w:val="162"/>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15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60" w:type="dxa"/>
            <w:vAlign w:val="bottom"/>
          </w:tcPr>
          <w:p>
            <w:pPr>
              <w:jc w:val="center"/>
              <w:ind w:right="157"/>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rPr>
              <w:t>Amount,</w:t>
            </w:r>
          </w:p>
        </w:tc>
      </w:tr>
      <w:tr>
        <w:trPr>
          <w:trHeight w:val="196"/>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Net</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Net</w:t>
            </w:r>
          </w:p>
        </w:tc>
      </w:tr>
      <w:tr>
        <w:trPr>
          <w:trHeight w:val="250"/>
        </w:trPr>
        <w:tc>
          <w:tcPr>
            <w:tcW w:w="30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10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63"/>
        </w:trPr>
        <w:tc>
          <w:tcPr>
            <w:tcW w:w="304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b w:val="1"/>
                <w:bCs w:val="1"/>
                <w:color w:val="auto"/>
              </w:rPr>
              <w:t>3,150.2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(1,244.6)</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1,905.6</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2,077.2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(1,069.0)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1,008.2</w:t>
            </w:r>
          </w:p>
        </w:tc>
      </w:tr>
      <w:tr>
        <w:trPr>
          <w:trHeight w:val="277"/>
        </w:trPr>
        <w:tc>
          <w:tcPr>
            <w:tcW w:w="30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94.2</w:t>
            </w:r>
          </w:p>
        </w:tc>
        <w:tc>
          <w:tcPr>
            <w:tcW w:w="28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(51.8)</w:t>
            </w:r>
          </w:p>
        </w:tc>
        <w:tc>
          <w:tcPr>
            <w:tcW w:w="3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42.4</w:t>
            </w:r>
          </w:p>
        </w:tc>
        <w:tc>
          <w:tcPr>
            <w:tcW w:w="100" w:type="dxa"/>
            <w:vAlign w:val="bottom"/>
            <w:tcBorders>
              <w:bottom w:val="single" w:sz="8" w:color="auto"/>
            </w:tcBorders>
            <w:shd w:val="clear" w:color="auto" w:fill="D8D8D8"/>
          </w:tcPr>
          <w:p>
            <w:pPr>
              <w:spacing w:after="0"/>
              <w:rPr>
                <w:sz w:val="24"/>
                <w:szCs w:val="24"/>
                <w:color w:val="auto"/>
              </w:rPr>
            </w:pPr>
          </w:p>
        </w:tc>
        <w:tc>
          <w:tcPr>
            <w:tcW w:w="24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57"/>
              <w:spacing w:after="0"/>
              <w:rPr>
                <w:sz w:val="20"/>
                <w:szCs w:val="20"/>
                <w:color w:val="auto"/>
              </w:rPr>
            </w:pPr>
            <w:r>
              <w:rPr>
                <w:rFonts w:ascii="Arial" w:cs="Arial" w:eastAsia="Arial" w:hAnsi="Arial"/>
                <w:sz w:val="18"/>
                <w:szCs w:val="18"/>
                <w:color w:val="auto"/>
              </w:rPr>
              <w:t>89.5</w:t>
            </w:r>
          </w:p>
        </w:tc>
        <w:tc>
          <w:tcPr>
            <w:tcW w:w="26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(29.7)</w:t>
            </w:r>
          </w:p>
        </w:tc>
        <w:tc>
          <w:tcPr>
            <w:tcW w:w="3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59.8</w:t>
            </w:r>
          </w:p>
        </w:tc>
      </w:tr>
      <w:tr>
        <w:trPr>
          <w:trHeight w:val="257"/>
        </w:trPr>
        <w:tc>
          <w:tcPr>
            <w:tcW w:w="3040" w:type="dxa"/>
            <w:vAlign w:val="bottom"/>
          </w:tcPr>
          <w:p>
            <w:pPr>
              <w:ind w:left="28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b w:val="1"/>
                <w:bCs w:val="1"/>
                <w:color w:val="auto"/>
              </w:rPr>
              <w:t>3,244.4</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(1,296.4)</w:t>
            </w:r>
          </w:p>
        </w:tc>
        <w:tc>
          <w:tcPr>
            <w:tcW w:w="30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b w:val="1"/>
                <w:bCs w:val="1"/>
                <w:color w:val="auto"/>
              </w:rPr>
              <w:t>1,948.0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2,166.7</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(1,098.7)</w:t>
            </w:r>
          </w:p>
        </w:tc>
        <w:tc>
          <w:tcPr>
            <w:tcW w:w="30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1,068.0</w:t>
            </w:r>
          </w:p>
        </w:tc>
      </w:tr>
      <w:tr>
        <w:trPr>
          <w:trHeight w:val="257"/>
        </w:trPr>
        <w:tc>
          <w:tcPr>
            <w:tcW w:w="30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Borders>
              <w:bottom w:val="single" w:sz="8" w:color="D8D8D8"/>
            </w:tcBorders>
            <w:shd w:val="clear" w:color="auto" w:fill="D8D8D8"/>
          </w:tcPr>
          <w:p>
            <w:pPr>
              <w:spacing w:after="0"/>
              <w:rPr>
                <w:sz w:val="22"/>
                <w:szCs w:val="22"/>
                <w:color w:val="auto"/>
              </w:rPr>
            </w:pPr>
          </w:p>
        </w:tc>
        <w:tc>
          <w:tcPr>
            <w:tcW w:w="104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040" w:type="dxa"/>
            <w:vAlign w:val="bottom"/>
            <w:tcBorders>
              <w:bottom w:val="single" w:sz="8" w:color="D8D8D8"/>
            </w:tcBorders>
            <w:shd w:val="clear" w:color="auto" w:fill="D8D8D8"/>
          </w:tcPr>
          <w:p>
            <w:pPr>
              <w:spacing w:after="0"/>
              <w:rPr>
                <w:sz w:val="22"/>
                <w:szCs w:val="22"/>
                <w:color w:val="auto"/>
              </w:rPr>
            </w:pPr>
          </w:p>
        </w:tc>
        <w:tc>
          <w:tcPr>
            <w:tcW w:w="10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060" w:type="dxa"/>
            <w:vAlign w:val="bottom"/>
            <w:tcBorders>
              <w:bottom w:val="single" w:sz="8" w:color="D8D8D8"/>
            </w:tcBorders>
            <w:shd w:val="clear" w:color="auto" w:fill="D8D8D8"/>
          </w:tcPr>
          <w:p>
            <w:pPr>
              <w:spacing w:after="0"/>
              <w:rPr>
                <w:sz w:val="22"/>
                <w:szCs w:val="22"/>
                <w:color w:val="auto"/>
              </w:rPr>
            </w:pPr>
          </w:p>
        </w:tc>
        <w:tc>
          <w:tcPr>
            <w:tcW w:w="2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040" w:type="dxa"/>
            <w:vAlign w:val="bottom"/>
            <w:tcBorders>
              <w:bottom w:val="single" w:sz="8" w:color="D8D8D8"/>
            </w:tcBorders>
            <w:shd w:val="clear" w:color="auto" w:fill="D8D8D8"/>
          </w:tcPr>
          <w:p>
            <w:pPr>
              <w:spacing w:after="0"/>
              <w:rPr>
                <w:sz w:val="22"/>
                <w:szCs w:val="22"/>
                <w:color w:val="auto"/>
              </w:rPr>
            </w:pPr>
          </w:p>
        </w:tc>
      </w:tr>
      <w:tr>
        <w:trPr>
          <w:trHeight w:val="264"/>
        </w:trPr>
        <w:tc>
          <w:tcPr>
            <w:tcW w:w="304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Acquired IPR&amp;D</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4,670.0</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4,670.0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304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7,914.4</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(1,296.4)</w:t>
            </w:r>
          </w:p>
        </w:tc>
        <w:tc>
          <w:tcPr>
            <w:tcW w:w="3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6,618.0</w:t>
            </w:r>
          </w:p>
        </w:tc>
        <w:tc>
          <w:tcPr>
            <w:tcW w:w="100" w:type="dxa"/>
            <w:vAlign w:val="bottom"/>
            <w:tcBorders>
              <w:bottom w:val="single" w:sz="8" w:color="auto"/>
            </w:tcBorders>
            <w:shd w:val="clear" w:color="auto" w:fill="D8D8D8"/>
          </w:tcPr>
          <w:p>
            <w:pPr>
              <w:spacing w:after="0"/>
              <w:rPr>
                <w:sz w:val="24"/>
                <w:szCs w:val="24"/>
                <w:color w:val="auto"/>
              </w:rPr>
            </w:pPr>
          </w:p>
        </w:tc>
        <w:tc>
          <w:tcPr>
            <w:tcW w:w="2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57"/>
              <w:spacing w:after="0"/>
              <w:rPr>
                <w:sz w:val="20"/>
                <w:szCs w:val="20"/>
                <w:color w:val="auto"/>
              </w:rPr>
            </w:pPr>
            <w:r>
              <w:rPr>
                <w:rFonts w:ascii="Arial" w:cs="Arial" w:eastAsia="Arial" w:hAnsi="Arial"/>
                <w:sz w:val="18"/>
                <w:szCs w:val="18"/>
                <w:color w:val="auto"/>
              </w:rPr>
              <w:t>2,166.7</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(1,098.7)</w:t>
            </w:r>
          </w:p>
        </w:tc>
        <w:tc>
          <w:tcPr>
            <w:tcW w:w="3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1,068.0</w:t>
            </w:r>
          </w:p>
        </w:tc>
      </w:tr>
    </w:tbl>
    <w:p>
      <w:pPr>
        <w:spacing w:after="0" w:line="32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Marketed products consist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94"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Other finite-lived intangibles consist primarily of the amortized cost of licensed platform technologies that have alternative future uses in research and development, manufacturing technologies, and customer relationships from business combinations.</w:t>
      </w:r>
    </w:p>
    <w:p>
      <w:pPr>
        <w:spacing w:after="0" w:line="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Acquired IPR&amp;D consists of the related costs capitalized, adjusted for subsequent impairments, if any. The costs of acquired IPR&amp;D projects acquired directly in a transaction other than a business combination are capitalized if the projects have an alternative future use; otherwise, they are expensed immediately. The fair values of acquired IPR&amp;D projects acquired in business combinations, if any, are capitalized as other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76</w:t>
      </w:r>
    </w:p>
    <w:p>
      <w:pPr>
        <w:sectPr>
          <w:pgSz w:w="11900" w:h="16838" w:orient="portrait"/>
          <w:cols w:equalWidth="0" w:num="1">
            <w:col w:w="11420"/>
          </w:cols>
          <w:pgMar w:left="240" w:top="661" w:right="239" w:bottom="1440" w:gutter="0" w:footer="0" w:header="0"/>
        </w:sectPr>
      </w:pPr>
    </w:p>
    <w:bookmarkStart w:id="76" w:name="page77"/>
    <w:bookmarkEnd w:id="76"/>
    <w:p>
      <w:pPr>
        <w:ind w:right="120"/>
        <w:spacing w:after="0" w:line="252"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analyst expectations,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9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See Note 3 for further discussion of intangible assets acquired in recent business combinations and Note 4 for additional discussion of recent capitalized milestone payments. The increases in marketed products and acquired IPR&amp;D intangible assets in 2019 were primarily related to our acquisition of Loxo.</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Other 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 Finite-lived intangible assets are reviewed for impairment when an indicator of impairment is present. When required, a comparison of fair value to the carrying amount of assets is performed to determine the amount of any impairment. When determining the fair value of indefinite-lived acquired IPR&amp;D as well as the fair value of finite-lived intangible assets for impairment testing purposes, we utilize the "income method" discussed above.</w:t>
      </w:r>
    </w:p>
    <w:p>
      <w:pPr>
        <w:spacing w:after="0" w:line="9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Intangible assets with finite lives are capitalized and are amortized over their estimated useful lives, ranging from three to 20 years. As of December 31, 2019, the remaining weighted-average amortization period for finite-lived intangible assets was approximately 10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expense</w:t>
            </w:r>
          </w:p>
        </w:tc>
        <w:tc>
          <w:tcPr>
            <w:tcW w:w="29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225.8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361.3</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462.2</w:t>
            </w:r>
          </w:p>
        </w:tc>
      </w:tr>
    </w:tbl>
    <w:p>
      <w:pPr>
        <w:spacing w:after="0" w:line="3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2019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2024</w:t>
            </w:r>
          </w:p>
        </w:tc>
      </w:tr>
      <w:tr>
        <w:trPr>
          <w:trHeight w:val="270"/>
        </w:trPr>
        <w:tc>
          <w:tcPr>
            <w:tcW w:w="4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Estimated amortization expense</w:t>
            </w:r>
          </w:p>
        </w:tc>
        <w:tc>
          <w:tcPr>
            <w:tcW w:w="18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234.3</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235.2</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227.3</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215.6</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165.7</w:t>
            </w:r>
          </w:p>
        </w:tc>
      </w:tr>
    </w:tbl>
    <w:p>
      <w:pPr>
        <w:spacing w:after="0" w:line="3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Amortization expense is included in either cost of sales, marketing, selling, and administrative or research and development depending on the nature of the intangible asset being amortized.</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77</w:t>
      </w:r>
    </w:p>
    <w:p>
      <w:pPr>
        <w:sectPr>
          <w:pgSz w:w="11900" w:h="16838" w:orient="portrait"/>
          <w:cols w:equalWidth="0" w:num="1">
            <w:col w:w="11420"/>
          </w:cols>
          <w:pgMar w:left="240" w:top="679"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CC0000"/>
        </w:rPr>
        <w:t>Note 9: Property and Equipment</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three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213" w:lineRule="exact"/>
        <w:rPr>
          <w:sz w:val="20"/>
          <w:szCs w:val="20"/>
          <w:color w:val="auto"/>
        </w:rPr>
      </w:pPr>
    </w:p>
    <w:p>
      <w:pPr>
        <w:ind w:left="8900"/>
        <w:spacing w:after="0"/>
        <w:tabs>
          <w:tab w:leader="none" w:pos="104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Less accumulated depreciation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58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169.5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165.5</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7,067.3</w:t>
      </w:r>
      <w:r>
        <w:rPr>
          <w:sz w:val="20"/>
          <w:szCs w:val="20"/>
          <w:color w:val="auto"/>
        </w:rPr>
        <w:tab/>
      </w:r>
      <w:r>
        <w:rPr>
          <w:rFonts w:ascii="Arial" w:cs="Arial" w:eastAsia="Arial" w:hAnsi="Arial"/>
          <w:sz w:val="17"/>
          <w:szCs w:val="17"/>
          <w:color w:val="auto"/>
        </w:rPr>
        <w:t>7,116.6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7,913.3</w:t>
      </w:r>
      <w:r>
        <w:rPr>
          <w:sz w:val="20"/>
          <w:szCs w:val="20"/>
          <w:color w:val="auto"/>
        </w:rPr>
        <w:tab/>
      </w:r>
      <w:r>
        <w:rPr>
          <w:rFonts w:ascii="Arial" w:cs="Arial" w:eastAsia="Arial" w:hAnsi="Arial"/>
          <w:sz w:val="17"/>
          <w:szCs w:val="17"/>
          <w:color w:val="auto"/>
        </w:rPr>
        <w:t>7,792.3</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1,884.4</w:t>
      </w:r>
      <w:r>
        <w:rPr>
          <w:sz w:val="20"/>
          <w:szCs w:val="20"/>
          <w:color w:val="auto"/>
        </w:rPr>
        <w:tab/>
      </w:r>
      <w:r>
        <w:rPr>
          <w:rFonts w:ascii="Arial" w:cs="Arial" w:eastAsia="Arial" w:hAnsi="Arial"/>
          <w:sz w:val="17"/>
          <w:szCs w:val="17"/>
          <w:color w:val="auto"/>
        </w:rPr>
        <w:t>1,588.6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8"/>
          <w:szCs w:val="18"/>
          <w:b w:val="1"/>
          <w:bCs w:val="1"/>
          <w:color w:val="auto"/>
        </w:rPr>
        <w:t>17,034.5</w:t>
      </w:r>
      <w:r>
        <w:rPr>
          <w:sz w:val="20"/>
          <w:szCs w:val="20"/>
          <w:color w:val="auto"/>
        </w:rPr>
        <w:tab/>
      </w:r>
      <w:r>
        <w:rPr>
          <w:rFonts w:ascii="Arial" w:cs="Arial" w:eastAsia="Arial" w:hAnsi="Arial"/>
          <w:sz w:val="17"/>
          <w:szCs w:val="17"/>
          <w:color w:val="auto"/>
        </w:rPr>
        <w:t>16,663.0</w:t>
      </w:r>
    </w:p>
    <w:p>
      <w:pPr>
        <w:spacing w:after="0" w:line="63" w:lineRule="exact"/>
        <w:rPr>
          <w:sz w:val="20"/>
          <w:szCs w:val="20"/>
          <w:color w:val="auto"/>
        </w:rPr>
      </w:pPr>
    </w:p>
    <w:p>
      <w:pPr>
        <w:jc w:val="right"/>
        <w:ind w:right="200"/>
        <w:spacing w:after="0"/>
        <w:tabs>
          <w:tab w:leader="none" w:pos="700" w:val="left"/>
        </w:tabs>
        <w:rPr>
          <w:sz w:val="20"/>
          <w:szCs w:val="20"/>
          <w:color w:val="auto"/>
        </w:rPr>
      </w:pPr>
      <w:r>
        <w:rPr>
          <w:rFonts w:ascii="Arial" w:cs="Arial" w:eastAsia="Arial" w:hAnsi="Arial"/>
          <w:sz w:val="18"/>
          <w:szCs w:val="18"/>
          <w:b w:val="1"/>
          <w:bCs w:val="1"/>
          <w:color w:val="auto"/>
        </w:rPr>
        <w:t>(9,161.6)</w:t>
      </w:r>
      <w:r>
        <w:rPr>
          <w:sz w:val="20"/>
          <w:szCs w:val="20"/>
          <w:color w:val="auto"/>
        </w:rPr>
        <w:tab/>
      </w:r>
      <w:r>
        <w:rPr>
          <w:rFonts w:ascii="Arial" w:cs="Arial" w:eastAsia="Arial" w:hAnsi="Arial"/>
          <w:sz w:val="17"/>
          <w:szCs w:val="17"/>
          <w:color w:val="auto"/>
        </w:rPr>
        <w:t>(8,666.9)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97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 w:leader="none" w:pos="1580" w:val="left"/>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7,872.9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7,996.1</w:t>
      </w:r>
    </w:p>
    <w:p>
      <w:pPr>
        <w:spacing w:after="0" w:line="200" w:lineRule="exact"/>
        <w:rPr>
          <w:sz w:val="20"/>
          <w:szCs w:val="20"/>
          <w:color w:val="auto"/>
        </w:rPr>
      </w:pPr>
    </w:p>
    <w:p>
      <w:pPr>
        <w:sectPr>
          <w:pgSz w:w="11900" w:h="16838" w:orient="portrait"/>
          <w:cols w:equalWidth="0" w:num="2">
            <w:col w:w="7620" w:space="720"/>
            <w:col w:w="3080"/>
          </w:cols>
          <w:pgMar w:left="240" w:top="549" w:right="2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related to property and equipment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r>
      <w:tr>
        <w:trPr>
          <w:trHeight w:val="270"/>
        </w:trPr>
        <w:tc>
          <w:tcPr>
            <w:tcW w:w="810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expense</w:t>
            </w:r>
          </w:p>
        </w:tc>
        <w:tc>
          <w:tcPr>
            <w:tcW w:w="22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D8D8D8"/>
          </w:tcPr>
          <w:p>
            <w:pPr>
              <w:ind w:left="240"/>
              <w:spacing w:after="0"/>
              <w:rPr>
                <w:sz w:val="20"/>
                <w:szCs w:val="20"/>
                <w:color w:val="auto"/>
              </w:rPr>
            </w:pPr>
            <w:r>
              <w:rPr>
                <w:rFonts w:ascii="Arial" w:cs="Arial" w:eastAsia="Arial" w:hAnsi="Arial"/>
                <w:sz w:val="18"/>
                <w:szCs w:val="18"/>
                <w:b w:val="1"/>
                <w:bCs w:val="1"/>
                <w:color w:val="auto"/>
              </w:rPr>
              <w:t>814.7</w:t>
            </w:r>
          </w:p>
        </w:tc>
        <w:tc>
          <w:tcPr>
            <w:tcW w:w="44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D8D8D8"/>
          </w:tcPr>
          <w:p>
            <w:pPr>
              <w:jc w:val="right"/>
              <w:ind w:right="30"/>
              <w:spacing w:after="0"/>
              <w:rPr>
                <w:sz w:val="20"/>
                <w:szCs w:val="20"/>
                <w:color w:val="auto"/>
              </w:rPr>
            </w:pPr>
            <w:r>
              <w:rPr>
                <w:rFonts w:ascii="Arial" w:cs="Arial" w:eastAsia="Arial" w:hAnsi="Arial"/>
                <w:sz w:val="18"/>
                <w:szCs w:val="18"/>
                <w:color w:val="auto"/>
              </w:rPr>
              <w:t>797.1</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681.7</w:t>
            </w:r>
          </w:p>
        </w:tc>
      </w:tr>
      <w:tr>
        <w:trPr>
          <w:trHeight w:val="540"/>
        </w:trPr>
        <w:tc>
          <w:tcPr>
            <w:tcW w:w="8100" w:type="dxa"/>
            <w:vAlign w:val="bottom"/>
          </w:tcPr>
          <w:p>
            <w:pPr>
              <w:spacing w:after="0"/>
              <w:rPr>
                <w:sz w:val="20"/>
                <w:szCs w:val="20"/>
                <w:color w:val="auto"/>
              </w:rPr>
            </w:pPr>
            <w:r>
              <w:rPr>
                <w:rFonts w:ascii="Arial" w:cs="Arial" w:eastAsia="Arial" w:hAnsi="Arial"/>
                <w:sz w:val="18"/>
                <w:szCs w:val="18"/>
                <w:color w:val="auto"/>
              </w:rPr>
              <w:t>Capitalized interest costs were not material for the years ended December 31, 2019, 2018, and 2017.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8100" w:type="dxa"/>
            <w:vAlign w:val="bottom"/>
          </w:tcPr>
          <w:p>
            <w:pPr>
              <w:spacing w:after="0"/>
              <w:rPr>
                <w:sz w:val="20"/>
                <w:szCs w:val="20"/>
                <w:color w:val="auto"/>
              </w:rPr>
            </w:pPr>
            <w:r>
              <w:rPr>
                <w:rFonts w:ascii="Arial" w:cs="Arial" w:eastAsia="Arial" w:hAnsi="Arial"/>
                <w:sz w:val="18"/>
                <w:szCs w:val="18"/>
                <w:color w:val="auto"/>
              </w:rPr>
              <w:t>The following table summarizes long-lived assets by geographical area:</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9"/>
        </w:trPr>
        <w:tc>
          <w:tcPr>
            <w:tcW w:w="8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70"/>
        </w:trPr>
        <w:tc>
          <w:tcPr>
            <w:tcW w:w="810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Long-lived assets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22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50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50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U.S. and Puerto Rico</w:t>
            </w:r>
          </w:p>
        </w:tc>
        <w:tc>
          <w:tcPr>
            <w:tcW w:w="220" w:type="dxa"/>
            <w:vAlign w:val="bottom"/>
          </w:tcPr>
          <w:p>
            <w:pPr>
              <w:spacing w:after="0"/>
              <w:rPr>
                <w:sz w:val="22"/>
                <w:szCs w:val="22"/>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99"/>
              <w:spacing w:after="0"/>
              <w:rPr>
                <w:sz w:val="20"/>
                <w:szCs w:val="20"/>
                <w:color w:val="auto"/>
              </w:rPr>
            </w:pPr>
            <w:r>
              <w:rPr>
                <w:rFonts w:ascii="Arial" w:cs="Arial" w:eastAsia="Arial" w:hAnsi="Arial"/>
                <w:sz w:val="18"/>
                <w:szCs w:val="18"/>
                <w:b w:val="1"/>
                <w:bCs w:val="1"/>
                <w:color w:val="auto"/>
              </w:rPr>
              <w:t>5,595.4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5,425.0</w:t>
            </w:r>
          </w:p>
        </w:tc>
      </w:tr>
      <w:tr>
        <w:trPr>
          <w:trHeight w:val="277"/>
        </w:trPr>
        <w:tc>
          <w:tcPr>
            <w:tcW w:w="81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Ireland</w:t>
            </w:r>
          </w:p>
        </w:tc>
        <w:tc>
          <w:tcPr>
            <w:tcW w:w="22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500" w:type="dxa"/>
            <w:vAlign w:val="bottom"/>
            <w:shd w:val="clear" w:color="auto" w:fill="D8D8D8"/>
          </w:tcPr>
          <w:p>
            <w:pPr>
              <w:spacing w:after="0"/>
              <w:rPr>
                <w:sz w:val="24"/>
                <w:szCs w:val="24"/>
                <w:color w:val="auto"/>
              </w:rPr>
            </w:pPr>
          </w:p>
        </w:tc>
        <w:tc>
          <w:tcPr>
            <w:tcW w:w="940" w:type="dxa"/>
            <w:vAlign w:val="bottom"/>
            <w:gridSpan w:val="2"/>
            <w:shd w:val="clear" w:color="auto" w:fill="D8D8D8"/>
          </w:tcPr>
          <w:p>
            <w:pPr>
              <w:jc w:val="right"/>
              <w:ind w:right="99"/>
              <w:spacing w:after="0"/>
              <w:rPr>
                <w:sz w:val="20"/>
                <w:szCs w:val="20"/>
                <w:color w:val="auto"/>
              </w:rPr>
            </w:pPr>
            <w:r>
              <w:rPr>
                <w:rFonts w:ascii="Arial" w:cs="Arial" w:eastAsia="Arial" w:hAnsi="Arial"/>
                <w:sz w:val="18"/>
                <w:szCs w:val="18"/>
                <w:b w:val="1"/>
                <w:bCs w:val="1"/>
                <w:color w:val="auto"/>
              </w:rPr>
              <w:t>1,454.8</w:t>
            </w:r>
          </w:p>
        </w:tc>
        <w:tc>
          <w:tcPr>
            <w:tcW w:w="28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1,351.3</w:t>
            </w:r>
          </w:p>
        </w:tc>
      </w:tr>
      <w:tr>
        <w:trPr>
          <w:trHeight w:val="264"/>
        </w:trPr>
        <w:tc>
          <w:tcPr>
            <w:tcW w:w="81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foreign countries</w:t>
            </w:r>
          </w:p>
        </w:tc>
        <w:tc>
          <w:tcPr>
            <w:tcW w:w="220" w:type="dxa"/>
            <w:vAlign w:val="bottom"/>
            <w:tcBorders>
              <w:bottom w:val="single" w:sz="8" w:color="D8D8D8"/>
            </w:tcBorders>
          </w:tcPr>
          <w:p>
            <w:pPr>
              <w:spacing w:after="0"/>
              <w:rPr>
                <w:sz w:val="22"/>
                <w:szCs w:val="22"/>
                <w:color w:val="auto"/>
              </w:rPr>
            </w:pPr>
          </w:p>
        </w:tc>
        <w:tc>
          <w:tcPr>
            <w:tcW w:w="240" w:type="dxa"/>
            <w:vAlign w:val="bottom"/>
            <w:tcBorders>
              <w:bottom w:val="single" w:sz="8" w:color="D8D8D8"/>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8"/>
                <w:szCs w:val="18"/>
                <w:b w:val="1"/>
                <w:bCs w:val="1"/>
                <w:color w:val="auto"/>
              </w:rPr>
              <w:t>1,758.3</w:t>
            </w:r>
          </w:p>
        </w:tc>
        <w:tc>
          <w:tcPr>
            <w:tcW w:w="2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1,769.9</w:t>
            </w:r>
          </w:p>
        </w:tc>
      </w:tr>
      <w:tr>
        <w:trPr>
          <w:trHeight w:val="264"/>
        </w:trPr>
        <w:tc>
          <w:tcPr>
            <w:tcW w:w="81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Long-lived assets</w:t>
            </w:r>
          </w:p>
        </w:tc>
        <w:tc>
          <w:tcPr>
            <w:tcW w:w="22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5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gridSpan w:val="2"/>
            <w:shd w:val="clear" w:color="auto" w:fill="D8D8D8"/>
          </w:tcPr>
          <w:p>
            <w:pPr>
              <w:jc w:val="right"/>
              <w:ind w:right="99"/>
              <w:spacing w:after="0"/>
              <w:rPr>
                <w:sz w:val="20"/>
                <w:szCs w:val="20"/>
                <w:color w:val="auto"/>
              </w:rPr>
            </w:pPr>
            <w:r>
              <w:rPr>
                <w:rFonts w:ascii="Arial" w:cs="Arial" w:eastAsia="Arial" w:hAnsi="Arial"/>
                <w:sz w:val="18"/>
                <w:szCs w:val="18"/>
                <w:b w:val="1"/>
                <w:bCs w:val="1"/>
                <w:color w:val="auto"/>
              </w:rPr>
              <w:t>8,808.5</w:t>
            </w:r>
          </w:p>
        </w:tc>
        <w:tc>
          <w:tcPr>
            <w:tcW w:w="2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8D8D8"/>
          </w:tcPr>
          <w:p>
            <w:pPr>
              <w:spacing w:after="0"/>
              <w:rPr>
                <w:sz w:val="22"/>
                <w:szCs w:val="22"/>
                <w:color w:val="auto"/>
              </w:rPr>
            </w:pPr>
          </w:p>
        </w:tc>
        <w:tc>
          <w:tcPr>
            <w:tcW w:w="880" w:type="dxa"/>
            <w:vAlign w:val="bottom"/>
            <w:tcBorders>
              <w:bottom w:val="single" w:sz="8" w:color="auto"/>
            </w:tcBorders>
            <w:shd w:val="clear" w:color="auto" w:fill="D8D8D8"/>
          </w:tcPr>
          <w:p>
            <w:pPr>
              <w:jc w:val="right"/>
              <w:ind w:right="15"/>
              <w:spacing w:after="0"/>
              <w:rPr>
                <w:sz w:val="20"/>
                <w:szCs w:val="20"/>
                <w:color w:val="auto"/>
              </w:rPr>
            </w:pPr>
            <w:r>
              <w:rPr>
                <w:rFonts w:ascii="Arial" w:cs="Arial" w:eastAsia="Arial" w:hAnsi="Arial"/>
                <w:sz w:val="18"/>
                <w:szCs w:val="18"/>
                <w:color w:val="auto"/>
              </w:rPr>
              <w:t>8,546.2</w:t>
            </w:r>
          </w:p>
        </w:tc>
      </w:tr>
    </w:tbl>
    <w:p>
      <w:pPr>
        <w:spacing w:after="0" w:line="209" w:lineRule="exact"/>
        <w:rPr>
          <w:sz w:val="20"/>
          <w:szCs w:val="20"/>
          <w:color w:val="auto"/>
        </w:rPr>
      </w:pPr>
    </w:p>
    <w:p>
      <w:pPr>
        <w:ind w:left="140" w:hanging="132"/>
        <w:spacing w:after="0"/>
        <w:tabs>
          <w:tab w:leader="none" w:pos="140" w:val="left"/>
        </w:tabs>
        <w:numPr>
          <w:ilvl w:val="0"/>
          <w:numId w:val="57"/>
        </w:numPr>
        <w:rPr>
          <w:rFonts w:ascii="Arial" w:cs="Arial" w:eastAsia="Arial" w:hAnsi="Arial"/>
          <w:sz w:val="16"/>
          <w:szCs w:val="16"/>
          <w:color w:val="auto"/>
          <w:vertAlign w:val="superscript"/>
        </w:rPr>
      </w:pPr>
      <w:r>
        <w:rPr>
          <w:rFonts w:ascii="Arial" w:cs="Arial" w:eastAsia="Arial" w:hAnsi="Arial"/>
          <w:sz w:val="13"/>
          <w:szCs w:val="13"/>
          <w:color w:val="auto"/>
        </w:rPr>
        <w:t>Long-lived assets consist of property and equipment, net, operating lease assets, and certain other noncurrent assets.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78</w:t>
      </w:r>
    </w:p>
    <w:p>
      <w:pPr>
        <w:sectPr>
          <w:pgSz w:w="11900" w:h="16838" w:orient="portrait"/>
          <w:cols w:equalWidth="0" w:num="1">
            <w:col w:w="11420"/>
          </w:cols>
          <w:pgMar w:left="240" w:top="549"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CC0000"/>
        </w:rPr>
        <w:t>Note 10: Leases</w:t>
      </w:r>
    </w:p>
    <w:p>
      <w:pPr>
        <w:spacing w:after="0" w:line="193"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We determine if an arrangement is a lease at inception. We have leases with terms up to 13 years for corporate offices, research and development facilities, vehicles, and equipment, including some of which have options to extend and/or early-terminate the leases. We determine the lease term by assuming the exercise of any renewal and/or early-termination options that are reasonably assured.</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Beginning January 1, 2019, operating lease right-of-use assets have been presented in operating lease assets in our consolidated balance sheet, and the current and long-term portions of operating lease liabilities are included in other current liabilities and noncurrent operating lease liabilities, respectively, in our consolidated balance sheet. Short-term leases, which are deemed at inception to have a lease term of 12 months or less, are not recorded on the consolidated balance sheet.</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Operating lease assets represent our right to use an underlying asset for the lease term and operating lease liabilities represent our obligation to make lease payments arising from the lease. Operating lease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w:t>
      </w:r>
    </w:p>
    <w:p>
      <w:pPr>
        <w:spacing w:after="0" w:line="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Lease expense for operating lease assets, which is recognized on a straight-line basis over the lease term, was $172.8 million during the year ended December 31, 2019. Variable lease payments, which represent non-lease components such as maintenance, insurance and taxes, and which vary due to changes in facts or circumstances occurring after the commencement date other than the passage of time, are expensed in the period in which the payment obligation is incurred and were not material during the year ended December 31, 2019. Short-term lease expense was not material during the year ended December 31,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as of December 31, 2019 was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Weighted-average remaining lease term</w:t>
            </w:r>
          </w:p>
        </w:tc>
        <w:tc>
          <w:tcPr>
            <w:tcW w:w="1400" w:type="dxa"/>
            <w:vAlign w:val="bottom"/>
            <w:tcBorders>
              <w:top w:val="single" w:sz="8" w:color="auto"/>
            </w:tcBorders>
            <w:shd w:val="clear" w:color="auto" w:fill="D8D8D8"/>
          </w:tcPr>
          <w:p>
            <w:pPr>
              <w:spacing w:after="0"/>
              <w:rPr>
                <w:sz w:val="23"/>
                <w:szCs w:val="23"/>
                <w:color w:val="auto"/>
              </w:rPr>
            </w:pPr>
          </w:p>
        </w:tc>
        <w:tc>
          <w:tcPr>
            <w:tcW w:w="1240" w:type="dxa"/>
            <w:vAlign w:val="bottom"/>
            <w:tcBorders>
              <w:top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8 years</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1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46"/>
        </w:trPr>
        <w:tc>
          <w:tcPr>
            <w:tcW w:w="1018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operating leases during the year ended December 31, 2019 was as follows:</w:t>
            </w:r>
          </w:p>
        </w:tc>
        <w:tc>
          <w:tcPr>
            <w:tcW w:w="1240" w:type="dxa"/>
            <w:vAlign w:val="bottom"/>
          </w:tcPr>
          <w:p>
            <w:pPr>
              <w:spacing w:after="0"/>
              <w:rPr>
                <w:sz w:val="24"/>
                <w:szCs w:val="24"/>
                <w:color w:val="auto"/>
              </w:rPr>
            </w:pPr>
          </w:p>
        </w:tc>
      </w:tr>
      <w:tr>
        <w:trPr>
          <w:trHeight w:val="432"/>
        </w:trPr>
        <w:tc>
          <w:tcPr>
            <w:tcW w:w="8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50"/>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1400" w:type="dxa"/>
            <w:vAlign w:val="bottom"/>
            <w:shd w:val="clear" w:color="auto" w:fill="D8D8D8"/>
          </w:tcPr>
          <w:p>
            <w:pPr>
              <w:jc w:val="right"/>
              <w:ind w:right="1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153.6</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81.2</w:t>
            </w:r>
          </w:p>
        </w:tc>
      </w:tr>
      <w:tr>
        <w:trPr>
          <w:trHeight w:val="554"/>
        </w:trPr>
        <w:tc>
          <w:tcPr>
            <w:tcW w:w="10180" w:type="dxa"/>
            <w:vAlign w:val="bottom"/>
            <w:gridSpan w:val="2"/>
          </w:tcPr>
          <w:p>
            <w:pPr>
              <w:spacing w:after="0"/>
              <w:rPr>
                <w:sz w:val="20"/>
                <w:szCs w:val="20"/>
                <w:color w:val="auto"/>
              </w:rPr>
            </w:pPr>
            <w:r>
              <w:rPr>
                <w:rFonts w:ascii="Arial" w:cs="Arial" w:eastAsia="Arial" w:hAnsi="Arial"/>
                <w:sz w:val="18"/>
                <w:szCs w:val="18"/>
                <w:color w:val="auto"/>
              </w:rPr>
              <w:t>The annual minimum lease payments of our operating lease liabilities as of December 31, 2019 were as follows:</w:t>
            </w:r>
          </w:p>
        </w:tc>
        <w:tc>
          <w:tcPr>
            <w:tcW w:w="1240" w:type="dxa"/>
            <w:vAlign w:val="bottom"/>
          </w:tcPr>
          <w:p>
            <w:pPr>
              <w:spacing w:after="0"/>
              <w:rPr>
                <w:sz w:val="24"/>
                <w:szCs w:val="24"/>
                <w:color w:val="auto"/>
              </w:rPr>
            </w:pPr>
          </w:p>
        </w:tc>
      </w:tr>
      <w:tr>
        <w:trPr>
          <w:trHeight w:val="432"/>
        </w:trPr>
        <w:tc>
          <w:tcPr>
            <w:tcW w:w="8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50"/>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Year 1</w:t>
            </w:r>
          </w:p>
        </w:tc>
        <w:tc>
          <w:tcPr>
            <w:tcW w:w="1400" w:type="dxa"/>
            <w:vAlign w:val="bottom"/>
            <w:shd w:val="clear" w:color="auto" w:fill="D8D8D8"/>
          </w:tcPr>
          <w:p>
            <w:pPr>
              <w:jc w:val="right"/>
              <w:ind w:right="1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138.1</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Year 2</w:t>
            </w:r>
          </w:p>
        </w:tc>
        <w:tc>
          <w:tcPr>
            <w:tcW w:w="1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111.0</w:t>
            </w:r>
          </w:p>
        </w:tc>
      </w:tr>
      <w:tr>
        <w:trPr>
          <w:trHeight w:val="263"/>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Year 3</w:t>
            </w:r>
          </w:p>
        </w:tc>
        <w:tc>
          <w:tcPr>
            <w:tcW w:w="1400" w:type="dxa"/>
            <w:vAlign w:val="bottom"/>
            <w:shd w:val="clear" w:color="auto" w:fill="D8D8D8"/>
          </w:tcPr>
          <w:p>
            <w:pPr>
              <w:spacing w:after="0"/>
              <w:rPr>
                <w:sz w:val="22"/>
                <w:szCs w:val="22"/>
                <w:color w:val="auto"/>
              </w:rPr>
            </w:pPr>
          </w:p>
        </w:tc>
        <w:tc>
          <w:tcPr>
            <w:tcW w:w="12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82.3</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Year 4</w:t>
            </w:r>
          </w:p>
        </w:tc>
        <w:tc>
          <w:tcPr>
            <w:tcW w:w="1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63"/>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Year 5</w:t>
            </w:r>
          </w:p>
        </w:tc>
        <w:tc>
          <w:tcPr>
            <w:tcW w:w="1400" w:type="dxa"/>
            <w:vAlign w:val="bottom"/>
            <w:shd w:val="clear" w:color="auto" w:fill="D8D8D8"/>
          </w:tcPr>
          <w:p>
            <w:pPr>
              <w:spacing w:after="0"/>
              <w:rPr>
                <w:sz w:val="22"/>
                <w:szCs w:val="22"/>
                <w:color w:val="auto"/>
              </w:rPr>
            </w:pPr>
          </w:p>
        </w:tc>
        <w:tc>
          <w:tcPr>
            <w:tcW w:w="12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55.7</w:t>
            </w:r>
          </w:p>
        </w:tc>
      </w:tr>
      <w:tr>
        <w:trPr>
          <w:trHeight w:val="250"/>
        </w:trPr>
        <w:tc>
          <w:tcPr>
            <w:tcW w:w="87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After Year 5</w:t>
            </w:r>
          </w:p>
        </w:tc>
        <w:tc>
          <w:tcPr>
            <w:tcW w:w="1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272.7</w:t>
            </w:r>
          </w:p>
        </w:tc>
      </w:tr>
      <w:tr>
        <w:trPr>
          <w:trHeight w:val="257"/>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lease payments</w:t>
            </w:r>
          </w:p>
        </w:tc>
        <w:tc>
          <w:tcPr>
            <w:tcW w:w="1400" w:type="dxa"/>
            <w:vAlign w:val="bottom"/>
            <w:shd w:val="clear" w:color="auto" w:fill="D8D8D8"/>
          </w:tcPr>
          <w:p>
            <w:pPr>
              <w:spacing w:after="0"/>
              <w:rPr>
                <w:sz w:val="22"/>
                <w:szCs w:val="22"/>
                <w:color w:val="auto"/>
              </w:rPr>
            </w:pPr>
          </w:p>
        </w:tc>
        <w:tc>
          <w:tcPr>
            <w:tcW w:w="12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720.4</w:t>
            </w:r>
          </w:p>
        </w:tc>
      </w:tr>
      <w:tr>
        <w:trPr>
          <w:trHeight w:val="250"/>
        </w:trPr>
        <w:tc>
          <w:tcPr>
            <w:tcW w:w="87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Less imputed interest</w:t>
            </w:r>
          </w:p>
        </w:tc>
        <w:tc>
          <w:tcPr>
            <w:tcW w:w="1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112.0</w:t>
            </w:r>
          </w:p>
        </w:tc>
      </w:tr>
      <w:tr>
        <w:trPr>
          <w:trHeight w:val="264"/>
        </w:trPr>
        <w:tc>
          <w:tcPr>
            <w:tcW w:w="87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D8D8D8"/>
          </w:tcPr>
          <w:p>
            <w:pPr>
              <w:jc w:val="right"/>
              <w:ind w:right="1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608.4</w:t>
            </w:r>
          </w:p>
        </w:tc>
      </w:tr>
    </w:tbl>
    <w:p>
      <w:pPr>
        <w:spacing w:after="0" w:line="200" w:lineRule="exact"/>
        <w:rPr>
          <w:sz w:val="20"/>
          <w:szCs w:val="20"/>
          <w:color w:val="auto"/>
        </w:rPr>
      </w:pPr>
    </w:p>
    <w:p>
      <w:pPr>
        <w:spacing w:after="0" w:line="339"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color w:val="auto"/>
        </w:rPr>
        <w:t>Rental expense for all leases, including contingent rentals (not material), was $175.7 million and $177.4 million for the years ended December 31, 2018 and 2017, respectively.</w:t>
      </w:r>
    </w:p>
    <w:p>
      <w:pPr>
        <w:spacing w:after="0" w:line="1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Finance leases are included in property and equipment, short-term borrowings and current maturities of long-term debt, and long-term debt in our consolidated balance sheets. Finance leases are not material to our consolidated financial statements.</w:t>
      </w:r>
    </w:p>
    <w:p>
      <w:pPr>
        <w:spacing w:after="0" w:line="399"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79</w:t>
      </w:r>
    </w:p>
    <w:p>
      <w:pPr>
        <w:sectPr>
          <w:pgSz w:w="11900" w:h="16838" w:orient="portrait"/>
          <w:cols w:equalWidth="0" w:num="1">
            <w:col w:w="11420"/>
          </w:cols>
          <w:pgMar w:left="240" w:top="549"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CC0000"/>
        </w:rPr>
        <w:t>Note 11: Borrowings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213" w:lineRule="exact"/>
        <w:rPr>
          <w:sz w:val="20"/>
          <w:szCs w:val="20"/>
          <w:color w:val="auto"/>
        </w:rPr>
      </w:pPr>
    </w:p>
    <w:p>
      <w:pPr>
        <w:jc w:val="both"/>
        <w:ind w:left="906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commercial paper borrowings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0.15 to 7.13 percent long-term notes (due 2022-2059)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2947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adjustment on hedged long-term notes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portion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620" w:val="left"/>
          <w:tab w:leader="none" w:pos="1460" w:val="left"/>
          <w:tab w:leader="none" w:pos="22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1,494.2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498.9</w:t>
      </w:r>
    </w:p>
    <w:p>
      <w:pPr>
        <w:spacing w:after="0" w:line="63" w:lineRule="exact"/>
        <w:rPr>
          <w:sz w:val="20"/>
          <w:szCs w:val="20"/>
          <w:color w:val="auto"/>
        </w:rPr>
      </w:pPr>
    </w:p>
    <w:p>
      <w:pPr>
        <w:ind w:left="540"/>
        <w:spacing w:after="0"/>
        <w:tabs>
          <w:tab w:leader="none" w:pos="2100" w:val="left"/>
        </w:tabs>
        <w:rPr>
          <w:sz w:val="20"/>
          <w:szCs w:val="20"/>
          <w:color w:val="auto"/>
        </w:rPr>
      </w:pPr>
      <w:r>
        <w:rPr>
          <w:rFonts w:ascii="Arial" w:cs="Arial" w:eastAsia="Arial" w:hAnsi="Arial"/>
          <w:sz w:val="18"/>
          <w:szCs w:val="18"/>
          <w:b w:val="1"/>
          <w:bCs w:val="1"/>
          <w:color w:val="auto"/>
        </w:rPr>
        <w:t>13,638.5</w:t>
      </w:r>
      <w:r>
        <w:rPr>
          <w:sz w:val="20"/>
          <w:szCs w:val="20"/>
          <w:color w:val="auto"/>
        </w:rPr>
        <w:tab/>
      </w:r>
      <w:r>
        <w:rPr>
          <w:rFonts w:ascii="Arial" w:cs="Arial" w:eastAsia="Arial" w:hAnsi="Arial"/>
          <w:sz w:val="17"/>
          <w:szCs w:val="17"/>
          <w:color w:val="auto"/>
        </w:rPr>
        <w:t>9,640.8</w:t>
      </w:r>
    </w:p>
    <w:p>
      <w:pPr>
        <w:spacing w:after="0" w:line="6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color w:val="auto"/>
        </w:rPr>
        <w:t>10.1</w:t>
      </w:r>
    </w:p>
    <w:p>
      <w:pPr>
        <w:spacing w:after="0" w:line="63" w:lineRule="exact"/>
        <w:rPr>
          <w:sz w:val="20"/>
          <w:szCs w:val="20"/>
          <w:color w:val="auto"/>
        </w:rPr>
      </w:pPr>
    </w:p>
    <w:p>
      <w:pPr>
        <w:jc w:val="right"/>
        <w:ind w:right="80"/>
        <w:spacing w:after="0"/>
        <w:tabs>
          <w:tab w:leader="none" w:pos="440" w:val="left"/>
        </w:tabs>
        <w:rPr>
          <w:sz w:val="20"/>
          <w:szCs w:val="20"/>
          <w:color w:val="auto"/>
        </w:rPr>
      </w:pPr>
      <w:r>
        <w:rPr>
          <w:rFonts w:ascii="Arial" w:cs="Arial" w:eastAsia="Arial" w:hAnsi="Arial"/>
          <w:sz w:val="18"/>
          <w:szCs w:val="18"/>
          <w:b w:val="1"/>
          <w:bCs w:val="1"/>
          <w:color w:val="auto"/>
        </w:rPr>
        <w:t>(73.6)</w:t>
      </w:r>
      <w:r>
        <w:rPr>
          <w:sz w:val="20"/>
          <w:szCs w:val="20"/>
          <w:color w:val="auto"/>
        </w:rPr>
        <w:tab/>
      </w:r>
      <w:r>
        <w:rPr>
          <w:rFonts w:ascii="Arial" w:cs="Arial" w:eastAsia="Arial" w:hAnsi="Arial"/>
          <w:sz w:val="17"/>
          <w:szCs w:val="17"/>
          <w:color w:val="auto"/>
        </w:rPr>
        <w:t>(28.4)</w:t>
      </w:r>
    </w:p>
    <w:p>
      <w:pPr>
        <w:spacing w:after="0" w:line="63" w:lineRule="exact"/>
        <w:rPr>
          <w:sz w:val="20"/>
          <w:szCs w:val="20"/>
          <w:color w:val="auto"/>
        </w:rPr>
      </w:pPr>
    </w:p>
    <w:p>
      <w:pPr>
        <w:ind w:left="780"/>
        <w:spacing w:after="0"/>
        <w:tabs>
          <w:tab w:leader="none" w:pos="2260" w:val="left"/>
        </w:tabs>
        <w:rPr>
          <w:sz w:val="20"/>
          <w:szCs w:val="20"/>
          <w:color w:val="auto"/>
        </w:rPr>
      </w:pPr>
      <w:r>
        <w:rPr>
          <w:rFonts w:ascii="Arial" w:cs="Arial" w:eastAsia="Arial" w:hAnsi="Arial"/>
          <w:sz w:val="18"/>
          <w:szCs w:val="18"/>
          <w:b w:val="1"/>
          <w:bCs w:val="1"/>
          <w:color w:val="auto"/>
        </w:rPr>
        <w:t>245.2</w:t>
      </w:r>
      <w:r>
        <w:rPr>
          <w:sz w:val="20"/>
          <w:szCs w:val="20"/>
          <w:color w:val="auto"/>
        </w:rPr>
        <w:tab/>
      </w:r>
      <w:r>
        <w:rPr>
          <w:rFonts w:ascii="Arial" w:cs="Arial" w:eastAsia="Arial" w:hAnsi="Arial"/>
          <w:sz w:val="17"/>
          <w:szCs w:val="17"/>
          <w:color w:val="auto"/>
        </w:rPr>
        <w:t>177.2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540"/>
        <w:spacing w:after="0"/>
        <w:tabs>
          <w:tab w:leader="none" w:pos="2000" w:val="left"/>
        </w:tabs>
        <w:rPr>
          <w:sz w:val="20"/>
          <w:szCs w:val="20"/>
          <w:color w:val="auto"/>
        </w:rPr>
      </w:pPr>
      <w:r>
        <w:rPr>
          <w:rFonts w:ascii="Arial" w:cs="Arial" w:eastAsia="Arial" w:hAnsi="Arial"/>
          <w:sz w:val="18"/>
          <w:szCs w:val="18"/>
          <w:b w:val="1"/>
          <w:bCs w:val="1"/>
          <w:color w:val="auto"/>
        </w:rPr>
        <w:t>15,317.2</w:t>
      </w:r>
      <w:r>
        <w:rPr>
          <w:sz w:val="20"/>
          <w:szCs w:val="20"/>
          <w:color w:val="auto"/>
        </w:rPr>
        <w:tab/>
      </w:r>
      <w:r>
        <w:rPr>
          <w:rFonts w:ascii="Arial" w:cs="Arial" w:eastAsia="Arial" w:hAnsi="Arial"/>
          <w:sz w:val="17"/>
          <w:szCs w:val="17"/>
          <w:color w:val="auto"/>
        </w:rPr>
        <w:t>10,298.6</w:t>
      </w:r>
    </w:p>
    <w:p>
      <w:pPr>
        <w:spacing w:after="0" w:line="63" w:lineRule="exact"/>
        <w:rPr>
          <w:sz w:val="20"/>
          <w:szCs w:val="20"/>
          <w:color w:val="auto"/>
        </w:rPr>
      </w:pPr>
    </w:p>
    <w:p>
      <w:pPr>
        <w:jc w:val="right"/>
        <w:ind w:right="80"/>
        <w:spacing w:after="0"/>
        <w:tabs>
          <w:tab w:leader="none" w:pos="700" w:val="left"/>
        </w:tabs>
        <w:rPr>
          <w:sz w:val="20"/>
          <w:szCs w:val="20"/>
          <w:color w:val="auto"/>
        </w:rPr>
      </w:pPr>
      <w:r>
        <w:rPr>
          <w:rFonts w:ascii="Arial" w:cs="Arial" w:eastAsia="Arial" w:hAnsi="Arial"/>
          <w:sz w:val="18"/>
          <w:szCs w:val="18"/>
          <w:b w:val="1"/>
          <w:bCs w:val="1"/>
          <w:color w:val="auto"/>
        </w:rPr>
        <w:t>(1,499.3)</w:t>
      </w:r>
      <w:r>
        <w:rPr>
          <w:sz w:val="20"/>
          <w:szCs w:val="20"/>
          <w:color w:val="auto"/>
        </w:rPr>
        <w:tab/>
      </w:r>
      <w:r>
        <w:rPr>
          <w:rFonts w:ascii="Arial" w:cs="Arial" w:eastAsia="Arial" w:hAnsi="Arial"/>
          <w:sz w:val="17"/>
          <w:szCs w:val="17"/>
          <w:color w:val="auto"/>
        </w:rPr>
        <w:t>(1,102.2)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spacing w:after="0"/>
        <w:tabs>
          <w:tab w:leader="none" w:pos="5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13,817.9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9,196.4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860"/>
          </w:cols>
          <w:pgMar w:left="240" w:top="549" w:right="2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effective borrowing rate on outstanding commercial paper at December 31, 2019 was 1.65 percent.</w:t>
      </w:r>
    </w:p>
    <w:p>
      <w:pPr>
        <w:spacing w:after="0" w:line="1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At December 31, 2019, we had a total of $5.21 billion of unused committed bank credit facilities, which consisted primarily of a $3.00 billion credit facility that expires in December 2024 and a $2.00 billion 364-day facility that expires in December 2020, both of which are available to support our commercial paper program. We have not drawn against the $3.00 billion and $2.00 billion facilities. Of the remaining committed bank credit facilities, the outstanding balances as of as December 31, 2019 and December 31, 2018 were not material. Compensating balances and commitment fees are not material, and there are no conditions that are probable of occurring under which the lines may be withdrawn.</w:t>
      </w:r>
    </w:p>
    <w:p>
      <w:pPr>
        <w:spacing w:after="0" w:line="1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February 2019, we issued $1.15 billion of 3.38 percent fixed-rate notes due in March 2029, $ 850.0 million of 3.88 percent fixed-rate notes due in March 2039, $1.50 billion of 3.95 percent fixed-rate notes due in March 2049, and $1.00 billion of 4.15 percent fixed-rate notes due in March 2059, with interest to be paid semi-annually. We used the net proceeds of $4.45 billion from the offering to repay commercial paper that was issued in connection with the acquisition of Loxo and for general corporate purposes.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2019, we issued euro-denominated notes consisting of €600.0 million of 0.625 percent fixed-notes due November 2031 and €1.00 billion of 1.70 percent fixed-rate notes due in November 2049 with interest to be paid annually. We paid $2.27 billion, comprised of $1.75 billion of net cash proceeds from the offering and proceeds from commercial paper, to purchase and redeem certain higher interest rate U.S. dollar denominated notes with an aggregate principal amount of $2.00 billion and a net carrying value of $2.01 billion, resulting in a debt extinguishment loss of $252.5 million. This loss was included in other-net, (income) expense in our consolidated statement of operations during the year ended December 31, 2019.</w:t>
      </w:r>
    </w:p>
    <w:p>
      <w:pPr>
        <w:spacing w:after="0" w:line="12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November 2019, we issued Japanese Yen-denominated notes consisting of ¥22.92 billion of 0.42 percent fixed-rate notes due in November 2029, ¥9.28 billion of 0.56 percent fixed-rate notes due in November 2034, and ¥7.64 billion of 0.97 percent fixed-rate notes due in November 2049, with interest to be paid semi-annually. We used the net cash proceeds from the offering of $356.6 million for general corporate purposes, including to repay outstanding commercial paper.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2024</w:t>
            </w:r>
          </w:p>
        </w:tc>
      </w:tr>
      <w:tr>
        <w:trPr>
          <w:trHeight w:val="270"/>
        </w:trPr>
        <w:tc>
          <w:tcPr>
            <w:tcW w:w="4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Maturities on long-term debt</w:t>
            </w:r>
          </w:p>
        </w:tc>
        <w:tc>
          <w:tcPr>
            <w:tcW w:w="2420" w:type="dxa"/>
            <w:vAlign w:val="bottom"/>
            <w:shd w:val="clear" w:color="auto" w:fill="D8D8D8"/>
          </w:tcPr>
          <w:p>
            <w:pPr>
              <w:jc w:val="right"/>
              <w:ind w:right="459"/>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w w:val="95"/>
              </w:rPr>
              <w:t>7.0</w:t>
            </w:r>
          </w:p>
        </w:tc>
        <w:tc>
          <w:tcPr>
            <w:tcW w:w="780" w:type="dxa"/>
            <w:vAlign w:val="bottom"/>
            <w:shd w:val="clear" w:color="auto" w:fill="D8D8D8"/>
          </w:tcPr>
          <w:p>
            <w:pPr>
              <w:jc w:val="right"/>
              <w:ind w:right="479"/>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w w:val="87"/>
              </w:rPr>
              <w:t>5.9</w:t>
            </w:r>
          </w:p>
        </w:tc>
        <w:tc>
          <w:tcPr>
            <w:tcW w:w="11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  1,424.7</w:t>
            </w:r>
          </w:p>
        </w:tc>
        <w:tc>
          <w:tcPr>
            <w:tcW w:w="780" w:type="dxa"/>
            <w:vAlign w:val="bottom"/>
            <w:shd w:val="clear" w:color="auto" w:fill="D8D8D8"/>
          </w:tcPr>
          <w:p>
            <w:pPr>
              <w:jc w:val="right"/>
              <w:ind w:right="479"/>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w w:val="87"/>
              </w:rPr>
              <w:t>1.9</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619.6</w:t>
            </w:r>
          </w:p>
        </w:tc>
      </w:tr>
    </w:tbl>
    <w:p>
      <w:pPr>
        <w:spacing w:after="0" w:line="3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converted approximately 11 percent of our long-term fixed-rate notes to floating rates through the use of interest rate swaps. The weighted-average effective borrowing rates based on long-term debt obligations and interest rates at December 31, 2019 and 2018, including the effects of interest rate swaps for hedged debt obligations, were 2.88 percent and 3.13 percent,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for interest on borrowings</w:t>
            </w:r>
          </w:p>
        </w:tc>
        <w:tc>
          <w:tcPr>
            <w:tcW w:w="21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305.5</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223.8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192.7</w:t>
            </w:r>
          </w:p>
        </w:tc>
      </w:tr>
    </w:tbl>
    <w:p>
      <w:pPr>
        <w:spacing w:after="0" w:line="3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w:t>
      </w:r>
    </w:p>
    <w:p>
      <w:pPr>
        <w:sectPr>
          <w:pgSz w:w="11900" w:h="16838" w:orient="portrait"/>
          <w:cols w:equalWidth="0" w:num="1">
            <w:col w:w="11420"/>
          </w:cols>
          <w:pgMar w:left="240" w:top="549" w:right="239" w:bottom="1440" w:gutter="0" w:footer="0" w:header="0"/>
          <w:type w:val="continuous"/>
        </w:sect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80</w:t>
      </w:r>
    </w:p>
    <w:p>
      <w:pPr>
        <w:sectPr>
          <w:pgSz w:w="11900" w:h="16838" w:orient="portrait"/>
          <w:cols w:equalWidth="0" w:num="1">
            <w:col w:w="11420"/>
          </w:cols>
          <w:pgMar w:left="240" w:top="549" w:right="239" w:bottom="1440" w:gutter="0" w:footer="0" w:header="0"/>
          <w:type w:val="continuous"/>
        </w:sectPr>
      </w:pPr>
    </w:p>
    <w:bookmarkStart w:id="80" w:name="page81"/>
    <w:bookmarkEnd w:id="80"/>
    <w:p>
      <w:pPr>
        <w:ind w:right="40"/>
        <w:spacing w:after="0" w:line="262" w:lineRule="auto"/>
        <w:rPr>
          <w:sz w:val="20"/>
          <w:szCs w:val="20"/>
          <w:color w:val="auto"/>
        </w:rPr>
      </w:pPr>
      <w:r>
        <w:rPr>
          <w:rFonts w:ascii="Arial" w:cs="Arial" w:eastAsia="Arial" w:hAnsi="Arial"/>
          <w:sz w:val="18"/>
          <w:szCs w:val="18"/>
          <w:color w:val="auto"/>
        </w:rPr>
        <w:t>equal to the sum of the debt’s carrying value plus the fair value adjustment representing changes in fair value of the hedged debt attributable to movements in market interest rates subsequent to the inception of the hedge.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12: Stock-Based Compensation</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and restricted stock units (RSUs). We recognize the fair value of stock-based compensation as expense over the requisite service period of the individual grantees, which generally equals the vesting period. We provide newly issued shares of our common stock and treasury stock to satisfy the issuance of PA, SVA, and RSU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r>
      <w:tr>
        <w:trPr>
          <w:trHeight w:val="270"/>
        </w:trPr>
        <w:tc>
          <w:tcPr>
            <w:tcW w:w="5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Stock-based compensation expense</w:t>
            </w:r>
          </w:p>
        </w:tc>
        <w:tc>
          <w:tcPr>
            <w:tcW w:w="23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306.8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253.5</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256.3</w:t>
            </w: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238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64.4</w:t>
            </w:r>
          </w:p>
        </w:tc>
        <w:tc>
          <w:tcPr>
            <w:tcW w:w="4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53.2</w:t>
            </w:r>
          </w:p>
        </w:tc>
        <w:tc>
          <w:tcPr>
            <w:tcW w:w="4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64.1</w:t>
            </w:r>
          </w:p>
        </w:tc>
      </w:tr>
    </w:tbl>
    <w:p>
      <w:pPr>
        <w:spacing w:after="0" w:line="33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At December 31, 2019, stock-based compensation awards may be granted under the 2002 Lilly Stock Plan for not more than 54.6 million additional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 Program</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 The fair values of PAs granted for the years ended December 31, 2019, 2018, and 2017 were $112.09, $71.63, and $73.54, respectively. The number of shares ultimately issued for the PA program is dependent upon the EPS achieved during the vesting period. Pursuant to this program, approximately 1.2 million shares, 0.9 million shares, and 1.3 million shares were issued during the years ended December 31, 2019, 2018, and 2017, respectively. Approximately 1.1 million shares are expected to be issued in 2020. As of December 31, 2019, the total remaining unrecognized compensation cost related to nonvested PAs was $63.2 million, which will be amortized over the weighted-average remaining requisite service period of 12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2019, 2018, and 2017 were $95.01, $48.51, and $66.25, respectively, determined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(Percents)</w:t>
            </w:r>
          </w:p>
        </w:tc>
        <w:tc>
          <w:tcPr>
            <w:tcW w:w="39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2019</w:t>
            </w:r>
          </w:p>
        </w:tc>
        <w:tc>
          <w:tcPr>
            <w:tcW w:w="16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Expected dividend yield</w:t>
            </w:r>
          </w:p>
        </w:tc>
        <w:tc>
          <w:tcPr>
            <w:tcW w:w="3900" w:type="dxa"/>
            <w:vAlign w:val="bottom"/>
            <w:shd w:val="clear" w:color="auto" w:fill="D8D8D8"/>
          </w:tcPr>
          <w:p>
            <w:pPr>
              <w:jc w:val="right"/>
              <w:ind w:right="274"/>
              <w:spacing w:after="0"/>
              <w:rPr>
                <w:sz w:val="20"/>
                <w:szCs w:val="20"/>
                <w:color w:val="auto"/>
              </w:rPr>
            </w:pPr>
            <w:r>
              <w:rPr>
                <w:rFonts w:ascii="Arial" w:cs="Arial" w:eastAsia="Arial" w:hAnsi="Arial"/>
                <w:sz w:val="18"/>
                <w:szCs w:val="18"/>
                <w:b w:val="1"/>
                <w:bCs w:val="1"/>
                <w:color w:val="auto"/>
              </w:rPr>
              <w:t>2.50%</w:t>
            </w:r>
          </w:p>
        </w:tc>
        <w:tc>
          <w:tcPr>
            <w:tcW w:w="1660" w:type="dxa"/>
            <w:vAlign w:val="bottom"/>
            <w:shd w:val="clear" w:color="auto" w:fill="D8D8D8"/>
          </w:tcPr>
          <w:p>
            <w:pPr>
              <w:jc w:val="right"/>
              <w:ind w:right="294"/>
              <w:spacing w:after="0"/>
              <w:rPr>
                <w:sz w:val="20"/>
                <w:szCs w:val="20"/>
                <w:color w:val="auto"/>
              </w:rPr>
            </w:pPr>
            <w:r>
              <w:rPr>
                <w:rFonts w:ascii="Arial" w:cs="Arial" w:eastAsia="Arial" w:hAnsi="Arial"/>
                <w:sz w:val="18"/>
                <w:szCs w:val="18"/>
                <w:color w:val="auto"/>
              </w:rPr>
              <w:t>2.50%</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w:t>
            </w: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900" w:type="dxa"/>
            <w:vAlign w:val="bottom"/>
          </w:tcPr>
          <w:p>
            <w:pPr>
              <w:jc w:val="right"/>
              <w:ind w:right="434"/>
              <w:spacing w:after="0"/>
              <w:rPr>
                <w:sz w:val="20"/>
                <w:szCs w:val="20"/>
                <w:color w:val="auto"/>
              </w:rPr>
            </w:pPr>
            <w:r>
              <w:rPr>
                <w:rFonts w:ascii="Arial" w:cs="Arial" w:eastAsia="Arial" w:hAnsi="Arial"/>
                <w:sz w:val="18"/>
                <w:szCs w:val="18"/>
                <w:b w:val="1"/>
                <w:bCs w:val="1"/>
                <w:color w:val="auto"/>
              </w:rPr>
              <w:t>2.46</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2.31</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1.38</w:t>
            </w:r>
          </w:p>
        </w:tc>
      </w:tr>
      <w:tr>
        <w:trPr>
          <w:trHeight w:val="277"/>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Volatility</w:t>
            </w:r>
          </w:p>
        </w:tc>
        <w:tc>
          <w:tcPr>
            <w:tcW w:w="3900" w:type="dxa"/>
            <w:vAlign w:val="bottom"/>
            <w:shd w:val="clear" w:color="auto" w:fill="D8D8D8"/>
          </w:tcPr>
          <w:p>
            <w:pPr>
              <w:jc w:val="right"/>
              <w:ind w:right="434"/>
              <w:spacing w:after="0"/>
              <w:rPr>
                <w:sz w:val="20"/>
                <w:szCs w:val="20"/>
                <w:color w:val="auto"/>
              </w:rPr>
            </w:pPr>
            <w:r>
              <w:rPr>
                <w:rFonts w:ascii="Arial" w:cs="Arial" w:eastAsia="Arial" w:hAnsi="Arial"/>
                <w:sz w:val="18"/>
                <w:szCs w:val="18"/>
                <w:b w:val="1"/>
                <w:bCs w:val="1"/>
                <w:color w:val="auto"/>
              </w:rPr>
              <w:t>21.00</w:t>
            </w:r>
          </w:p>
        </w:tc>
        <w:tc>
          <w:tcPr>
            <w:tcW w:w="1660" w:type="dxa"/>
            <w:vAlign w:val="bottom"/>
            <w:shd w:val="clear" w:color="auto" w:fill="D8D8D8"/>
          </w:tcPr>
          <w:p>
            <w:pPr>
              <w:jc w:val="right"/>
              <w:ind w:right="454"/>
              <w:spacing w:after="0"/>
              <w:rPr>
                <w:sz w:val="20"/>
                <w:szCs w:val="20"/>
                <w:color w:val="auto"/>
              </w:rPr>
            </w:pPr>
            <w:r>
              <w:rPr>
                <w:rFonts w:ascii="Arial" w:cs="Arial" w:eastAsia="Arial" w:hAnsi="Arial"/>
                <w:sz w:val="18"/>
                <w:szCs w:val="18"/>
                <w:color w:val="auto"/>
              </w:rPr>
              <w:t>22.26</w:t>
            </w:r>
          </w:p>
        </w:tc>
        <w:tc>
          <w:tcPr>
            <w:tcW w:w="1300" w:type="dxa"/>
            <w:vAlign w:val="bottom"/>
            <w:shd w:val="clear" w:color="auto" w:fill="D8D8D8"/>
          </w:tcPr>
          <w:p>
            <w:pPr>
              <w:jc w:val="right"/>
              <w:ind w:right="94"/>
              <w:spacing w:after="0"/>
              <w:rPr>
                <w:sz w:val="20"/>
                <w:szCs w:val="20"/>
                <w:color w:val="auto"/>
              </w:rPr>
            </w:pPr>
            <w:r>
              <w:rPr>
                <w:rFonts w:ascii="Arial" w:cs="Arial" w:eastAsia="Arial" w:hAnsi="Arial"/>
                <w:sz w:val="18"/>
                <w:szCs w:val="18"/>
                <w:color w:val="auto"/>
              </w:rPr>
              <w:t>22.91</w:t>
            </w:r>
          </w:p>
        </w:tc>
      </w:tr>
    </w:tbl>
    <w:p>
      <w:pPr>
        <w:spacing w:after="0" w:line="200" w:lineRule="exact"/>
        <w:rPr>
          <w:sz w:val="20"/>
          <w:szCs w:val="20"/>
          <w:color w:val="auto"/>
        </w:rPr>
      </w:pPr>
    </w:p>
    <w:p>
      <w:pPr>
        <w:spacing w:after="0" w:line="23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Pursuant to this program, approximately 1.0 million shares, 0.7 million shares, and 1.1 million shares were issued during the years ended December 31, 2019, 2018, and 2017, respectively. Approximately 0.8 million shares are expected to be issued in 2020. As of December 31, 2019, the total remaining unrecognized compensation cost related to nonvested SVAs was $56.1 million, which will be amortized over the weighted-average remaining requisite service period of 20 months.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81</w:t>
      </w:r>
    </w:p>
    <w:p>
      <w:pPr>
        <w:sectPr>
          <w:pgSz w:w="11900" w:h="16838" w:orient="portrait"/>
          <w:cols w:equalWidth="0" w:num="1">
            <w:col w:w="11420"/>
          </w:cols>
          <w:pgMar w:left="240" w:top="679"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Restricted Stock Units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fair values of RSU awards granted during the years ended December 31, 2019, 2018, and 2017 were $108.43, $70.95, and $72.47, respectively. The number of shares ultimately issued for the RSU program remains constant with the exception of forfeitures. Pursuant to this program, 1.5 million, 1.3 million, and 1.4 million shares were granted and approximately 0.8 million, 1.0 million, and 0.9 million shares were issued during the years ended December 31, 2019, 2018, and 2017, respectively. Approximately 0.7 million shares are expected to be issued in 2020. As of December 31, 2019, the total remaining unrecognized compensation cost related to nonvested RSUs was $134.9 million, which will be amortized over the weighted-average remaining requisite service period of 27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13: Shareholders' Equity</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2019, 2018, and 2017, we repurchased $4.40 billion, $4.15 billion and $359.8 million, respectively, of shares associated with our share repurchase programs. As of December 31, 2019, we had $1.50 billion remaining under our $8.00 billion share repurchase program that our board authorized in June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authorized shares of preferred stock. As of December 31, 2019 and 2018, no preferred stock was issued.</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2019 and 2018, to provide a source of funds to assist us in meeting our obligations under various employee benefit plans. The cost basis of the shares held in the trust was $3.01 billion at both December 31, 2019 and 2018,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2019, 2018, and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14: Income Taxes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December 2017, the President of the U.S. signed into law the 2017 Tax Act. The 2017 Tax Act included significant changes to the U.S. corporate income tax system, such as the reduction in the corporate income tax rate from 35 percent to 21 percent, transition to a territorial tax system, changes to business related exclusions, deductions and credits, and modifications to international tax provisions, including a one-time repatriation transition tax (also known as the ‘Toll Tax’) on unremitted foreign earnings and a global intangible low-taxed income (GILTI) provision, the new U.S. minimum tax on the earnings of our foreign subsidiaries. In 2017, we recognized a provisional amount of $1.91 billion, which was included as a component of income tax expense from continuing operations. This amount represented approximately $ 3.6 billion attributable to the Toll Tax, partially offset by the changes in deferred taxes resulting from the transition to a U.S. territorial system, including the re-measurement of deferred taxes. In 2018, we recorded $313.3 million of income tax benefit, mainly attributable to measurement period adjustments to the Toll Tax and GILTI.</w:t>
      </w:r>
    </w:p>
    <w:p>
      <w:pPr>
        <w:spacing w:after="0" w:line="15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Deferred taxes related to GILTI are also recognized for the future tax effects of temporary differences.</w:t>
      </w:r>
    </w:p>
    <w:p>
      <w:pPr>
        <w:spacing w:after="0" w:line="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based on its technical merits, will be sustained upon examination by the taxing authority. The tax benefits recognized in the financial statements from such a position are measured based on the largest benefit that has a greater than 50 percent likelihood of being realized upon ultimate resolution.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82</w:t>
      </w:r>
    </w:p>
    <w:p>
      <w:pPr>
        <w:sectPr>
          <w:pgSz w:w="11900" w:h="16838" w:orient="portrait"/>
          <w:cols w:equalWidth="0" w:num="1">
            <w:col w:w="11380"/>
          </w:cols>
          <w:pgMar w:left="240" w:top="711" w:right="27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280.2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169.6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3,181.0</w:t>
            </w: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299.8</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106.8</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47.5</w:t>
            </w:r>
          </w:p>
        </w:tc>
      </w:tr>
      <w:tr>
        <w:trPr>
          <w:trHeight w:val="264"/>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(14.4)</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708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current tax expense</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565.6</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281.1</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3,223.1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Federal</w:t>
            </w:r>
            <w:r>
              <w:rPr>
                <w:rFonts w:ascii="Arial" w:cs="Arial" w:eastAsia="Arial" w:hAnsi="Arial"/>
                <w:sz w:val="21"/>
                <w:szCs w:val="21"/>
                <w:color w:val="auto"/>
                <w:vertAlign w:val="superscript"/>
              </w:rPr>
              <w:t>(2)</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141.3</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(3.7)</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(601.2)</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(24.1)</w:t>
            </w:r>
          </w:p>
        </w:tc>
        <w:tc>
          <w:tcPr>
            <w:tcW w:w="38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248.7</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(230.9)</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(54.8)</w:t>
            </w:r>
          </w:p>
        </w:tc>
        <w:tc>
          <w:tcPr>
            <w:tcW w:w="38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0.2</w:t>
            </w:r>
          </w:p>
        </w:tc>
      </w:tr>
      <w:tr>
        <w:trPr>
          <w:trHeight w:val="257"/>
        </w:trPr>
        <w:tc>
          <w:tcPr>
            <w:tcW w:w="7080" w:type="dxa"/>
            <w:vAlign w:val="bottom"/>
            <w:tcBorders>
              <w:bottom w:val="single" w:sz="8" w:color="D8D8D8"/>
            </w:tcBorders>
          </w:tcPr>
          <w:p>
            <w:pPr>
              <w:ind w:left="380"/>
              <w:spacing w:after="0"/>
              <w:rPr>
                <w:sz w:val="20"/>
                <w:szCs w:val="20"/>
                <w:color w:val="auto"/>
              </w:rPr>
            </w:pPr>
            <w:r>
              <w:rPr>
                <w:rFonts w:ascii="Arial" w:cs="Arial" w:eastAsia="Arial" w:hAnsi="Arial"/>
                <w:sz w:val="18"/>
                <w:szCs w:val="18"/>
                <w:color w:val="auto"/>
              </w:rPr>
              <w:t>Total deferred tax (benefit) expense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62.4</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248.4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w:t>
            </w:r>
          </w:p>
        </w:tc>
      </w:tr>
      <w:tr>
        <w:trPr>
          <w:trHeight w:val="27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628.0</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529.5</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2,391.2</w:t>
            </w:r>
          </w:p>
        </w:tc>
      </w:tr>
    </w:tbl>
    <w:p>
      <w:pPr>
        <w:spacing w:after="0" w:line="329" w:lineRule="exact"/>
        <w:rPr>
          <w:sz w:val="20"/>
          <w:szCs w:val="20"/>
          <w:color w:val="auto"/>
        </w:rPr>
      </w:pPr>
    </w:p>
    <w:p>
      <w:pPr>
        <w:ind w:left="180" w:right="100" w:hanging="172"/>
        <w:spacing w:after="0" w:line="218" w:lineRule="auto"/>
        <w:tabs>
          <w:tab w:leader="none" w:pos="168"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The 2019 current tax expense includes $153.1 million of tax benefit from utilization of net operating loss carryforwards. The 2018 and 2017 current tax expense includes $201.5 million and $3.25 billion of tax expense, respectively, related to effects of the 2017 Tax Act.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The 2018 and 2017 deferred tax benefit includes $26.2 million and $1.33 billion of tax benefit, respectively, related to the effects of the 2017 Tax Act.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deferred tax assets and liabilities as of December 31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Purchases of intangible assets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2,512.4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2,627.7</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934.3</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781.6</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Tax credit carryforwards and carrybacks</w:t>
            </w:r>
          </w:p>
        </w:tc>
        <w:tc>
          <w:tcPr>
            <w:tcW w:w="34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455.8</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359.4</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Tax loss carryforwards and carrybacks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318.8</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248.2</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34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197.3</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45.5</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140.6</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Product return reserves</w:t>
            </w:r>
          </w:p>
        </w:tc>
        <w:tc>
          <w:tcPr>
            <w:tcW w:w="34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98.1</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95.3</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loss on hedging transactions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59.6</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68.9</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Debt</w:t>
            </w:r>
          </w:p>
        </w:tc>
        <w:tc>
          <w:tcPr>
            <w:tcW w:w="34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53.9</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40.3</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835.7</w:t>
            </w:r>
          </w:p>
        </w:tc>
        <w:tc>
          <w:tcPr>
            <w:tcW w:w="38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646.3</w:t>
            </w:r>
          </w:p>
        </w:tc>
      </w:tr>
      <w:tr>
        <w:trPr>
          <w:trHeight w:val="257"/>
        </w:trPr>
        <w:tc>
          <w:tcPr>
            <w:tcW w:w="8520" w:type="dxa"/>
            <w:vAlign w:val="bottom"/>
          </w:tcPr>
          <w:p>
            <w:pPr>
              <w:ind w:left="380"/>
              <w:spacing w:after="0"/>
              <w:rPr>
                <w:sz w:val="20"/>
                <w:szCs w:val="20"/>
                <w:color w:val="auto"/>
              </w:rPr>
            </w:pPr>
            <w:r>
              <w:rPr>
                <w:rFonts w:ascii="Arial" w:cs="Arial" w:eastAsia="Arial" w:hAnsi="Arial"/>
                <w:sz w:val="18"/>
                <w:szCs w:val="18"/>
                <w:color w:val="auto"/>
              </w:rPr>
              <w:t>Total gross deferred tax assets</w:t>
            </w:r>
          </w:p>
        </w:tc>
        <w:tc>
          <w:tcPr>
            <w:tcW w:w="34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5,606.5</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4,913.2</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(616.5)</w:t>
            </w:r>
          </w:p>
        </w:tc>
        <w:tc>
          <w:tcPr>
            <w:tcW w:w="38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(574.8)</w:t>
            </w:r>
          </w:p>
        </w:tc>
      </w:tr>
      <w:tr>
        <w:trPr>
          <w:trHeight w:val="257"/>
        </w:trPr>
        <w:tc>
          <w:tcPr>
            <w:tcW w:w="852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4,990.0</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4,338.4</w:t>
            </w:r>
          </w:p>
        </w:tc>
      </w:tr>
      <w:tr>
        <w:trPr>
          <w:trHeight w:val="257"/>
        </w:trPr>
        <w:tc>
          <w:tcPr>
            <w:tcW w:w="85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380" w:type="dxa"/>
            <w:vAlign w:val="bottom"/>
            <w:tcBorders>
              <w:bottom w:val="single" w:sz="8" w:color="D8D8D8"/>
            </w:tcBorders>
            <w:shd w:val="clear" w:color="auto" w:fill="D8D8D8"/>
          </w:tcPr>
          <w:p>
            <w:pPr>
              <w:spacing w:after="0"/>
              <w:rPr>
                <w:sz w:val="22"/>
                <w:szCs w:val="22"/>
                <w:color w:val="auto"/>
              </w:rPr>
            </w:pPr>
          </w:p>
        </w:tc>
        <w:tc>
          <w:tcPr>
            <w:tcW w:w="1060" w:type="dxa"/>
            <w:vAlign w:val="bottom"/>
            <w:tcBorders>
              <w:bottom w:val="single" w:sz="8" w:color="D8D8D8"/>
            </w:tcBorders>
            <w:shd w:val="clear" w:color="auto" w:fill="D8D8D8"/>
          </w:tcPr>
          <w:p>
            <w:pPr>
              <w:spacing w:after="0"/>
              <w:rPr>
                <w:sz w:val="22"/>
                <w:szCs w:val="22"/>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Earnings of foreign subsidiaries</w:t>
            </w: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(1,776.4)</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(1,745.3)</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(1,298.0)</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(86.9)</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(686.4)</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(681.3)</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Prepaid employee benefits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(305.9)</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(240.1)</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(274.1)</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(260.9)</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Financial instruments</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(139.4)</w:t>
            </w:r>
          </w:p>
        </w:tc>
        <w:tc>
          <w:tcPr>
            <w:tcW w:w="380" w:type="dxa"/>
            <w:vAlign w:val="bottom"/>
            <w:shd w:val="clear" w:color="auto" w:fill="D8D8D8"/>
          </w:tcPr>
          <w:p>
            <w:pPr>
              <w:spacing w:after="0"/>
              <w:rPr>
                <w:sz w:val="24"/>
                <w:szCs w:val="24"/>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(22.8)</w:t>
            </w:r>
          </w:p>
        </w:tc>
      </w:tr>
      <w:tr>
        <w:trPr>
          <w:trHeight w:val="264"/>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(124.7)</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(4,604.9)</w:t>
            </w:r>
          </w:p>
        </w:tc>
        <w:tc>
          <w:tcPr>
            <w:tcW w:w="38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(3,037.3)</w:t>
            </w:r>
          </w:p>
        </w:tc>
      </w:tr>
      <w:tr>
        <w:trPr>
          <w:trHeight w:val="271"/>
        </w:trPr>
        <w:tc>
          <w:tcPr>
            <w:tcW w:w="8520" w:type="dxa"/>
            <w:vAlign w:val="bottom"/>
          </w:tcPr>
          <w:p>
            <w:pPr>
              <w:ind w:left="40"/>
              <w:spacing w:after="0"/>
              <w:rPr>
                <w:sz w:val="20"/>
                <w:szCs w:val="20"/>
                <w:color w:val="auto"/>
              </w:rPr>
            </w:pPr>
            <w:r>
              <w:rPr>
                <w:rFonts w:ascii="Arial" w:cs="Arial" w:eastAsia="Arial" w:hAnsi="Arial"/>
                <w:sz w:val="18"/>
                <w:szCs w:val="18"/>
                <w:color w:val="auto"/>
              </w:rPr>
              <w:t>Deferred tax assets - net</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385.1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1,301.1</w:t>
            </w:r>
          </w:p>
        </w:tc>
      </w:tr>
    </w:tbl>
    <w:p>
      <w:pPr>
        <w:spacing w:after="0" w:line="32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deferred tax asset and related valuation allowance amounts for U.S. federal and state net operating losses and tax credits shown above have been reduced for differences between financial reporting and tax return filings.</w:t>
      </w:r>
    </w:p>
    <w:p>
      <w:pPr>
        <w:spacing w:after="0" w:line="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At December 31, 2019, based on filed tax returns we have tax credit carryforwards and carrybacks of $799.2 million available to reduce future income taxes; $149.3 million, if unused, will expire by 2026, and $55.6 million, if unused, will expire between 2032 and 2038. The remaining portion of the tax credit carryforwards is</w:t>
      </w:r>
    </w:p>
    <w:p>
      <w:pPr>
        <w:sectPr>
          <w:pgSz w:w="11900" w:h="16838" w:orient="portrait"/>
          <w:cols w:equalWidth="0" w:num="1">
            <w:col w:w="11420"/>
          </w:cols>
          <w:pgMar w:left="240" w:top="679" w:right="239" w:bottom="1440" w:gutter="0" w:footer="0" w:header="0"/>
        </w:sectPr>
      </w:pPr>
    </w:p>
    <w:p>
      <w:pPr>
        <w:spacing w:after="0" w:line="189"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83</w:t>
      </w:r>
    </w:p>
    <w:p>
      <w:pPr>
        <w:sectPr>
          <w:pgSz w:w="11900" w:h="16838" w:orient="portrait"/>
          <w:cols w:equalWidth="0" w:num="1">
            <w:col w:w="11420"/>
          </w:cols>
          <w:pgMar w:left="240" w:top="679" w:right="239" w:bottom="1440" w:gutter="0" w:footer="0" w:header="0"/>
          <w:type w:val="continuous"/>
        </w:sectPr>
      </w:pPr>
    </w:p>
    <w:bookmarkStart w:id="83" w:name="page84"/>
    <w:bookmarkEnd w:id="83"/>
    <w:p>
      <w:pPr>
        <w:ind w:right="240"/>
        <w:spacing w:after="0" w:line="262" w:lineRule="auto"/>
        <w:rPr>
          <w:sz w:val="20"/>
          <w:szCs w:val="20"/>
          <w:color w:val="auto"/>
        </w:rPr>
      </w:pPr>
      <w:r>
        <w:rPr>
          <w:rFonts w:ascii="Arial" w:cs="Arial" w:eastAsia="Arial" w:hAnsi="Arial"/>
          <w:sz w:val="18"/>
          <w:szCs w:val="18"/>
          <w:color w:val="auto"/>
        </w:rPr>
        <w:t>related to federal tax credits of $86.6 million, international tax credits of $114.7 million, and state tax credits of $393.0 million, all of which are substantially reserved.</w:t>
      </w:r>
    </w:p>
    <w:p>
      <w:pPr>
        <w:spacing w:after="0" w:line="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At December 31, 2019, based on filed tax returns we had net operating losses and other carryforwards for international and U.S. federal income tax purposes of $949.7 million: $181.4 million will expire by 2024; $345.4 million will expire between 2025 and 2039; and $422.9 million of the carryforwards will never expire. Net operating losses and other carryforwards for international and U.S. federal income tax purposes are partially reserved. Deferred tax assets related to state net operating losses of $116.1 million and other state carryforwards of $3.6 million are fully reserved as of December 31, 2019.</w:t>
      </w:r>
    </w:p>
    <w:p>
      <w:pPr>
        <w:spacing w:after="0" w:line="9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Domestic and Puerto Rican companies contributed approximately 44 percent, 15 percent, and 16 percent for the years ended December 31, 2019, 2018, and 2017, respectively, to consolidated income before income taxes. We have a subsidiary operating in Puerto Rico under a tax incentive grant effective through the end of 2031.</w:t>
      </w:r>
    </w:p>
    <w:p>
      <w:pPr>
        <w:spacing w:after="0" w:line="9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2017 Tax Act introduced international tax provisions that fundamentally change the U.S. taxation of foreign earnings. As a result, substantially all of the unremitted earnings of our foreign subsidiaries are considered to not be indefinitely reinvested for continued use in our foreign operations. At December 31, 2019, we had accrued an immaterial amount of foreign withholding taxes and state income taxes that would be owed upon future distributions of unremitted earnings of our foreign subsidiaries that are not indefinitely reinvested. For the amount considered to be indefinitely reinvested, it is not practicable to determine the amount of the related deferred income tax liability due to the complexities in the tax laws and assumptions we would have to make.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Cash payments of U.S. federal, state, and foreign income taxes, net of refunds,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4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of income taxes</w:t>
            </w:r>
          </w:p>
        </w:tc>
        <w:tc>
          <w:tcPr>
            <w:tcW w:w="25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1,180.5</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1,076.7</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221.5</w:t>
            </w:r>
          </w:p>
        </w:tc>
      </w:tr>
    </w:tbl>
    <w:p>
      <w:pPr>
        <w:spacing w:after="0" w:line="32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2017 Tax Act provided an election to taxpayers subject to the Toll Tax to make payments over an eight-year period. We made this election; therefore, we have included Toll Tax payments accordingly.</w:t>
      </w:r>
    </w:p>
    <w:p>
      <w:pPr>
        <w:spacing w:after="0" w:line="19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Following is a reconciliation of the income tax expense applying the U.S. federal statutory rate to income before income taxes to reported income tax expense: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546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at the U.S. federal statutory tax rate</w:t>
            </w:r>
          </w:p>
        </w:tc>
        <w:tc>
          <w:tcPr>
            <w:tcW w:w="19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1,105.8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772.8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806.7</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Add (deduct):</w:t>
            </w:r>
          </w:p>
        </w:tc>
        <w:tc>
          <w:tcPr>
            <w:tcW w:w="1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p>
      <w:pPr>
        <w:spacing w:after="0" w:line="5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International operations, including Puerto Rico</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business credits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Non-deductible acquired IPR&amp;D</w:t>
      </w:r>
      <w:r>
        <w:rPr>
          <w:rFonts w:ascii="Arial" w:cs="Arial" w:eastAsia="Arial" w:hAnsi="Arial"/>
          <w:sz w:val="21"/>
          <w:szCs w:val="21"/>
          <w:color w:val="auto"/>
          <w:vertAlign w:val="superscript"/>
        </w:rPr>
        <w:t>(1)</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2017 Tax Act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(242.0)</w:t>
            </w: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(627.1)</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(480.8)</w:t>
            </w:r>
          </w:p>
        </w:tc>
      </w:tr>
      <w:tr>
        <w:trPr>
          <w:trHeight w:val="270"/>
        </w:trPr>
        <w:tc>
          <w:tcPr>
            <w:tcW w:w="4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(108.8)</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70"/>
        </w:trPr>
        <w:tc>
          <w:tcPr>
            <w:tcW w:w="4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309.9</w:t>
            </w:r>
          </w:p>
        </w:tc>
        <w:tc>
          <w:tcPr>
            <w:tcW w:w="4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300.1</w:t>
            </w:r>
          </w:p>
        </w:tc>
      </w:tr>
      <w:tr>
        <w:trPr>
          <w:trHeight w:val="270"/>
        </w:trPr>
        <w:tc>
          <w:tcPr>
            <w:tcW w:w="4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175.3</w:t>
            </w:r>
          </w:p>
        </w:tc>
        <w:tc>
          <w:tcPr>
            <w:tcW w:w="4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1,914.0</w:t>
            </w:r>
          </w:p>
        </w:tc>
      </w:tr>
      <w:tr>
        <w:trPr>
          <w:trHeight w:val="277"/>
        </w:trPr>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(127.0)</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77"/>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628.0</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529.5</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-711200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-368300</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679" w:right="239" w:bottom="1440" w:gutter="0" w:footer="0" w:header="0"/>
          <w:type w:val="continuous"/>
        </w:sectPr>
      </w:pPr>
    </w:p>
    <w:p>
      <w:pPr>
        <w:spacing w:after="0" w:line="293" w:lineRule="exact"/>
        <w:rPr>
          <w:sz w:val="20"/>
          <w:szCs w:val="20"/>
          <w:color w:val="auto"/>
        </w:rPr>
      </w:pPr>
    </w:p>
    <w:p>
      <w:pPr>
        <w:ind w:left="140" w:hanging="132"/>
        <w:spacing w:after="0"/>
        <w:tabs>
          <w:tab w:leader="none" w:pos="140" w:val="left"/>
        </w:tabs>
        <w:numPr>
          <w:ilvl w:val="0"/>
          <w:numId w:val="59"/>
        </w:numPr>
        <w:rPr>
          <w:rFonts w:ascii="Arial" w:cs="Arial" w:eastAsia="Arial" w:hAnsi="Arial"/>
          <w:sz w:val="16"/>
          <w:szCs w:val="16"/>
          <w:color w:val="auto"/>
          <w:vertAlign w:val="superscript"/>
        </w:rPr>
      </w:pPr>
      <w:r>
        <w:rPr>
          <w:rFonts w:ascii="Arial" w:cs="Arial" w:eastAsia="Arial" w:hAnsi="Arial"/>
          <w:sz w:val="13"/>
          <w:szCs w:val="13"/>
          <w:color w:val="auto"/>
        </w:rPr>
        <w:t>Non-deductible acquired IPR&amp;D was related to ARMO in 2018 and CoLucid in 2017. See Note 3 for additional information related to acquisitions.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Beginning balance at January 1</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2,034.6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1,000.8</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843.3</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187.2</w:t>
            </w:r>
          </w:p>
        </w:tc>
        <w:tc>
          <w:tcPr>
            <w:tcW w:w="38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798.2</w:t>
            </w:r>
          </w:p>
        </w:tc>
        <w:tc>
          <w:tcPr>
            <w:tcW w:w="4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133.8</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425.3</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410.9</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93.8</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(100.3)</w:t>
            </w:r>
          </w:p>
        </w:tc>
        <w:tc>
          <w:tcPr>
            <w:tcW w:w="38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(115.4)</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(260.5)</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(33.2)</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Lapses of statutes of limitation</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(161.5)</w:t>
            </w:r>
          </w:p>
        </w:tc>
        <w:tc>
          <w:tcPr>
            <w:tcW w:w="38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Changes related to the impact of foreign currency translation</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(16.2)</w:t>
            </w:r>
          </w:p>
        </w:tc>
        <w:tc>
          <w:tcPr>
            <w:tcW w:w="38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10.9</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Ending balance at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2,108.6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2,034.6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1,000.8</w:t>
            </w:r>
          </w:p>
        </w:tc>
      </w:tr>
    </w:tbl>
    <w:p>
      <w:pPr>
        <w:spacing w:after="0" w:line="200" w:lineRule="exact"/>
        <w:rPr>
          <w:sz w:val="20"/>
          <w:szCs w:val="20"/>
          <w:color w:val="auto"/>
        </w:rPr>
      </w:pPr>
    </w:p>
    <w:p>
      <w:pPr>
        <w:sectPr>
          <w:pgSz w:w="11900" w:h="16838" w:orient="portrait"/>
          <w:cols w:equalWidth="0" w:num="1">
            <w:col w:w="11420"/>
          </w:cols>
          <w:pgMar w:left="240" w:top="679" w:right="2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84</w:t>
      </w:r>
    </w:p>
    <w:p>
      <w:pPr>
        <w:sectPr>
          <w:pgSz w:w="11900" w:h="16838" w:orient="portrait"/>
          <w:cols w:equalWidth="0" w:num="1">
            <w:col w:w="11420"/>
          </w:cols>
          <w:pgMar w:left="240" w:top="679" w:right="239" w:bottom="1440" w:gutter="0" w:footer="0" w:header="0"/>
          <w:type w:val="continuous"/>
        </w:sectPr>
      </w:pPr>
    </w:p>
    <w:bookmarkStart w:id="84" w:name="page85"/>
    <w:bookmarkEnd w:id="84"/>
    <w:p>
      <w:pPr>
        <w:ind w:right="620"/>
        <w:spacing w:after="0" w:line="262"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$1.53 billion and $1.48 billion at December 31, 2019 and 2018,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file income tax returns in the U.S. federal jurisdiction and various state, local, and non-U.S. jurisdictions. We are no longer subject to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local, or non-U.S. income tax examinations in most major taxing jurisdictions for years before 2011.</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U.S. examination of tax years 2013-2015 began in 2016, and certain matters were effectively settled during the second quarter of 2019. As a result, our gross uncertain tax positions were reduced by approximately $200 million, we made a cash payment of approximately $125 million, and our consolidated results were benefited by an immaterial reduction in tax expense. During the fourth quarter of 2019, certain matters for tax year 2015 were effectively settled upon conclusion of the Internal Revenue Service's (IRS) examination which resulted in an immaterial reduction in tax expense and gross uncertain tax positions. Also in the fourth quarter of 2019, the IRS began its examination of tax years 2016-2018.</w:t>
      </w:r>
    </w:p>
    <w:p>
      <w:pPr>
        <w:spacing w:after="0" w:line="10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recognize both accrued interest and penalties related to unrecognized tax benefits in income tax expense. We recognized income tax (benefit) expense related to interest and penalties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4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(benefit) expense</w:t>
            </w:r>
          </w:p>
        </w:tc>
        <w:tc>
          <w:tcPr>
            <w:tcW w:w="26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(26.4)</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25.1</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22.8</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2018, our accruals for the payment of interest and penalties totaled $150.8 million and $183.9 million, respectively.</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85</w:t>
      </w:r>
    </w:p>
    <w:p>
      <w:pPr>
        <w:sectPr>
          <w:pgSz w:w="11900" w:h="16838" w:orient="portrait"/>
          <w:cols w:equalWidth="0" w:num="1">
            <w:col w:w="11420"/>
          </w:cols>
          <w:pgMar w:left="240" w:top="679"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CC0000"/>
        </w:rPr>
        <w:t>Note 15: Retirement Benefits</w:t>
      </w:r>
    </w:p>
    <w:p>
      <w:pPr>
        <w:spacing w:after="0" w:line="19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use a measurement date of December 31 to develop the change in benefit obligation, change in plan assets, funded status, and amounts recognized in the consolidated balance sheets at December 31 for our defined benefit pension and retiree health benefit plans, which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20" w:type="dxa"/>
            <w:vAlign w:val="bottom"/>
            <w:gridSpan w:val="2"/>
          </w:tcPr>
          <w:p>
            <w:pPr>
              <w:jc w:val="center"/>
              <w:ind w:left="454"/>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34"/>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54"/>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6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Change in benefit obligation:</w:t>
            </w:r>
          </w:p>
        </w:tc>
        <w:tc>
          <w:tcPr>
            <w:tcW w:w="30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13,427.1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14,839.7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1,540.0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1,718.7</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250.4</w:t>
            </w:r>
          </w:p>
        </w:tc>
        <w:tc>
          <w:tcPr>
            <w:tcW w:w="52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292.7</w:t>
            </w:r>
          </w:p>
        </w:tc>
        <w:tc>
          <w:tcPr>
            <w:tcW w:w="1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36.3</w:t>
            </w:r>
          </w:p>
        </w:tc>
        <w:tc>
          <w:tcPr>
            <w:tcW w:w="52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41.5</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2"/>
                <w:szCs w:val="22"/>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486.0</w:t>
            </w:r>
          </w:p>
        </w:tc>
        <w:tc>
          <w:tcPr>
            <w:tcW w:w="5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58.0</w:t>
            </w:r>
          </w:p>
        </w:tc>
        <w:tc>
          <w:tcPr>
            <w:tcW w:w="52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57.3</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Actuarial (gain) loss</w:t>
            </w: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2,631.7</w:t>
            </w:r>
          </w:p>
        </w:tc>
        <w:tc>
          <w:tcPr>
            <w:tcW w:w="52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(1,386.5)</w:t>
            </w:r>
          </w:p>
        </w:tc>
        <w:tc>
          <w:tcPr>
            <w:tcW w:w="1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54.3</w:t>
            </w:r>
          </w:p>
        </w:tc>
        <w:tc>
          <w:tcPr>
            <w:tcW w:w="52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(176.9)</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(584.2)</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(87.3)</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Plan amendments</w:t>
            </w: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(14.1)</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Curtailment (gain) loss</w:t>
            </w:r>
          </w:p>
        </w:tc>
        <w:tc>
          <w:tcPr>
            <w:tcW w:w="30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(16.8)</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52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 currency exchange rate changes and other adjustments</w:t>
            </w:r>
          </w:p>
        </w:tc>
        <w:tc>
          <w:tcPr>
            <w:tcW w:w="30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56.8</w:t>
            </w:r>
          </w:p>
        </w:tc>
        <w:tc>
          <w:tcPr>
            <w:tcW w:w="520" w:type="dxa"/>
            <w:vAlign w:val="bottom"/>
            <w:tcBorders>
              <w:bottom w:val="single" w:sz="8" w:color="auto"/>
            </w:tcBorders>
            <w:shd w:val="clear" w:color="auto" w:fill="D8D8D8"/>
          </w:tcPr>
          <w:p>
            <w:pPr>
              <w:spacing w:after="0"/>
              <w:rPr>
                <w:sz w:val="24"/>
                <w:szCs w:val="24"/>
                <w:color w:val="auto"/>
              </w:rPr>
            </w:pPr>
          </w:p>
        </w:tc>
        <w:tc>
          <w:tcPr>
            <w:tcW w:w="8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auto"/>
            </w:tcBorders>
            <w:shd w:val="clear" w:color="auto" w:fill="D8D8D8"/>
          </w:tcPr>
          <w:p>
            <w:pPr>
              <w:spacing w:after="0"/>
              <w:rPr>
                <w:sz w:val="24"/>
                <w:szCs w:val="24"/>
                <w:color w:val="auto"/>
              </w:rPr>
            </w:pPr>
          </w:p>
        </w:tc>
        <w:tc>
          <w:tcPr>
            <w:tcW w:w="300" w:type="dxa"/>
            <w:vAlign w:val="bottom"/>
            <w:tcBorders>
              <w:bottom w:val="single" w:sz="8" w:color="auto"/>
            </w:tcBorders>
            <w:shd w:val="clear" w:color="auto" w:fill="D8D8D8"/>
          </w:tcPr>
          <w:p>
            <w:pPr>
              <w:spacing w:after="0"/>
              <w:rPr>
                <w:sz w:val="24"/>
                <w:szCs w:val="24"/>
                <w:color w:val="auto"/>
              </w:rPr>
            </w:pPr>
          </w:p>
        </w:tc>
        <w:tc>
          <w:tcPr>
            <w:tcW w:w="100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0.6</w:t>
            </w:r>
          </w:p>
        </w:tc>
        <w:tc>
          <w:tcPr>
            <w:tcW w:w="520" w:type="dxa"/>
            <w:vAlign w:val="bottom"/>
            <w:tcBorders>
              <w:bottom w:val="single" w:sz="8" w:color="auto"/>
            </w:tcBorders>
            <w:shd w:val="clear" w:color="auto" w:fill="D8D8D8"/>
          </w:tcPr>
          <w:p>
            <w:pPr>
              <w:spacing w:after="0"/>
              <w:rPr>
                <w:sz w:val="24"/>
                <w:szCs w:val="24"/>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(6.2)</w:t>
            </w:r>
          </w:p>
        </w:tc>
      </w:tr>
      <w:tr>
        <w:trPr>
          <w:trHeight w:val="250"/>
        </w:trPr>
        <w:tc>
          <w:tcPr>
            <w:tcW w:w="6020" w:type="dxa"/>
            <w:vAlign w:val="bottom"/>
          </w:tcPr>
          <w:p>
            <w:pPr>
              <w:ind w:left="18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16,251.0</w:t>
            </w:r>
          </w:p>
        </w:tc>
        <w:tc>
          <w:tcPr>
            <w:tcW w:w="5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13,427.1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1,601.4</w:t>
            </w:r>
          </w:p>
        </w:tc>
        <w:tc>
          <w:tcPr>
            <w:tcW w:w="5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plan assets:</w:t>
      </w:r>
    </w:p>
    <w:p>
      <w:pPr>
        <w:sectPr>
          <w:pgSz w:w="11900" w:h="16838" w:orient="portrait"/>
          <w:cols w:equalWidth="0" w:num="1">
            <w:col w:w="11420"/>
          </w:cols>
          <w:pgMar w:left="240" w:top="549" w:right="239" w:bottom="1440" w:gutter="0" w:footer="0" w:header="0"/>
        </w:sectPr>
      </w:pP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Fair value of plan assets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Employer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Benefits paid</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exchange rate changes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Fair value of plan assets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Funded status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Unrecognized net actuarial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Unrecognized prior service (benefit)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recognized in the consolidated balance sheet consisted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Accumulated other comprehensive (income) loss before income taxes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10,932.6</w:t>
            </w:r>
          </w:p>
        </w:tc>
        <w:tc>
          <w:tcPr>
            <w:tcW w:w="3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11,713.0</w:t>
            </w:r>
          </w:p>
        </w:tc>
        <w:tc>
          <w:tcPr>
            <w:tcW w:w="4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2,398.1</w:t>
            </w:r>
          </w:p>
        </w:tc>
        <w:tc>
          <w:tcPr>
            <w:tcW w:w="4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2,372.4</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2,012.0</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(360.1)</w:t>
            </w:r>
          </w:p>
        </w:tc>
        <w:tc>
          <w:tcPr>
            <w:tcW w:w="4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444.1</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429.9</w:t>
            </w:r>
          </w:p>
        </w:tc>
        <w:tc>
          <w:tcPr>
            <w:tcW w:w="3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319.0</w:t>
            </w:r>
          </w:p>
        </w:tc>
        <w:tc>
          <w:tcPr>
            <w:tcW w:w="4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13.2</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75.9</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(584.2)</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(579.4)</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(87.3)</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77"/>
        </w:trPr>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67.7</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0.1</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12,858.0</w:t>
            </w:r>
          </w:p>
        </w:tc>
        <w:tc>
          <w:tcPr>
            <w:tcW w:w="3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10,932.6</w:t>
            </w:r>
          </w:p>
        </w:tc>
        <w:tc>
          <w:tcPr>
            <w:tcW w:w="40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2,768.2</w:t>
            </w:r>
          </w:p>
        </w:tc>
        <w:tc>
          <w:tcPr>
            <w:tcW w:w="40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2,398.1</w:t>
            </w:r>
          </w:p>
        </w:tc>
      </w:tr>
      <w:tr>
        <w:trPr>
          <w:trHeight w:val="149"/>
        </w:trPr>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250"/>
        </w:trPr>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(3,393.0)</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(2,494.5)</w:t>
            </w:r>
          </w:p>
        </w:tc>
        <w:tc>
          <w:tcPr>
            <w:tcW w:w="4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1,166.8</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858.1</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6,177.6</w:t>
            </w:r>
          </w:p>
        </w:tc>
        <w:tc>
          <w:tcPr>
            <w:tcW w:w="3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5,011.3</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(111.6)</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140.6</w:t>
            </w:r>
          </w:p>
        </w:tc>
      </w:tr>
      <w:tr>
        <w:trPr>
          <w:trHeight w:val="277"/>
        </w:trPr>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17.4</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25.0</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(236.4)</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r>
      <w:tr>
        <w:trPr>
          <w:trHeight w:val="277"/>
        </w:trPr>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2,802.0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2,541.8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818.8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698.8</w:t>
            </w:r>
          </w:p>
        </w:tc>
      </w:tr>
      <w:tr>
        <w:trPr>
          <w:trHeight w:val="662"/>
        </w:trPr>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163.3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193.7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1,381.3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1,043.6</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(65.3)</w:t>
            </w:r>
          </w:p>
        </w:tc>
        <w:tc>
          <w:tcPr>
            <w:tcW w:w="3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(7.3)</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(3,491.0)</w:t>
            </w:r>
          </w:p>
        </w:tc>
        <w:tc>
          <w:tcPr>
            <w:tcW w:w="3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(2,624.0)</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(207.2)</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77"/>
        </w:trPr>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6,195.0</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5,036.3</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(348.0)</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r>
      <w:tr>
        <w:trPr>
          <w:trHeight w:val="277"/>
        </w:trPr>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2,802.0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2,541.8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818.8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698.8</w:t>
            </w:r>
          </w:p>
        </w:tc>
      </w:tr>
    </w:tbl>
    <w:p>
      <w:pPr>
        <w:spacing w:after="0" w:line="200" w:lineRule="exact"/>
        <w:rPr>
          <w:sz w:val="20"/>
          <w:szCs w:val="20"/>
          <w:color w:val="auto"/>
        </w:rPr>
      </w:pPr>
    </w:p>
    <w:p>
      <w:pPr>
        <w:sectPr>
          <w:pgSz w:w="11900" w:h="16838" w:orient="portrait"/>
          <w:cols w:equalWidth="0" w:num="2">
            <w:col w:w="5740" w:space="280"/>
            <w:col w:w="5400"/>
          </w:cols>
          <w:pgMar w:left="240" w:top="549" w:right="239" w:bottom="1440" w:gutter="0" w:footer="0" w:header="0"/>
          <w:type w:val="continuous"/>
        </w:sectPr>
      </w:pPr>
    </w:p>
    <w:p>
      <w:pPr>
        <w:spacing w:after="0" w:line="12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unrecognized net actuarial loss (gain) and unrecognized prior service cost (benefit) have not yet been recognized in net periodic pension costs and were included in accumulated other comprehensive loss at December 31, 2019.</w:t>
      </w:r>
    </w:p>
    <w:p>
      <w:pPr>
        <w:spacing w:after="0" w:line="19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Market variables associated with the remeasurement, specifically a decrease in the discount rate partially offset by higher return on plan assets, were the primary drivers for the $2.89 billion increase in the benefit obligation in 2019.</w:t>
      </w:r>
    </w:p>
    <w:p>
      <w:pPr>
        <w:spacing w:after="0" w:line="8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July 2018, we announced that we would amend our defined benefit pension and retiree health benefit plans to freeze or reduce benefits for certain employees effective January 1, 2019. We remeasured the impacted pension and retiree health plans’ benefit obligations as of July 31, 2018, which resulted in a net curtailment gain of $28.0 million, which was recorded in asset impairment, restructuring, and other special charges. Market variables associated with this remeasurement, specifically an increase in the discount rate, were the primary driver for the $1.59 billion decrease in the benefit obligations in 2018.</w:t>
      </w:r>
    </w:p>
    <w:p>
      <w:pPr>
        <w:spacing w:after="0" w:line="9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workforce reduction plan initiated in 2017 included a curtailment loss of $159.0 million and a special termination benefit of $354.7 million, of which $446.7 million was recorded in asset impairment, restructuring,</w:t>
      </w:r>
    </w:p>
    <w:p>
      <w:pPr>
        <w:sectPr>
          <w:pgSz w:w="11900" w:h="16838" w:orient="portrait"/>
          <w:cols w:equalWidth="0" w:num="1">
            <w:col w:w="11420"/>
          </w:cols>
          <w:pgMar w:left="240" w:top="549"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86</w:t>
      </w:r>
    </w:p>
    <w:p>
      <w:pPr>
        <w:sectPr>
          <w:pgSz w:w="11900" w:h="16838" w:orient="portrait"/>
          <w:cols w:equalWidth="0" w:num="1">
            <w:col w:w="11420"/>
          </w:cols>
          <w:pgMar w:left="240" w:top="549" w:right="239" w:bottom="1440" w:gutter="0" w:footer="0" w:header="0"/>
          <w:type w:val="continuous"/>
        </w:sectPr>
      </w:pPr>
    </w:p>
    <w:bookmarkStart w:id="86" w:name="page87"/>
    <w:bookmarkEnd w:id="86"/>
    <w:p>
      <w:pPr>
        <w:ind w:right="20"/>
        <w:spacing w:after="0" w:line="256" w:lineRule="auto"/>
        <w:rPr>
          <w:sz w:val="20"/>
          <w:szCs w:val="20"/>
          <w:color w:val="auto"/>
        </w:rPr>
      </w:pPr>
      <w:r>
        <w:rPr>
          <w:rFonts w:ascii="Arial" w:cs="Arial" w:eastAsia="Arial" w:hAnsi="Arial"/>
          <w:sz w:val="18"/>
          <w:szCs w:val="18"/>
          <w:color w:val="auto"/>
        </w:rPr>
        <w:t>and other special charges and $ 67.0 million was recorded in discontinued operations, as a result of a remeasurement as of October 31, 2017. The special termination benefits related to early retirement incentives offered as part of a voluntary early retirement program for the U.S. plan in the fourth quarter of 2017. This program allowed certain employees the opportunity to voluntarily leave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weighted-average assumptions as of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jc w:val="center"/>
              <w:ind w:right="17"/>
              <w:spacing w:after="0"/>
              <w:rPr>
                <w:sz w:val="20"/>
                <w:szCs w:val="20"/>
                <w:color w:val="auto"/>
              </w:rPr>
            </w:pPr>
            <w:r>
              <w:rPr>
                <w:rFonts w:ascii="Arial" w:cs="Arial" w:eastAsia="Arial" w:hAnsi="Arial"/>
                <w:sz w:val="14"/>
                <w:szCs w:val="14"/>
                <w:b w:val="1"/>
                <w:bCs w:val="1"/>
                <w:color w:val="auto"/>
              </w:rPr>
              <w:t>Defined Benefit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center"/>
              <w:ind w:right="19"/>
              <w:spacing w:after="0"/>
              <w:rPr>
                <w:sz w:val="20"/>
                <w:szCs w:val="20"/>
                <w:color w:val="auto"/>
              </w:rPr>
            </w:pPr>
            <w:r>
              <w:rPr>
                <w:rFonts w:ascii="Arial" w:cs="Arial" w:eastAsia="Arial" w:hAnsi="Arial"/>
                <w:sz w:val="14"/>
                <w:szCs w:val="14"/>
                <w:b w:val="1"/>
                <w:bCs w:val="1"/>
                <w:color w:val="auto"/>
              </w:rPr>
              <w:t>Retiree Health</w:t>
            </w:r>
          </w:p>
        </w:tc>
        <w:tc>
          <w:tcPr>
            <w:tcW w:w="740" w:type="dxa"/>
            <w:vAlign w:val="bottom"/>
          </w:tcPr>
          <w:p>
            <w:pPr>
              <w:spacing w:after="0"/>
              <w:rPr>
                <w:sz w:val="14"/>
                <w:szCs w:val="14"/>
                <w:color w:val="auto"/>
              </w:rPr>
            </w:pPr>
          </w:p>
        </w:tc>
      </w:tr>
      <w:tr>
        <w:trPr>
          <w:trHeight w:val="196"/>
        </w:trPr>
        <w:tc>
          <w:tcPr>
            <w:tcW w:w="5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Pension Plans</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Benefit Plans</w:t>
            </w:r>
          </w:p>
        </w:tc>
        <w:tc>
          <w:tcPr>
            <w:tcW w:w="740" w:type="dxa"/>
            <w:vAlign w:val="bottom"/>
            <w:tcBorders>
              <w:bottom w:val="single" w:sz="8" w:color="auto"/>
            </w:tcBorders>
          </w:tcPr>
          <w:p>
            <w:pPr>
              <w:spacing w:after="0"/>
              <w:rPr>
                <w:sz w:val="17"/>
                <w:szCs w:val="17"/>
                <w:color w:val="auto"/>
              </w:rPr>
            </w:pPr>
          </w:p>
        </w:tc>
      </w:tr>
      <w:tr>
        <w:trPr>
          <w:trHeight w:val="264"/>
        </w:trPr>
        <w:tc>
          <w:tcPr>
            <w:tcW w:w="5900" w:type="dxa"/>
            <w:vAlign w:val="bottom"/>
            <w:tcBorders>
              <w:bottom w:val="single" w:sz="8" w:color="auto"/>
            </w:tcBorders>
            <w:gridSpan w:val="2"/>
          </w:tcPr>
          <w:p>
            <w:pPr>
              <w:ind w:left="5080"/>
              <w:spacing w:after="0"/>
              <w:rPr>
                <w:sz w:val="20"/>
                <w:szCs w:val="20"/>
                <w:color w:val="auto"/>
              </w:rPr>
            </w:pPr>
            <w:r>
              <w:rPr>
                <w:rFonts w:ascii="Arial" w:cs="Arial" w:eastAsia="Arial" w:hAnsi="Arial"/>
                <w:sz w:val="14"/>
                <w:szCs w:val="14"/>
                <w:b w:val="1"/>
                <w:bCs w:val="1"/>
                <w:color w:val="auto"/>
              </w:rPr>
              <w:t>(Percents)</w:t>
            </w: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70"/>
        </w:trPr>
        <w:tc>
          <w:tcPr>
            <w:tcW w:w="59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Discount rate for benefit obligation</w:t>
            </w:r>
          </w:p>
        </w:tc>
        <w:tc>
          <w:tcPr>
            <w:tcW w:w="720" w:type="dxa"/>
            <w:vAlign w:val="bottom"/>
            <w:shd w:val="clear" w:color="auto" w:fill="D8D8D8"/>
          </w:tcPr>
          <w:p>
            <w:pPr>
              <w:ind w:left="280"/>
              <w:spacing w:after="0"/>
              <w:rPr>
                <w:sz w:val="20"/>
                <w:szCs w:val="20"/>
                <w:color w:val="auto"/>
              </w:rPr>
            </w:pPr>
            <w:r>
              <w:rPr>
                <w:rFonts w:ascii="Arial" w:cs="Arial" w:eastAsia="Arial" w:hAnsi="Arial"/>
                <w:sz w:val="18"/>
                <w:szCs w:val="18"/>
                <w:b w:val="1"/>
                <w:bCs w:val="1"/>
                <w:color w:val="auto"/>
              </w:rPr>
              <w:t>3.0%</w:t>
            </w:r>
          </w:p>
        </w:tc>
        <w:tc>
          <w:tcPr>
            <w:tcW w:w="1200" w:type="dxa"/>
            <w:vAlign w:val="bottom"/>
            <w:shd w:val="clear" w:color="auto" w:fill="D8D8D8"/>
          </w:tcPr>
          <w:p>
            <w:pPr>
              <w:ind w:left="520"/>
              <w:spacing w:after="0"/>
              <w:rPr>
                <w:sz w:val="20"/>
                <w:szCs w:val="20"/>
                <w:color w:val="auto"/>
              </w:rPr>
            </w:pPr>
            <w:r>
              <w:rPr>
                <w:rFonts w:ascii="Arial" w:cs="Arial" w:eastAsia="Arial" w:hAnsi="Arial"/>
                <w:sz w:val="18"/>
                <w:szCs w:val="18"/>
                <w:color w:val="auto"/>
              </w:rPr>
              <w:t>4.0%</w:t>
            </w:r>
          </w:p>
        </w:tc>
        <w:tc>
          <w:tcPr>
            <w:tcW w:w="720" w:type="dxa"/>
            <w:vAlign w:val="bottom"/>
            <w:shd w:val="clear" w:color="auto" w:fill="D8D8D8"/>
          </w:tcPr>
          <w:p>
            <w:pPr>
              <w:ind w:left="2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8D8D8"/>
          </w:tcPr>
          <w:p>
            <w:pPr>
              <w:spacing w:after="0"/>
              <w:rPr>
                <w:sz w:val="23"/>
                <w:szCs w:val="23"/>
                <w:color w:val="auto"/>
              </w:rPr>
            </w:pPr>
          </w:p>
        </w:tc>
        <w:tc>
          <w:tcPr>
            <w:tcW w:w="860" w:type="dxa"/>
            <w:vAlign w:val="bottom"/>
            <w:shd w:val="clear" w:color="auto" w:fill="D8D8D8"/>
          </w:tcPr>
          <w:p>
            <w:pPr>
              <w:ind w:left="400"/>
              <w:spacing w:after="0"/>
              <w:rPr>
                <w:sz w:val="20"/>
                <w:szCs w:val="20"/>
                <w:color w:val="auto"/>
              </w:rPr>
            </w:pPr>
            <w:r>
              <w:rPr>
                <w:rFonts w:ascii="Arial" w:cs="Arial" w:eastAsia="Arial" w:hAnsi="Arial"/>
                <w:sz w:val="18"/>
                <w:szCs w:val="18"/>
                <w:b w:val="1"/>
                <w:bCs w:val="1"/>
                <w:color w:val="auto"/>
              </w:rPr>
              <w:t>3.3%</w:t>
            </w:r>
          </w:p>
        </w:tc>
        <w:tc>
          <w:tcPr>
            <w:tcW w:w="1160" w:type="dxa"/>
            <w:vAlign w:val="bottom"/>
            <w:shd w:val="clear" w:color="auto" w:fill="D8D8D8"/>
          </w:tcPr>
          <w:p>
            <w:pPr>
              <w:ind w:left="500"/>
              <w:spacing w:after="0"/>
              <w:rPr>
                <w:sz w:val="20"/>
                <w:szCs w:val="20"/>
                <w:color w:val="auto"/>
              </w:rPr>
            </w:pPr>
            <w:r>
              <w:rPr>
                <w:rFonts w:ascii="Arial" w:cs="Arial" w:eastAsia="Arial" w:hAnsi="Arial"/>
                <w:sz w:val="18"/>
                <w:szCs w:val="18"/>
                <w:color w:val="auto"/>
              </w:rPr>
              <w:t>4.4%</w:t>
            </w:r>
          </w:p>
        </w:tc>
        <w:tc>
          <w:tcPr>
            <w:tcW w:w="740" w:type="dxa"/>
            <w:vAlign w:val="bottom"/>
            <w:shd w:val="clear" w:color="auto" w:fill="D8D8D8"/>
          </w:tcPr>
          <w:p>
            <w:pPr>
              <w:ind w:left="300"/>
              <w:spacing w:after="0"/>
              <w:rPr>
                <w:sz w:val="20"/>
                <w:szCs w:val="20"/>
                <w:color w:val="auto"/>
              </w:rPr>
            </w:pPr>
            <w:r>
              <w:rPr>
                <w:rFonts w:ascii="Arial" w:cs="Arial" w:eastAsia="Arial" w:hAnsi="Arial"/>
                <w:sz w:val="18"/>
                <w:szCs w:val="18"/>
                <w:color w:val="auto"/>
              </w:rPr>
              <w:t>3.7%</w:t>
            </w:r>
          </w:p>
        </w:tc>
      </w:tr>
      <w:tr>
        <w:trPr>
          <w:trHeight w:val="26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Discount rate for net benefit costs</w:t>
            </w:r>
          </w:p>
        </w:tc>
        <w:tc>
          <w:tcPr>
            <w:tcW w:w="720" w:type="dxa"/>
            <w:vAlign w:val="bottom"/>
          </w:tcPr>
          <w:p>
            <w:pPr>
              <w:ind w:left="280"/>
              <w:spacing w:after="0"/>
              <w:rPr>
                <w:sz w:val="20"/>
                <w:szCs w:val="20"/>
                <w:color w:val="auto"/>
              </w:rPr>
            </w:pPr>
            <w:r>
              <w:rPr>
                <w:rFonts w:ascii="Arial" w:cs="Arial" w:eastAsia="Arial" w:hAnsi="Arial"/>
                <w:sz w:val="18"/>
                <w:szCs w:val="18"/>
                <w:b w:val="1"/>
                <w:bCs w:val="1"/>
                <w:color w:val="auto"/>
              </w:rPr>
              <w:t>4.0</w:t>
            </w:r>
          </w:p>
        </w:tc>
        <w:tc>
          <w:tcPr>
            <w:tcW w:w="1200" w:type="dxa"/>
            <w:vAlign w:val="bottom"/>
          </w:tcPr>
          <w:p>
            <w:pPr>
              <w:ind w:left="520"/>
              <w:spacing w:after="0"/>
              <w:rPr>
                <w:sz w:val="20"/>
                <w:szCs w:val="20"/>
                <w:color w:val="auto"/>
              </w:rPr>
            </w:pPr>
            <w:r>
              <w:rPr>
                <w:rFonts w:ascii="Arial" w:cs="Arial" w:eastAsia="Arial" w:hAnsi="Arial"/>
                <w:sz w:val="18"/>
                <w:szCs w:val="18"/>
                <w:color w:val="auto"/>
              </w:rPr>
              <w:t>3.4</w:t>
            </w:r>
          </w:p>
        </w:tc>
        <w:tc>
          <w:tcPr>
            <w:tcW w:w="720" w:type="dxa"/>
            <w:vAlign w:val="bottom"/>
          </w:tcPr>
          <w:p>
            <w:pPr>
              <w:ind w:left="28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860" w:type="dxa"/>
            <w:vAlign w:val="bottom"/>
          </w:tcPr>
          <w:p>
            <w:pPr>
              <w:ind w:left="400"/>
              <w:spacing w:after="0"/>
              <w:rPr>
                <w:sz w:val="20"/>
                <w:szCs w:val="20"/>
                <w:color w:val="auto"/>
              </w:rPr>
            </w:pPr>
            <w:r>
              <w:rPr>
                <w:rFonts w:ascii="Arial" w:cs="Arial" w:eastAsia="Arial" w:hAnsi="Arial"/>
                <w:sz w:val="18"/>
                <w:szCs w:val="18"/>
                <w:b w:val="1"/>
                <w:bCs w:val="1"/>
                <w:color w:val="auto"/>
              </w:rPr>
              <w:t>4.4</w:t>
            </w:r>
          </w:p>
        </w:tc>
        <w:tc>
          <w:tcPr>
            <w:tcW w:w="1160" w:type="dxa"/>
            <w:vAlign w:val="bottom"/>
          </w:tcPr>
          <w:p>
            <w:pPr>
              <w:ind w:left="500"/>
              <w:spacing w:after="0"/>
              <w:rPr>
                <w:sz w:val="20"/>
                <w:szCs w:val="20"/>
                <w:color w:val="auto"/>
              </w:rPr>
            </w:pPr>
            <w:r>
              <w:rPr>
                <w:rFonts w:ascii="Arial" w:cs="Arial" w:eastAsia="Arial" w:hAnsi="Arial"/>
                <w:sz w:val="18"/>
                <w:szCs w:val="18"/>
                <w:color w:val="auto"/>
              </w:rPr>
              <w:t>3.7</w:t>
            </w:r>
          </w:p>
        </w:tc>
        <w:tc>
          <w:tcPr>
            <w:tcW w:w="740" w:type="dxa"/>
            <w:vAlign w:val="bottom"/>
          </w:tcPr>
          <w:p>
            <w:pPr>
              <w:ind w:left="300"/>
              <w:spacing w:after="0"/>
              <w:rPr>
                <w:sz w:val="20"/>
                <w:szCs w:val="20"/>
                <w:color w:val="auto"/>
              </w:rPr>
            </w:pPr>
            <w:r>
              <w:rPr>
                <w:rFonts w:ascii="Arial" w:cs="Arial" w:eastAsia="Arial" w:hAnsi="Arial"/>
                <w:sz w:val="18"/>
                <w:szCs w:val="18"/>
                <w:color w:val="auto"/>
              </w:rPr>
              <w:t>4.3</w:t>
            </w:r>
          </w:p>
        </w:tc>
      </w:tr>
      <w:tr>
        <w:trPr>
          <w:trHeight w:val="277"/>
        </w:trPr>
        <w:tc>
          <w:tcPr>
            <w:tcW w:w="59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Rate of compensation increase for benefit obligation</w:t>
            </w:r>
          </w:p>
        </w:tc>
        <w:tc>
          <w:tcPr>
            <w:tcW w:w="720" w:type="dxa"/>
            <w:vAlign w:val="bottom"/>
            <w:shd w:val="clear" w:color="auto" w:fill="D8D8D8"/>
          </w:tcPr>
          <w:p>
            <w:pPr>
              <w:ind w:left="280"/>
              <w:spacing w:after="0"/>
              <w:rPr>
                <w:sz w:val="20"/>
                <w:szCs w:val="20"/>
                <w:color w:val="auto"/>
              </w:rPr>
            </w:pPr>
            <w:r>
              <w:rPr>
                <w:rFonts w:ascii="Arial" w:cs="Arial" w:eastAsia="Arial" w:hAnsi="Arial"/>
                <w:sz w:val="18"/>
                <w:szCs w:val="18"/>
                <w:b w:val="1"/>
                <w:bCs w:val="1"/>
                <w:color w:val="auto"/>
              </w:rPr>
              <w:t>3.3</w:t>
            </w:r>
          </w:p>
        </w:tc>
        <w:tc>
          <w:tcPr>
            <w:tcW w:w="1200" w:type="dxa"/>
            <w:vAlign w:val="bottom"/>
            <w:shd w:val="clear" w:color="auto" w:fill="D8D8D8"/>
          </w:tcPr>
          <w:p>
            <w:pPr>
              <w:ind w:left="520"/>
              <w:spacing w:after="0"/>
              <w:rPr>
                <w:sz w:val="20"/>
                <w:szCs w:val="20"/>
                <w:color w:val="auto"/>
              </w:rPr>
            </w:pPr>
            <w:r>
              <w:rPr>
                <w:rFonts w:ascii="Arial" w:cs="Arial" w:eastAsia="Arial" w:hAnsi="Arial"/>
                <w:sz w:val="18"/>
                <w:szCs w:val="18"/>
                <w:color w:val="auto"/>
              </w:rPr>
              <w:t>3.4</w:t>
            </w:r>
          </w:p>
        </w:tc>
        <w:tc>
          <w:tcPr>
            <w:tcW w:w="720" w:type="dxa"/>
            <w:vAlign w:val="bottom"/>
            <w:shd w:val="clear" w:color="auto" w:fill="D8D8D8"/>
          </w:tcPr>
          <w:p>
            <w:pPr>
              <w:ind w:left="2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8D8D8"/>
          </w:tcPr>
          <w:p>
            <w:pPr>
              <w:spacing w:after="0"/>
              <w:rPr>
                <w:sz w:val="24"/>
                <w:szCs w:val="24"/>
                <w:color w:val="auto"/>
              </w:rPr>
            </w:pPr>
          </w:p>
        </w:tc>
        <w:tc>
          <w:tcPr>
            <w:tcW w:w="860" w:type="dxa"/>
            <w:vAlign w:val="bottom"/>
            <w:shd w:val="clear" w:color="auto" w:fill="D8D8D8"/>
          </w:tcPr>
          <w:p>
            <w:pPr>
              <w:spacing w:after="0"/>
              <w:rPr>
                <w:sz w:val="24"/>
                <w:szCs w:val="24"/>
                <w:color w:val="auto"/>
              </w:rPr>
            </w:pPr>
          </w:p>
        </w:tc>
        <w:tc>
          <w:tcPr>
            <w:tcW w:w="1160" w:type="dxa"/>
            <w:vAlign w:val="bottom"/>
            <w:shd w:val="clear" w:color="auto" w:fill="D8D8D8"/>
          </w:tcPr>
          <w:p>
            <w:pPr>
              <w:spacing w:after="0"/>
              <w:rPr>
                <w:sz w:val="24"/>
                <w:szCs w:val="24"/>
                <w:color w:val="auto"/>
              </w:rPr>
            </w:pPr>
          </w:p>
        </w:tc>
        <w:tc>
          <w:tcPr>
            <w:tcW w:w="740" w:type="dxa"/>
            <w:vAlign w:val="bottom"/>
            <w:shd w:val="clear" w:color="auto" w:fill="D8D8D8"/>
          </w:tcPr>
          <w:p>
            <w:pPr>
              <w:spacing w:after="0"/>
              <w:rPr>
                <w:sz w:val="24"/>
                <w:szCs w:val="24"/>
                <w:color w:val="auto"/>
              </w:rPr>
            </w:pPr>
          </w:p>
        </w:tc>
      </w:tr>
      <w:tr>
        <w:trPr>
          <w:trHeight w:val="26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Rate of compensation increase for net benefit costs</w:t>
            </w:r>
          </w:p>
        </w:tc>
        <w:tc>
          <w:tcPr>
            <w:tcW w:w="720" w:type="dxa"/>
            <w:vAlign w:val="bottom"/>
          </w:tcPr>
          <w:p>
            <w:pPr>
              <w:ind w:left="280"/>
              <w:spacing w:after="0"/>
              <w:rPr>
                <w:sz w:val="20"/>
                <w:szCs w:val="20"/>
                <w:color w:val="auto"/>
              </w:rPr>
            </w:pPr>
            <w:r>
              <w:rPr>
                <w:rFonts w:ascii="Arial" w:cs="Arial" w:eastAsia="Arial" w:hAnsi="Arial"/>
                <w:sz w:val="18"/>
                <w:szCs w:val="18"/>
                <w:b w:val="1"/>
                <w:bCs w:val="1"/>
                <w:color w:val="auto"/>
              </w:rPr>
              <w:t>3.4</w:t>
            </w:r>
          </w:p>
        </w:tc>
        <w:tc>
          <w:tcPr>
            <w:tcW w:w="1200" w:type="dxa"/>
            <w:vAlign w:val="bottom"/>
          </w:tcPr>
          <w:p>
            <w:pPr>
              <w:ind w:left="520"/>
              <w:spacing w:after="0"/>
              <w:rPr>
                <w:sz w:val="20"/>
                <w:szCs w:val="20"/>
                <w:color w:val="auto"/>
              </w:rPr>
            </w:pPr>
            <w:r>
              <w:rPr>
                <w:rFonts w:ascii="Arial" w:cs="Arial" w:eastAsia="Arial" w:hAnsi="Arial"/>
                <w:sz w:val="18"/>
                <w:szCs w:val="18"/>
                <w:color w:val="auto"/>
              </w:rPr>
              <w:t>3.4</w:t>
            </w:r>
          </w:p>
        </w:tc>
        <w:tc>
          <w:tcPr>
            <w:tcW w:w="720" w:type="dxa"/>
            <w:vAlign w:val="bottom"/>
          </w:tcPr>
          <w:p>
            <w:pPr>
              <w:ind w:left="2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59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Expected return on plan assets for net benefit costs</w:t>
            </w:r>
          </w:p>
        </w:tc>
        <w:tc>
          <w:tcPr>
            <w:tcW w:w="720" w:type="dxa"/>
            <w:vAlign w:val="bottom"/>
            <w:shd w:val="clear" w:color="auto" w:fill="D8D8D8"/>
          </w:tcPr>
          <w:p>
            <w:pPr>
              <w:ind w:left="280"/>
              <w:spacing w:after="0"/>
              <w:rPr>
                <w:sz w:val="20"/>
                <w:szCs w:val="20"/>
                <w:color w:val="auto"/>
              </w:rPr>
            </w:pPr>
            <w:r>
              <w:rPr>
                <w:rFonts w:ascii="Arial" w:cs="Arial" w:eastAsia="Arial" w:hAnsi="Arial"/>
                <w:sz w:val="18"/>
                <w:szCs w:val="18"/>
                <w:b w:val="1"/>
                <w:bCs w:val="1"/>
                <w:color w:val="auto"/>
              </w:rPr>
              <w:t>7.4</w:t>
            </w:r>
          </w:p>
        </w:tc>
        <w:tc>
          <w:tcPr>
            <w:tcW w:w="1200" w:type="dxa"/>
            <w:vAlign w:val="bottom"/>
            <w:shd w:val="clear" w:color="auto" w:fill="D8D8D8"/>
          </w:tcPr>
          <w:p>
            <w:pPr>
              <w:ind w:left="520"/>
              <w:spacing w:after="0"/>
              <w:rPr>
                <w:sz w:val="20"/>
                <w:szCs w:val="20"/>
                <w:color w:val="auto"/>
              </w:rPr>
            </w:pPr>
            <w:r>
              <w:rPr>
                <w:rFonts w:ascii="Arial" w:cs="Arial" w:eastAsia="Arial" w:hAnsi="Arial"/>
                <w:sz w:val="18"/>
                <w:szCs w:val="18"/>
                <w:color w:val="auto"/>
              </w:rPr>
              <w:t>7.4</w:t>
            </w:r>
          </w:p>
        </w:tc>
        <w:tc>
          <w:tcPr>
            <w:tcW w:w="720" w:type="dxa"/>
            <w:vAlign w:val="bottom"/>
            <w:shd w:val="clear" w:color="auto" w:fill="D8D8D8"/>
          </w:tcPr>
          <w:p>
            <w:pPr>
              <w:ind w:left="2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D8D8D8"/>
          </w:tcPr>
          <w:p>
            <w:pPr>
              <w:spacing w:after="0"/>
              <w:rPr>
                <w:sz w:val="24"/>
                <w:szCs w:val="24"/>
                <w:color w:val="auto"/>
              </w:rPr>
            </w:pPr>
          </w:p>
        </w:tc>
        <w:tc>
          <w:tcPr>
            <w:tcW w:w="860" w:type="dxa"/>
            <w:vAlign w:val="bottom"/>
            <w:shd w:val="clear" w:color="auto" w:fill="D8D8D8"/>
          </w:tcPr>
          <w:p>
            <w:pPr>
              <w:ind w:left="400"/>
              <w:spacing w:after="0"/>
              <w:rPr>
                <w:sz w:val="20"/>
                <w:szCs w:val="20"/>
                <w:color w:val="auto"/>
              </w:rPr>
            </w:pPr>
            <w:r>
              <w:rPr>
                <w:rFonts w:ascii="Arial" w:cs="Arial" w:eastAsia="Arial" w:hAnsi="Arial"/>
                <w:sz w:val="18"/>
                <w:szCs w:val="18"/>
                <w:b w:val="1"/>
                <w:bCs w:val="1"/>
                <w:color w:val="auto"/>
              </w:rPr>
              <w:t>6.0</w:t>
            </w:r>
          </w:p>
        </w:tc>
        <w:tc>
          <w:tcPr>
            <w:tcW w:w="1160" w:type="dxa"/>
            <w:vAlign w:val="bottom"/>
            <w:shd w:val="clear" w:color="auto" w:fill="D8D8D8"/>
          </w:tcPr>
          <w:p>
            <w:pPr>
              <w:ind w:left="500"/>
              <w:spacing w:after="0"/>
              <w:rPr>
                <w:sz w:val="20"/>
                <w:szCs w:val="20"/>
                <w:color w:val="auto"/>
              </w:rPr>
            </w:pPr>
            <w:r>
              <w:rPr>
                <w:rFonts w:ascii="Arial" w:cs="Arial" w:eastAsia="Arial" w:hAnsi="Arial"/>
                <w:sz w:val="18"/>
                <w:szCs w:val="18"/>
                <w:color w:val="auto"/>
              </w:rPr>
              <w:t>8.0</w:t>
            </w:r>
          </w:p>
        </w:tc>
        <w:tc>
          <w:tcPr>
            <w:tcW w:w="740" w:type="dxa"/>
            <w:vAlign w:val="bottom"/>
            <w:shd w:val="clear" w:color="auto" w:fill="D8D8D8"/>
          </w:tcPr>
          <w:p>
            <w:pPr>
              <w:ind w:left="300"/>
              <w:spacing w:after="0"/>
              <w:rPr>
                <w:sz w:val="20"/>
                <w:szCs w:val="20"/>
                <w:color w:val="auto"/>
              </w:rPr>
            </w:pPr>
            <w:r>
              <w:rPr>
                <w:rFonts w:ascii="Arial" w:cs="Arial" w:eastAsia="Arial" w:hAnsi="Arial"/>
                <w:sz w:val="18"/>
                <w:szCs w:val="18"/>
                <w:color w:val="auto"/>
              </w:rPr>
              <w:t>8.0</w:t>
            </w:r>
          </w:p>
        </w:tc>
      </w:tr>
    </w:tbl>
    <w:p>
      <w:pPr>
        <w:spacing w:after="0" w:line="3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w:t>
      </w:r>
    </w:p>
    <w:p>
      <w:pPr>
        <w:spacing w:after="0" w:line="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Given the design of our retiree health benefit plans, healthcare-cost trend rates do not have a material impact on our financial condition or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2025-2029</w:t>
            </w:r>
          </w:p>
        </w:tc>
      </w:tr>
      <w:tr>
        <w:trPr>
          <w:trHeight w:val="270"/>
        </w:trPr>
        <w:tc>
          <w:tcPr>
            <w:tcW w:w="2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614.5</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621.8</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641.0</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652.3</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682.4</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3,712.1</w:t>
            </w:r>
          </w:p>
        </w:tc>
      </w:tr>
      <w:tr>
        <w:trPr>
          <w:trHeight w:val="257"/>
        </w:trPr>
        <w:tc>
          <w:tcPr>
            <w:tcW w:w="2840" w:type="dxa"/>
            <w:vAlign w:val="bottom"/>
          </w:tcPr>
          <w:p>
            <w:pPr>
              <w:ind w:left="4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93.7</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93.8</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92.9</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91.7</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94.3</w:t>
            </w:r>
          </w:p>
        </w:tc>
        <w:tc>
          <w:tcPr>
            <w:tcW w:w="3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469.8</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70"/>
        </w:trPr>
        <w:tc>
          <w:tcPr>
            <w:tcW w:w="5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Projected benefit obligation</w:t>
            </w:r>
          </w:p>
        </w:tc>
        <w:tc>
          <w:tcPr>
            <w:tcW w:w="356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14,039.7</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11,584.2</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560" w:type="dxa"/>
            <w:vAlign w:val="bottom"/>
          </w:tcPr>
          <w:p>
            <w:pPr>
              <w:spacing w:after="0"/>
              <w:rPr>
                <w:sz w:val="22"/>
                <w:szCs w:val="22"/>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10,483.4</w:t>
            </w:r>
          </w:p>
        </w:tc>
        <w:tc>
          <w:tcPr>
            <w:tcW w:w="38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8,895.6</w:t>
            </w:r>
          </w:p>
        </w:tc>
      </w:tr>
    </w:tbl>
    <w:p>
      <w:pPr>
        <w:spacing w:after="0" w:line="39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20" w:type="dxa"/>
            <w:vAlign w:val="bottom"/>
            <w:gridSpan w:val="2"/>
          </w:tcPr>
          <w:p>
            <w:pPr>
              <w:jc w:val="center"/>
              <w:ind w:left="461"/>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70"/>
        </w:trPr>
        <w:tc>
          <w:tcPr>
            <w:tcW w:w="6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ind w:left="160"/>
              <w:spacing w:after="0"/>
              <w:rPr>
                <w:sz w:val="20"/>
                <w:szCs w:val="20"/>
                <w:color w:val="auto"/>
              </w:rPr>
            </w:pPr>
            <w:r>
              <w:rPr>
                <w:rFonts w:ascii="Arial" w:cs="Arial" w:eastAsia="Arial" w:hAnsi="Arial"/>
                <w:sz w:val="18"/>
                <w:szCs w:val="18"/>
                <w:b w:val="1"/>
                <w:bCs w:val="1"/>
                <w:color w:val="auto"/>
              </w:rPr>
              <w:t>13,063.7</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w w:val="96"/>
              </w:rPr>
              <w:t>10,837.8</w:t>
            </w:r>
          </w:p>
        </w:tc>
        <w:tc>
          <w:tcPr>
            <w:tcW w:w="120" w:type="dxa"/>
            <w:vAlign w:val="bottom"/>
            <w:shd w:val="clear" w:color="auto" w:fill="D8D8D8"/>
          </w:tcPr>
          <w:p>
            <w:pPr>
              <w:spacing w:after="0"/>
              <w:rPr>
                <w:sz w:val="23"/>
                <w:szCs w:val="23"/>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41"/>
              <w:spacing w:after="0"/>
              <w:rPr>
                <w:sz w:val="20"/>
                <w:szCs w:val="20"/>
                <w:color w:val="auto"/>
              </w:rPr>
            </w:pPr>
            <w:r>
              <w:rPr>
                <w:rFonts w:ascii="Arial" w:cs="Arial" w:eastAsia="Arial" w:hAnsi="Arial"/>
                <w:sz w:val="18"/>
                <w:szCs w:val="18"/>
                <w:b w:val="1"/>
                <w:bCs w:val="1"/>
                <w:color w:val="auto"/>
              </w:rPr>
              <w:t>214.4</w:t>
            </w:r>
          </w:p>
        </w:tc>
        <w:tc>
          <w:tcPr>
            <w:tcW w:w="54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189.4</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22"/>
                <w:szCs w:val="22"/>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10,483.4</w:t>
            </w:r>
          </w:p>
        </w:tc>
        <w:tc>
          <w:tcPr>
            <w:tcW w:w="560" w:type="dxa"/>
            <w:vAlign w:val="bottom"/>
          </w:tcPr>
          <w:p>
            <w:pPr>
              <w:spacing w:after="0"/>
              <w:rPr>
                <w:sz w:val="22"/>
                <w:szCs w:val="22"/>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8,895.6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total accumulated benefit obligation for our defined benefit pension plans was $15.17 billion and $12.57 billion at December 31, 2019 and 2018, respectively.</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87</w:t>
      </w:r>
    </w:p>
    <w:p>
      <w:pPr>
        <w:sectPr>
          <w:pgSz w:w="11900" w:h="16838" w:orient="portrait"/>
          <w:cols w:equalWidth="0" w:num="1">
            <w:col w:w="11420"/>
          </w:cols>
          <w:pgMar w:left="240" w:top="67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4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50"/>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c>
          <w:tcPr>
            <w:tcW w:w="10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250.4</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292.7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36.3</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41.5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46.4</w:t>
            </w: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486.0</w:t>
            </w:r>
          </w:p>
        </w:tc>
        <w:tc>
          <w:tcPr>
            <w:tcW w:w="32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458.5</w:t>
            </w:r>
          </w:p>
        </w:tc>
        <w:tc>
          <w:tcPr>
            <w:tcW w:w="28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411.6</w:t>
            </w:r>
          </w:p>
        </w:tc>
        <w:tc>
          <w:tcPr>
            <w:tcW w:w="10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58.0</w:t>
            </w:r>
          </w:p>
        </w:tc>
        <w:tc>
          <w:tcPr>
            <w:tcW w:w="32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57.3</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52.9</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(839.6)</w:t>
            </w:r>
          </w:p>
        </w:tc>
        <w:tc>
          <w:tcPr>
            <w:tcW w:w="3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(842.1)</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(144.3)</w:t>
            </w:r>
          </w:p>
        </w:tc>
        <w:tc>
          <w:tcPr>
            <w:tcW w:w="32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(177.9)</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(160.7)</w:t>
            </w: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6.1</w:t>
            </w:r>
          </w:p>
        </w:tc>
        <w:tc>
          <w:tcPr>
            <w:tcW w:w="32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4.6</w:t>
            </w:r>
          </w:p>
        </w:tc>
        <w:tc>
          <w:tcPr>
            <w:tcW w:w="28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(62.9)</w:t>
            </w:r>
          </w:p>
        </w:tc>
        <w:tc>
          <w:tcPr>
            <w:tcW w:w="32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(79.5)</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(90.0)</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Recognized actuarial loss</w:t>
            </w:r>
          </w:p>
        </w:tc>
        <w:tc>
          <w:tcPr>
            <w:tcW w:w="24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284.9</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332.5</w:t>
            </w:r>
          </w:p>
        </w:tc>
        <w:tc>
          <w:tcPr>
            <w:tcW w:w="28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18.4</w:t>
            </w: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Curtailment (gain) loss</w:t>
            </w: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2.2</w:t>
            </w:r>
          </w:p>
        </w:tc>
        <w:tc>
          <w:tcPr>
            <w:tcW w:w="32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1.3</w:t>
            </w:r>
          </w:p>
        </w:tc>
        <w:tc>
          <w:tcPr>
            <w:tcW w:w="28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65.5</w:t>
            </w:r>
          </w:p>
        </w:tc>
      </w:tr>
      <w:tr>
        <w:trPr>
          <w:trHeight w:val="264"/>
        </w:trPr>
        <w:tc>
          <w:tcPr>
            <w:tcW w:w="464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Special termination benefit</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317.2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37.5</w:t>
            </w:r>
          </w:p>
        </w:tc>
      </w:tr>
      <w:tr>
        <w:trPr>
          <w:trHeight w:val="277"/>
        </w:trPr>
        <w:tc>
          <w:tcPr>
            <w:tcW w:w="464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190.0</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8"/>
                <w:szCs w:val="18"/>
                <w:color w:val="auto"/>
              </w:rPr>
              <w:t>247.5</w:t>
            </w:r>
          </w:p>
        </w:tc>
        <w:tc>
          <w:tcPr>
            <w:tcW w:w="2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661.9</w:t>
            </w:r>
          </w:p>
        </w:tc>
        <w:tc>
          <w:tcPr>
            <w:tcW w:w="100" w:type="dxa"/>
            <w:vAlign w:val="bottom"/>
            <w:tcBorders>
              <w:bottom w:val="single" w:sz="8" w:color="auto"/>
            </w:tcBorders>
            <w:shd w:val="clear" w:color="auto" w:fill="D8D8D8"/>
          </w:tcPr>
          <w:p>
            <w:pPr>
              <w:spacing w:after="0"/>
              <w:rPr>
                <w:sz w:val="24"/>
                <w:szCs w:val="24"/>
                <w:color w:val="auto"/>
              </w:rPr>
            </w:pPr>
          </w:p>
        </w:tc>
        <w:tc>
          <w:tcPr>
            <w:tcW w:w="2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(111.0)</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(181.8)</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(30.0)</w:t>
            </w:r>
          </w:p>
        </w:tc>
      </w:tr>
    </w:tbl>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 2019, 2018, and 2017:</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Defined Benefit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Benefit Plans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Actuarial gain (loss) arising during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(1,461.0)</w:t>
            </w:r>
          </w:p>
        </w:tc>
        <w:tc>
          <w:tcPr>
            <w:tcW w:w="3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182.8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246.1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37.5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77"/>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Plan amendments during period</w:t>
            </w:r>
          </w:p>
        </w:tc>
        <w:tc>
          <w:tcPr>
            <w:tcW w:w="240" w:type="dxa"/>
            <w:vAlign w:val="bottom"/>
            <w:shd w:val="clear" w:color="auto" w:fill="D8D8D8"/>
          </w:tcPr>
          <w:p>
            <w:pPr>
              <w:spacing w:after="0"/>
              <w:rPr>
                <w:sz w:val="24"/>
                <w:szCs w:val="24"/>
                <w:color w:val="auto"/>
              </w:rPr>
            </w:pPr>
          </w:p>
        </w:tc>
        <w:tc>
          <w:tcPr>
            <w:tcW w:w="9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(17.6)</w:t>
            </w:r>
          </w:p>
        </w:tc>
        <w:tc>
          <w:tcPr>
            <w:tcW w:w="34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Curtailment gain (loss)</w:t>
            </w:r>
          </w:p>
        </w:tc>
        <w:tc>
          <w:tcPr>
            <w:tcW w:w="240" w:type="dxa"/>
            <w:vAlign w:val="bottom"/>
          </w:tcPr>
          <w:p>
            <w:pPr>
              <w:spacing w:after="0"/>
              <w:rPr>
                <w:sz w:val="22"/>
                <w:szCs w:val="22"/>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19.0</w:t>
            </w:r>
          </w:p>
        </w:tc>
        <w:tc>
          <w:tcPr>
            <w:tcW w:w="340" w:type="dxa"/>
            <w:vAlign w:val="bottom"/>
          </w:tcPr>
          <w:p>
            <w:pPr>
              <w:spacing w:after="0"/>
              <w:rPr>
                <w:sz w:val="22"/>
                <w:szCs w:val="22"/>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45.2</w:t>
            </w:r>
          </w:p>
        </w:tc>
        <w:tc>
          <w:tcPr>
            <w:tcW w:w="3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5"/>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8D8D8"/>
          </w:tcPr>
          <w:p>
            <w:pPr>
              <w:spacing w:after="0"/>
              <w:rPr>
                <w:sz w:val="20"/>
                <w:szCs w:val="20"/>
                <w:color w:val="auto"/>
              </w:rPr>
            </w:pPr>
          </w:p>
        </w:tc>
        <w:tc>
          <w:tcPr>
            <w:tcW w:w="940" w:type="dxa"/>
            <w:vAlign w:val="bottom"/>
            <w:vMerge w:val="restart"/>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6.1</w:t>
            </w:r>
          </w:p>
        </w:tc>
        <w:tc>
          <w:tcPr>
            <w:tcW w:w="34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920" w:type="dxa"/>
            <w:vAlign w:val="bottom"/>
            <w:vMerge w:val="restart"/>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(62.9)</w:t>
            </w:r>
          </w:p>
        </w:tc>
        <w:tc>
          <w:tcPr>
            <w:tcW w:w="18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included in net income</w:t>
            </w:r>
          </w:p>
        </w:tc>
        <w:tc>
          <w:tcPr>
            <w:tcW w:w="240" w:type="dxa"/>
            <w:vAlign w:val="bottom"/>
            <w:shd w:val="clear" w:color="auto" w:fill="D8D8D8"/>
          </w:tcPr>
          <w:p>
            <w:pPr>
              <w:spacing w:after="0"/>
              <w:rPr>
                <w:sz w:val="20"/>
                <w:szCs w:val="20"/>
                <w:color w:val="auto"/>
              </w:rPr>
            </w:pPr>
          </w:p>
        </w:tc>
        <w:tc>
          <w:tcPr>
            <w:tcW w:w="940" w:type="dxa"/>
            <w:vAlign w:val="bottom"/>
            <w:vMerge w:val="continue"/>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9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4.6</w:t>
            </w: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920" w:type="dxa"/>
            <w:vAlign w:val="bottom"/>
            <w:vMerge w:val="continue"/>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(79.5)</w:t>
            </w: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net actuarial loss included in net</w:t>
            </w:r>
          </w:p>
        </w:tc>
        <w:tc>
          <w:tcPr>
            <w:tcW w:w="240" w:type="dxa"/>
            <w:vAlign w:val="bottom"/>
          </w:tcPr>
          <w:p>
            <w:pPr>
              <w:spacing w:after="0"/>
              <w:rPr>
                <w:sz w:val="19"/>
                <w:szCs w:val="19"/>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284.9</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income</w:t>
            </w: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332.5</w:t>
            </w:r>
          </w:p>
        </w:tc>
        <w:tc>
          <w:tcPr>
            <w:tcW w:w="3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5"/>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exchange rate changes and</w:t>
            </w:r>
          </w:p>
        </w:tc>
        <w:tc>
          <w:tcPr>
            <w:tcW w:w="240" w:type="dxa"/>
            <w:vAlign w:val="bottom"/>
            <w:shd w:val="clear" w:color="auto" w:fill="D8D8D8"/>
          </w:tcPr>
          <w:p>
            <w:pPr>
              <w:spacing w:after="0"/>
              <w:rPr>
                <w:sz w:val="20"/>
                <w:szCs w:val="20"/>
                <w:color w:val="auto"/>
              </w:rPr>
            </w:pPr>
          </w:p>
        </w:tc>
        <w:tc>
          <w:tcPr>
            <w:tcW w:w="94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(7.7)</w:t>
            </w:r>
          </w:p>
        </w:tc>
        <w:tc>
          <w:tcPr>
            <w:tcW w:w="34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920" w:type="dxa"/>
            <w:vAlign w:val="bottom"/>
            <w:vMerge w:val="restart"/>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8D8D8"/>
          </w:tcPr>
          <w:p>
            <w:pPr>
              <w:spacing w:after="0"/>
              <w:rPr>
                <w:sz w:val="20"/>
                <w:szCs w:val="20"/>
                <w:color w:val="auto"/>
              </w:rPr>
            </w:pPr>
          </w:p>
        </w:tc>
        <w:tc>
          <w:tcPr>
            <w:tcW w:w="940" w:type="dxa"/>
            <w:vAlign w:val="bottom"/>
            <w:tcBorders>
              <w:bottom w:val="single" w:sz="8" w:color="auto"/>
            </w:tcBorders>
            <w:vMerge w:val="continue"/>
            <w:shd w:val="clear" w:color="auto" w:fill="D8D8D8"/>
          </w:tcPr>
          <w:p>
            <w:pPr>
              <w:spacing w:after="0"/>
              <w:rPr>
                <w:sz w:val="20"/>
                <w:szCs w:val="20"/>
                <w:color w:val="auto"/>
              </w:rPr>
            </w:pPr>
          </w:p>
        </w:tc>
        <w:tc>
          <w:tcPr>
            <w:tcW w:w="340" w:type="dxa"/>
            <w:vAlign w:val="bottom"/>
            <w:tcBorders>
              <w:bottom w:val="single" w:sz="8" w:color="auto"/>
            </w:tcBorders>
            <w:shd w:val="clear" w:color="auto" w:fill="D8D8D8"/>
          </w:tcPr>
          <w:p>
            <w:pPr>
              <w:spacing w:after="0"/>
              <w:rPr>
                <w:sz w:val="20"/>
                <w:szCs w:val="20"/>
                <w:color w:val="auto"/>
              </w:rPr>
            </w:pPr>
          </w:p>
        </w:tc>
        <w:tc>
          <w:tcPr>
            <w:tcW w:w="9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47.1</w:t>
            </w:r>
          </w:p>
        </w:tc>
        <w:tc>
          <w:tcPr>
            <w:tcW w:w="340" w:type="dxa"/>
            <w:vAlign w:val="bottom"/>
            <w:tcBorders>
              <w:bottom w:val="single" w:sz="8" w:color="auto"/>
            </w:tcBorders>
            <w:shd w:val="clear" w:color="auto" w:fill="D8D8D8"/>
          </w:tcPr>
          <w:p>
            <w:pPr>
              <w:spacing w:after="0"/>
              <w:rPr>
                <w:sz w:val="20"/>
                <w:szCs w:val="20"/>
                <w:color w:val="auto"/>
              </w:rPr>
            </w:pP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auto"/>
            </w:tcBorders>
            <w:shd w:val="clear" w:color="auto" w:fill="D8D8D8"/>
          </w:tcPr>
          <w:p>
            <w:pPr>
              <w:spacing w:after="0"/>
              <w:rPr>
                <w:sz w:val="20"/>
                <w:szCs w:val="20"/>
                <w:color w:val="auto"/>
              </w:rPr>
            </w:pPr>
          </w:p>
        </w:tc>
        <w:tc>
          <w:tcPr>
            <w:tcW w:w="280" w:type="dxa"/>
            <w:vAlign w:val="bottom"/>
            <w:tcBorders>
              <w:bottom w:val="single" w:sz="8" w:color="auto"/>
            </w:tcBorders>
            <w:shd w:val="clear" w:color="auto" w:fill="D8D8D8"/>
          </w:tcPr>
          <w:p>
            <w:pPr>
              <w:spacing w:after="0"/>
              <w:rPr>
                <w:sz w:val="20"/>
                <w:szCs w:val="20"/>
                <w:color w:val="auto"/>
              </w:rPr>
            </w:pPr>
          </w:p>
        </w:tc>
        <w:tc>
          <w:tcPr>
            <w:tcW w:w="920" w:type="dxa"/>
            <w:vAlign w:val="bottom"/>
            <w:tcBorders>
              <w:bottom w:val="single" w:sz="8" w:color="auto"/>
            </w:tcBorders>
            <w:vMerge w:val="continue"/>
            <w:shd w:val="clear" w:color="auto" w:fill="D8D8D8"/>
          </w:tcPr>
          <w:p>
            <w:pPr>
              <w:spacing w:after="0"/>
              <w:rPr>
                <w:sz w:val="20"/>
                <w:szCs w:val="20"/>
                <w:color w:val="auto"/>
              </w:rPr>
            </w:pPr>
          </w:p>
        </w:tc>
        <w:tc>
          <w:tcPr>
            <w:tcW w:w="180" w:type="dxa"/>
            <w:vAlign w:val="bottom"/>
            <w:tcBorders>
              <w:bottom w:val="single" w:sz="8" w:color="auto"/>
            </w:tcBorders>
            <w:shd w:val="clear" w:color="auto" w:fill="D8D8D8"/>
          </w:tcPr>
          <w:p>
            <w:pPr>
              <w:spacing w:after="0"/>
              <w:rPr>
                <w:sz w:val="20"/>
                <w:szCs w:val="20"/>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auto"/>
            </w:tcBorders>
            <w:shd w:val="clear" w:color="auto" w:fill="D8D8D8"/>
          </w:tcPr>
          <w:p>
            <w:pPr>
              <w:spacing w:after="0"/>
              <w:rPr>
                <w:sz w:val="20"/>
                <w:szCs w:val="20"/>
                <w:color w:val="auto"/>
              </w:rPr>
            </w:pP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Total other comprehensive income (loss) during</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(1,158.7)</w:t>
            </w:r>
          </w:p>
        </w:tc>
        <w:tc>
          <w:tcPr>
            <w:tcW w:w="340" w:type="dxa"/>
            <w:vAlign w:val="bottom"/>
            <w:vMerge w:val="restart"/>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color w:val="auto"/>
              </w:rPr>
              <w:t>594.6</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(711.3)</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188.7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(53.7)</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$145.2 million, $132.6 million, and $147.0 million for the years ended December 31, 2019, 2018, and 2017, respectively.</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2019, 2018, and 2017 were not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80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9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88</w:t>
      </w:r>
    </w:p>
    <w:p>
      <w:pPr>
        <w:sectPr>
          <w:pgSz w:w="11900" w:h="16838" w:orient="portrait"/>
          <w:cols w:equalWidth="0" w:num="1">
            <w:col w:w="11420"/>
          </w:cols>
          <w:pgMar w:left="240" w:top="679" w:right="239" w:bottom="1440" w:gutter="0" w:footer="0" w:header="0"/>
        </w:sectPr>
      </w:pPr>
    </w:p>
    <w:bookmarkStart w:id="88" w:name="page89"/>
    <w:bookmarkEnd w:id="88"/>
    <w:p>
      <w:pPr>
        <w:ind w:right="80"/>
        <w:spacing w:after="0" w:line="252"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70 percent growth investments and 30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mortgage-backed securities, commercial mortgage-backed obligations, and any related repurchase agreements.</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in fund-of-funds structures and directly into hedge funds. Plan holdings in hedge funds are valued based on net asset values (NAVs) calculated by each fund or general partner, as applicable, and we have the ability to redeem these investments at NAV.</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special situations, private debt, and private real estate investments. Private equity management firms typically acquire and then reorganize private companies to create increased long term value. Private equity-like funds usually have a limited life of approximately 10-15 years, and require a minimum investment commitment from their limited partners. Our private equity-like investments are made both directly into funds and through fund-of-funds structures to ensure broad diversification of management styles and 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10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Real estate is composed of public holdings. Real estate investments in registered investment companies that trade on an exchange are classified as Level 1 on the fair 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89</w:t>
      </w:r>
    </w:p>
    <w:p>
      <w:pPr>
        <w:sectPr>
          <w:pgSz w:w="11900" w:h="16838" w:orient="portrait"/>
          <w:cols w:equalWidth="0" w:num="1">
            <w:col w:w="11420"/>
          </w:cols>
          <w:pgMar w:left="240" w:top="679" w:right="239" w:bottom="1440" w:gutter="0" w:footer="0" w:header="0"/>
        </w:sectPr>
      </w:pPr>
    </w:p>
    <w:bookmarkStart w:id="89" w:name="page90"/>
    <w:bookmarkEnd w:id="89"/>
    <w:p>
      <w:pPr>
        <w:ind w:right="760"/>
        <w:spacing w:after="0" w:line="262" w:lineRule="auto"/>
        <w:rPr>
          <w:sz w:val="20"/>
          <w:szCs w:val="20"/>
          <w:color w:val="auto"/>
        </w:rPr>
      </w:pPr>
      <w:r>
        <w:rPr>
          <w:rFonts w:ascii="Arial" w:cs="Arial" w:eastAsia="Arial" w:hAnsi="Arial"/>
          <w:sz w:val="18"/>
          <w:szCs w:val="18"/>
          <w:color w:val="auto"/>
        </w:rPr>
        <w:t>The cash value of the trust-owned insurance contract is primarily invested in investment-grade publicly traded equity and fixed-income securities.</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than hedge funds, private equity-like investments, and a portion of the real estate holdings, which are discussed above, we determine fair values based on a market approach using quoted market values, significant other observable inputs for identical or comparable assets or liabilities, or discounted cash flow analyses.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2019 by asset category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Fair Value Measurements Using</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40"/>
        </w:trPr>
        <w:tc>
          <w:tcPr>
            <w:tcW w:w="3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34"/>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460" w:type="dxa"/>
            <w:vAlign w:val="bottom"/>
          </w:tcPr>
          <w:p>
            <w:pPr>
              <w:spacing w:after="0"/>
              <w:rPr>
                <w:sz w:val="12"/>
                <w:szCs w:val="12"/>
                <w:color w:val="auto"/>
              </w:rPr>
            </w:pPr>
          </w:p>
        </w:tc>
        <w:tc>
          <w:tcPr>
            <w:tcW w:w="1480" w:type="dxa"/>
            <w:vAlign w:val="bottom"/>
          </w:tcPr>
          <w:p>
            <w:pPr>
              <w:jc w:val="center"/>
              <w:ind w:right="354"/>
              <w:spacing w:after="0" w:line="140"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35"/>
        </w:trPr>
        <w:tc>
          <w:tcPr>
            <w:tcW w:w="3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5"/>
              </w:rPr>
              <w:t>Active Markets for</w:t>
            </w:r>
          </w:p>
        </w:tc>
        <w:tc>
          <w:tcPr>
            <w:tcW w:w="460" w:type="dxa"/>
            <w:vAlign w:val="bottom"/>
          </w:tcPr>
          <w:p>
            <w:pPr>
              <w:spacing w:after="0"/>
              <w:rPr>
                <w:sz w:val="11"/>
                <w:szCs w:val="11"/>
                <w:color w:val="auto"/>
              </w:rPr>
            </w:pPr>
          </w:p>
        </w:tc>
        <w:tc>
          <w:tcPr>
            <w:tcW w:w="1480" w:type="dxa"/>
            <w:vAlign w:val="bottom"/>
          </w:tcPr>
          <w:p>
            <w:pPr>
              <w:jc w:val="right"/>
              <w:ind w:right="554"/>
              <w:spacing w:after="0" w:line="135" w:lineRule="exact"/>
              <w:rPr>
                <w:sz w:val="20"/>
                <w:szCs w:val="20"/>
                <w:color w:val="auto"/>
              </w:rPr>
            </w:pPr>
            <w:r>
              <w:rPr>
                <w:rFonts w:ascii="Arial" w:cs="Arial" w:eastAsia="Arial" w:hAnsi="Arial"/>
                <w:sz w:val="13"/>
                <w:szCs w:val="13"/>
                <w:b w:val="1"/>
                <w:bCs w:val="1"/>
                <w:color w:val="auto"/>
              </w:rPr>
              <w:t>Observable</w:t>
            </w:r>
          </w:p>
        </w:tc>
        <w:tc>
          <w:tcPr>
            <w:tcW w:w="240" w:type="dxa"/>
            <w:vAlign w:val="bottom"/>
          </w:tcPr>
          <w:p>
            <w:pPr>
              <w:spacing w:after="0"/>
              <w:rPr>
                <w:sz w:val="11"/>
                <w:szCs w:val="11"/>
                <w:color w:val="auto"/>
              </w:rPr>
            </w:pPr>
          </w:p>
        </w:tc>
        <w:tc>
          <w:tcPr>
            <w:tcW w:w="1180" w:type="dxa"/>
            <w:vAlign w:val="bottom"/>
          </w:tcPr>
          <w:p>
            <w:pPr>
              <w:jc w:val="center"/>
              <w:ind w:right="172"/>
              <w:spacing w:after="0" w:line="135" w:lineRule="exact"/>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3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460" w:type="dxa"/>
            <w:vAlign w:val="bottom"/>
          </w:tcPr>
          <w:p>
            <w:pPr>
              <w:spacing w:after="0"/>
              <w:rPr>
                <w:sz w:val="11"/>
                <w:szCs w:val="11"/>
                <w:color w:val="auto"/>
              </w:rPr>
            </w:pPr>
          </w:p>
        </w:tc>
        <w:tc>
          <w:tcPr>
            <w:tcW w:w="1480" w:type="dxa"/>
            <w:vAlign w:val="bottom"/>
          </w:tcPr>
          <w:p>
            <w:pPr>
              <w:jc w:val="center"/>
              <w:ind w:right="334"/>
              <w:spacing w:after="0" w:line="135" w:lineRule="exact"/>
              <w:rPr>
                <w:sz w:val="20"/>
                <w:szCs w:val="20"/>
                <w:color w:val="auto"/>
              </w:rPr>
            </w:pPr>
            <w:r>
              <w:rPr>
                <w:rFonts w:ascii="Arial" w:cs="Arial" w:eastAsia="Arial" w:hAnsi="Arial"/>
                <w:sz w:val="13"/>
                <w:szCs w:val="13"/>
                <w:b w:val="1"/>
                <w:bCs w:val="1"/>
                <w:color w:val="auto"/>
                <w:w w:val="97"/>
              </w:rPr>
              <w:t>Inputs</w:t>
            </w:r>
          </w:p>
        </w:tc>
        <w:tc>
          <w:tcPr>
            <w:tcW w:w="14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Investments Valued at</w:t>
            </w:r>
          </w:p>
        </w:tc>
      </w:tr>
      <w:tr>
        <w:trPr>
          <w:trHeight w:val="178"/>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Asset Class</w:t>
            </w: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8"/>
              </w:rPr>
              <w:t>(Level 1)</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54"/>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8"/>
              </w:rPr>
              <w:t>Net Asset Value</w:t>
            </w:r>
            <w:r>
              <w:rPr>
                <w:rFonts w:ascii="Arial" w:cs="Arial" w:eastAsia="Arial" w:hAnsi="Arial"/>
                <w:sz w:val="8"/>
                <w:szCs w:val="8"/>
                <w:b w:val="1"/>
                <w:bCs w:val="1"/>
                <w:color w:val="auto"/>
                <w:w w:val="98"/>
              </w:rPr>
              <w:t>(1)</w:t>
            </w: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spacing w:after="0"/>
              <w:rPr>
                <w:sz w:val="23"/>
                <w:szCs w:val="23"/>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794.2</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532.5</w:t>
            </w:r>
          </w:p>
        </w:tc>
        <w:tc>
          <w:tcPr>
            <w:tcW w:w="460" w:type="dxa"/>
            <w:vAlign w:val="bottom"/>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261.7</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2,439.2</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1,046.8</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1,392.4</w:t>
            </w: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3,661.4</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2,658.9</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997.7</w:t>
            </w:r>
          </w:p>
        </w:tc>
      </w:tr>
      <w:tr>
        <w:trPr>
          <w:trHeight w:val="235"/>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 - repurchase</w:t>
            </w:r>
          </w:p>
        </w:tc>
        <w:tc>
          <w:tcPr>
            <w:tcW w:w="380" w:type="dxa"/>
            <w:vAlign w:val="bottom"/>
            <w:shd w:val="clear" w:color="auto" w:fill="D8D8D8"/>
          </w:tcPr>
          <w:p>
            <w:pPr>
              <w:spacing w:after="0"/>
              <w:rPr>
                <w:sz w:val="20"/>
                <w:szCs w:val="20"/>
                <w:color w:val="auto"/>
              </w:rPr>
            </w:pPr>
          </w:p>
        </w:tc>
        <w:tc>
          <w:tcPr>
            <w:tcW w:w="1400" w:type="dxa"/>
            <w:vAlign w:val="bottom"/>
            <w:shd w:val="clear" w:color="auto" w:fill="D8D8D8"/>
          </w:tcPr>
          <w:p>
            <w:pPr>
              <w:spacing w:after="0"/>
              <w:rPr>
                <w:sz w:val="20"/>
                <w:szCs w:val="20"/>
                <w:color w:val="auto"/>
              </w:rPr>
            </w:pP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460" w:type="dxa"/>
            <w:vAlign w:val="bottom"/>
            <w:shd w:val="clear" w:color="auto" w:fill="D8D8D8"/>
          </w:tcPr>
          <w:p>
            <w:pPr>
              <w:spacing w:after="0"/>
              <w:rPr>
                <w:sz w:val="20"/>
                <w:szCs w:val="20"/>
                <w:color w:val="auto"/>
              </w:rPr>
            </w:pPr>
          </w:p>
        </w:tc>
        <w:tc>
          <w:tcPr>
            <w:tcW w:w="148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118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80" w:type="dxa"/>
            <w:vAlign w:val="bottom"/>
            <w:shd w:val="clear" w:color="auto" w:fill="D8D8D8"/>
          </w:tcPr>
          <w:p>
            <w:pPr>
              <w:spacing w:after="0"/>
              <w:rPr>
                <w:sz w:val="20"/>
                <w:szCs w:val="20"/>
                <w:color w:val="auto"/>
              </w:rPr>
            </w:pPr>
          </w:p>
        </w:tc>
      </w:tr>
      <w:tr>
        <w:trPr>
          <w:trHeight w:val="23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agreements</w:t>
            </w:r>
          </w:p>
        </w:tc>
        <w:tc>
          <w:tcPr>
            <w:tcW w:w="380" w:type="dxa"/>
            <w:vAlign w:val="bottom"/>
            <w:shd w:val="clear" w:color="auto" w:fill="D8D8D8"/>
          </w:tcPr>
          <w:p>
            <w:pPr>
              <w:spacing w:after="0"/>
              <w:rPr>
                <w:sz w:val="20"/>
                <w:szCs w:val="20"/>
                <w:color w:val="auto"/>
              </w:rPr>
            </w:pPr>
          </w:p>
        </w:tc>
        <w:tc>
          <w:tcPr>
            <w:tcW w:w="140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(1,659.1)</w:t>
            </w: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0"/>
                <w:szCs w:val="20"/>
                <w:color w:val="auto"/>
              </w:rPr>
            </w:pPr>
          </w:p>
        </w:tc>
        <w:tc>
          <w:tcPr>
            <w:tcW w:w="1480" w:type="dxa"/>
            <w:vAlign w:val="bottom"/>
            <w:shd w:val="clear" w:color="auto" w:fill="D8D8D8"/>
          </w:tcPr>
          <w:p>
            <w:pPr>
              <w:jc w:val="right"/>
              <w:ind w:right="314"/>
              <w:spacing w:after="0"/>
              <w:rPr>
                <w:sz w:val="20"/>
                <w:szCs w:val="20"/>
                <w:color w:val="auto"/>
              </w:rPr>
            </w:pPr>
            <w:r>
              <w:rPr>
                <w:rFonts w:ascii="Arial" w:cs="Arial" w:eastAsia="Arial" w:hAnsi="Arial"/>
                <w:sz w:val="18"/>
                <w:szCs w:val="18"/>
                <w:color w:val="auto"/>
              </w:rPr>
              <w:t>(1,659.1)</w:t>
            </w:r>
          </w:p>
        </w:tc>
        <w:tc>
          <w:tcPr>
            <w:tcW w:w="24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0"/>
                <w:szCs w:val="20"/>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648.0</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277.4</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348.0</w:t>
            </w: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2,897.9</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2,897.9</w:t>
            </w:r>
          </w:p>
        </w:tc>
      </w:tr>
      <w:tr>
        <w:trPr>
          <w:trHeight w:val="277"/>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2,279.3</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2,262.5</w:t>
            </w: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570.3</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166.2</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404.1</w:t>
            </w: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1,226.8</w:t>
            </w:r>
          </w:p>
        </w:tc>
        <w:tc>
          <w:tcPr>
            <w:tcW w:w="16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62.9</w:t>
            </w:r>
          </w:p>
        </w:tc>
        <w:tc>
          <w:tcPr>
            <w:tcW w:w="460" w:type="dxa"/>
            <w:vAlign w:val="bottom"/>
            <w:tcBorders>
              <w:bottom w:val="single" w:sz="8" w:color="auto"/>
            </w:tcBorders>
            <w:shd w:val="clear" w:color="auto" w:fill="D8D8D8"/>
          </w:tcPr>
          <w:p>
            <w:pPr>
              <w:spacing w:after="0"/>
              <w:rPr>
                <w:sz w:val="24"/>
                <w:szCs w:val="24"/>
                <w:color w:val="auto"/>
              </w:rPr>
            </w:pPr>
          </w:p>
        </w:tc>
        <w:tc>
          <w:tcPr>
            <w:tcW w:w="1480" w:type="dxa"/>
            <w:vAlign w:val="bottom"/>
            <w:tcBorders>
              <w:bottom w:val="single" w:sz="8" w:color="auto"/>
            </w:tcBorders>
            <w:shd w:val="clear" w:color="auto" w:fill="D8D8D8"/>
          </w:tcPr>
          <w:p>
            <w:pPr>
              <w:jc w:val="right"/>
              <w:ind w:right="374"/>
              <w:spacing w:after="0"/>
              <w:rPr>
                <w:sz w:val="20"/>
                <w:szCs w:val="20"/>
                <w:color w:val="auto"/>
              </w:rPr>
            </w:pPr>
            <w:r>
              <w:rPr>
                <w:rFonts w:ascii="Arial" w:cs="Arial" w:eastAsia="Arial" w:hAnsi="Arial"/>
                <w:sz w:val="18"/>
                <w:szCs w:val="18"/>
                <w:color w:val="auto"/>
              </w:rPr>
              <w:t>222.6</w:t>
            </w:r>
          </w:p>
        </w:tc>
        <w:tc>
          <w:tcPr>
            <w:tcW w:w="240" w:type="dxa"/>
            <w:vAlign w:val="bottom"/>
            <w:tcBorders>
              <w:bottom w:val="single" w:sz="8" w:color="auto"/>
            </w:tcBorders>
            <w:shd w:val="clear" w:color="auto" w:fill="D8D8D8"/>
          </w:tcPr>
          <w:p>
            <w:pPr>
              <w:spacing w:after="0"/>
              <w:rPr>
                <w:sz w:val="24"/>
                <w:szCs w:val="24"/>
                <w:color w:val="auto"/>
              </w:rPr>
            </w:pP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auto"/>
            </w:tcBorders>
            <w:shd w:val="clear" w:color="auto" w:fill="D8D8D8"/>
          </w:tcPr>
          <w:p>
            <w:pPr>
              <w:spacing w:after="0"/>
              <w:rPr>
                <w:sz w:val="24"/>
                <w:szCs w:val="24"/>
                <w:color w:val="auto"/>
              </w:rPr>
            </w:pPr>
          </w:p>
        </w:tc>
        <w:tc>
          <w:tcPr>
            <w:tcW w:w="12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934.7</w:t>
            </w:r>
          </w:p>
        </w:tc>
      </w:tr>
      <w:tr>
        <w:trPr>
          <w:trHeight w:val="277"/>
        </w:trPr>
        <w:tc>
          <w:tcPr>
            <w:tcW w:w="33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12,858.0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1,831.7</w:t>
            </w:r>
          </w:p>
        </w:tc>
        <w:tc>
          <w:tcPr>
            <w:tcW w:w="4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1,499.8</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9,499.0</w:t>
            </w:r>
          </w:p>
        </w:tc>
      </w:tr>
      <w:tr>
        <w:trPr>
          <w:trHeight w:val="156"/>
        </w:trPr>
        <w:tc>
          <w:tcPr>
            <w:tcW w:w="332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140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240" w:type="dxa"/>
            <w:vAlign w:val="bottom"/>
            <w:shd w:val="clear" w:color="auto" w:fill="D8D8D8"/>
          </w:tcPr>
          <w:p>
            <w:pPr>
              <w:spacing w:after="0"/>
              <w:rPr>
                <w:sz w:val="13"/>
                <w:szCs w:val="13"/>
                <w:color w:val="auto"/>
              </w:rPr>
            </w:pPr>
          </w:p>
        </w:tc>
        <w:tc>
          <w:tcPr>
            <w:tcW w:w="460" w:type="dxa"/>
            <w:vAlign w:val="bottom"/>
            <w:shd w:val="clear" w:color="auto" w:fill="D8D8D8"/>
          </w:tcPr>
          <w:p>
            <w:pPr>
              <w:spacing w:after="0"/>
              <w:rPr>
                <w:sz w:val="13"/>
                <w:szCs w:val="13"/>
                <w:color w:val="auto"/>
              </w:rPr>
            </w:pPr>
          </w:p>
        </w:tc>
        <w:tc>
          <w:tcPr>
            <w:tcW w:w="1480" w:type="dxa"/>
            <w:vAlign w:val="bottom"/>
            <w:shd w:val="clear" w:color="auto" w:fill="D8D8D8"/>
          </w:tcPr>
          <w:p>
            <w:pPr>
              <w:spacing w:after="0"/>
              <w:rPr>
                <w:sz w:val="13"/>
                <w:szCs w:val="13"/>
                <w:color w:val="auto"/>
              </w:rPr>
            </w:pPr>
          </w:p>
        </w:tc>
        <w:tc>
          <w:tcPr>
            <w:tcW w:w="240" w:type="dxa"/>
            <w:vAlign w:val="bottom"/>
            <w:shd w:val="clear" w:color="auto" w:fill="D8D8D8"/>
          </w:tcPr>
          <w:p>
            <w:pPr>
              <w:spacing w:after="0"/>
              <w:rPr>
                <w:sz w:val="13"/>
                <w:szCs w:val="13"/>
                <w:color w:val="auto"/>
              </w:rPr>
            </w:pPr>
          </w:p>
        </w:tc>
        <w:tc>
          <w:tcPr>
            <w:tcW w:w="118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1280" w:type="dxa"/>
            <w:vAlign w:val="bottom"/>
            <w:shd w:val="clear" w:color="auto" w:fill="D8D8D8"/>
          </w:tcPr>
          <w:p>
            <w:pPr>
              <w:spacing w:after="0"/>
              <w:rPr>
                <w:sz w:val="13"/>
                <w:szCs w:val="13"/>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76.5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52.1</w:t>
            </w:r>
          </w:p>
        </w:tc>
        <w:tc>
          <w:tcPr>
            <w:tcW w:w="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24.4</w:t>
            </w:r>
          </w:p>
        </w:tc>
      </w:tr>
      <w:tr>
        <w:trPr>
          <w:trHeight w:val="277"/>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60.8</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91.8</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26.4</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31.1</w:t>
            </w: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250.8</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250.8</w:t>
            </w:r>
          </w:p>
        </w:tc>
      </w:tr>
      <w:tr>
        <w:trPr>
          <w:trHeight w:val="277"/>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187.4</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185.8</w:t>
            </w: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Cash value of trust owned insurance</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4"/>
        </w:trPr>
        <w:tc>
          <w:tcPr>
            <w:tcW w:w="3320" w:type="dxa"/>
            <w:vAlign w:val="bottom"/>
          </w:tcPr>
          <w:p>
            <w:pPr>
              <w:ind w:left="200"/>
              <w:spacing w:after="0"/>
              <w:rPr>
                <w:sz w:val="20"/>
                <w:szCs w:val="20"/>
                <w:color w:val="auto"/>
              </w:rPr>
            </w:pPr>
            <w:r>
              <w:rPr>
                <w:rFonts w:ascii="Arial" w:cs="Arial" w:eastAsia="Arial" w:hAnsi="Arial"/>
                <w:sz w:val="18"/>
                <w:szCs w:val="18"/>
                <w:color w:val="auto"/>
              </w:rPr>
              <w:t>contract</w:t>
            </w:r>
          </w:p>
        </w:tc>
        <w:tc>
          <w:tcPr>
            <w:tcW w:w="380" w:type="dxa"/>
            <w:vAlign w:val="bottom"/>
          </w:tcPr>
          <w:p>
            <w:pPr>
              <w:spacing w:after="0"/>
              <w:rPr>
                <w:sz w:val="19"/>
                <w:szCs w:val="19"/>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1,832.2</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1,832.2</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16.2</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15.1</w:t>
            </w:r>
          </w:p>
        </w:tc>
      </w:tr>
      <w:tr>
        <w:trPr>
          <w:trHeight w:val="264"/>
        </w:trPr>
        <w:tc>
          <w:tcPr>
            <w:tcW w:w="33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96.2</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76.2</w:t>
            </w:r>
          </w:p>
        </w:tc>
      </w:tr>
      <w:tr>
        <w:trPr>
          <w:trHeight w:val="27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2,768.2</w:t>
            </w:r>
          </w:p>
        </w:tc>
        <w:tc>
          <w:tcPr>
            <w:tcW w:w="1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140.5</w:t>
            </w:r>
          </w:p>
        </w:tc>
        <w:tc>
          <w:tcPr>
            <w:tcW w:w="460" w:type="dxa"/>
            <w:vAlign w:val="bottom"/>
            <w:tcBorders>
              <w:bottom w:val="single" w:sz="8" w:color="auto"/>
            </w:tcBorders>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D8D8D8"/>
          </w:tcPr>
          <w:p>
            <w:pPr>
              <w:jc w:val="right"/>
              <w:ind w:right="374"/>
              <w:spacing w:after="0"/>
              <w:rPr>
                <w:sz w:val="20"/>
                <w:szCs w:val="20"/>
                <w:color w:val="auto"/>
              </w:rPr>
            </w:pPr>
            <w:r>
              <w:rPr>
                <w:rFonts w:ascii="Arial" w:cs="Arial" w:eastAsia="Arial" w:hAnsi="Arial"/>
                <w:sz w:val="18"/>
                <w:szCs w:val="18"/>
                <w:color w:val="auto"/>
              </w:rPr>
              <w:t>1,923.4</w:t>
            </w:r>
          </w:p>
        </w:tc>
        <w:tc>
          <w:tcPr>
            <w:tcW w:w="24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701.6</w:t>
            </w:r>
          </w:p>
        </w:tc>
      </w:tr>
    </w:tbl>
    <w:p>
      <w:pPr>
        <w:spacing w:after="0" w:line="317" w:lineRule="exact"/>
        <w:rPr>
          <w:sz w:val="20"/>
          <w:szCs w:val="20"/>
          <w:color w:val="auto"/>
        </w:rPr>
      </w:pPr>
    </w:p>
    <w:p>
      <w:pPr>
        <w:ind w:left="140" w:hanging="132"/>
        <w:spacing w:after="0"/>
        <w:tabs>
          <w:tab w:leader="none" w:pos="140" w:val="left"/>
        </w:tabs>
        <w:numPr>
          <w:ilvl w:val="0"/>
          <w:numId w:val="60"/>
        </w:numPr>
        <w:rPr>
          <w:rFonts w:ascii="Arial" w:cs="Arial" w:eastAsia="Arial" w:hAnsi="Arial"/>
          <w:sz w:val="16"/>
          <w:szCs w:val="16"/>
          <w:color w:val="auto"/>
          <w:vertAlign w:val="superscript"/>
        </w:rPr>
      </w:pPr>
      <w:r>
        <w:rPr>
          <w:rFonts w:ascii="Arial" w:cs="Arial" w:eastAsia="Arial" w:hAnsi="Arial"/>
          <w:sz w:val="13"/>
          <w:szCs w:val="13"/>
          <w:color w:val="auto"/>
        </w:rPr>
        <w:t>Certain investments that are measured at fair value using the NAV per share (or its equivalent) as a practical expedient have not been classified in the fair value hierarchy.</w:t>
      </w:r>
    </w:p>
    <w:p>
      <w:pPr>
        <w:spacing w:after="0" w:line="9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2019. The activity in the Level 3 investments during the year ended December 31, 2019 was not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w:t>
      </w:r>
    </w:p>
    <w:p>
      <w:pPr>
        <w:sectPr>
          <w:pgSz w:w="11900" w:h="16838" w:orient="portrait"/>
          <w:cols w:equalWidth="0" w:num="1">
            <w:col w:w="11420"/>
          </w:cols>
          <w:pgMar w:left="240" w:top="679"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2018 by asset category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center"/>
              <w:ind w:right="75"/>
              <w:spacing w:after="0"/>
              <w:rPr>
                <w:sz w:val="20"/>
                <w:szCs w:val="20"/>
                <w:color w:val="auto"/>
              </w:rPr>
            </w:pPr>
            <w:r>
              <w:rPr>
                <w:rFonts w:ascii="Arial" w:cs="Arial" w:eastAsia="Arial" w:hAnsi="Arial"/>
                <w:sz w:val="13"/>
                <w:szCs w:val="13"/>
                <w:b w:val="1"/>
                <w:bCs w:val="1"/>
                <w:color w:val="auto"/>
                <w:w w:val="96"/>
              </w:rPr>
              <w:t>Fair Value Measurements Using</w:t>
            </w:r>
          </w:p>
        </w:tc>
        <w:tc>
          <w:tcPr>
            <w:tcW w:w="1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40"/>
        </w:trPr>
        <w:tc>
          <w:tcPr>
            <w:tcW w:w="3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Quoted Prices in Active</w:t>
            </w: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35"/>
        </w:trPr>
        <w:tc>
          <w:tcPr>
            <w:tcW w:w="3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Markets for Identical</w:t>
            </w:r>
          </w:p>
        </w:tc>
        <w:tc>
          <w:tcPr>
            <w:tcW w:w="1780" w:type="dxa"/>
            <w:vAlign w:val="bottom"/>
            <w:gridSpan w:val="2"/>
          </w:tcPr>
          <w:p>
            <w:pPr>
              <w:jc w:val="center"/>
              <w:ind w:left="79"/>
              <w:spacing w:after="0" w:line="135" w:lineRule="exact"/>
              <w:rPr>
                <w:sz w:val="20"/>
                <w:szCs w:val="20"/>
                <w:color w:val="auto"/>
              </w:rPr>
            </w:pPr>
            <w:r>
              <w:rPr>
                <w:rFonts w:ascii="Arial" w:cs="Arial" w:eastAsia="Arial" w:hAnsi="Arial"/>
                <w:sz w:val="13"/>
                <w:szCs w:val="13"/>
                <w:b w:val="1"/>
                <w:bCs w:val="1"/>
                <w:color w:val="auto"/>
                <w:w w:val="97"/>
              </w:rPr>
              <w:t>Significant Observable</w:t>
            </w:r>
          </w:p>
        </w:tc>
        <w:tc>
          <w:tcPr>
            <w:tcW w:w="360" w:type="dxa"/>
            <w:vAlign w:val="bottom"/>
          </w:tcPr>
          <w:p>
            <w:pPr>
              <w:spacing w:after="0"/>
              <w:rPr>
                <w:sz w:val="11"/>
                <w:szCs w:val="11"/>
                <w:color w:val="auto"/>
              </w:rPr>
            </w:pPr>
          </w:p>
        </w:tc>
        <w:tc>
          <w:tcPr>
            <w:tcW w:w="1200" w:type="dxa"/>
            <w:vAlign w:val="bottom"/>
          </w:tcPr>
          <w:p>
            <w:pPr>
              <w:jc w:val="center"/>
              <w:ind w:right="192"/>
              <w:spacing w:after="0" w:line="135" w:lineRule="exact"/>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35"/>
        </w:trPr>
        <w:tc>
          <w:tcPr>
            <w:tcW w:w="3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jc w:val="center"/>
              <w:ind w:right="152"/>
              <w:spacing w:after="0" w:line="135" w:lineRule="exact"/>
              <w:rPr>
                <w:sz w:val="20"/>
                <w:szCs w:val="20"/>
                <w:color w:val="auto"/>
              </w:rPr>
            </w:pPr>
            <w:r>
              <w:rPr>
                <w:rFonts w:ascii="Arial" w:cs="Arial" w:eastAsia="Arial" w:hAnsi="Arial"/>
                <w:sz w:val="13"/>
                <w:szCs w:val="13"/>
                <w:b w:val="1"/>
                <w:bCs w:val="1"/>
                <w:color w:val="auto"/>
                <w:w w:val="98"/>
              </w:rPr>
              <w:t>Assets</w:t>
            </w:r>
          </w:p>
        </w:tc>
        <w:tc>
          <w:tcPr>
            <w:tcW w:w="520" w:type="dxa"/>
            <w:vAlign w:val="bottom"/>
          </w:tcPr>
          <w:p>
            <w:pPr>
              <w:spacing w:after="0"/>
              <w:rPr>
                <w:sz w:val="11"/>
                <w:szCs w:val="11"/>
                <w:color w:val="auto"/>
              </w:rPr>
            </w:pPr>
          </w:p>
        </w:tc>
        <w:tc>
          <w:tcPr>
            <w:tcW w:w="1260" w:type="dxa"/>
            <w:vAlign w:val="bottom"/>
          </w:tcPr>
          <w:p>
            <w:pPr>
              <w:jc w:val="center"/>
              <w:ind w:right="272"/>
              <w:spacing w:after="0" w:line="135" w:lineRule="exact"/>
              <w:rPr>
                <w:sz w:val="20"/>
                <w:szCs w:val="20"/>
                <w:color w:val="auto"/>
              </w:rPr>
            </w:pPr>
            <w:r>
              <w:rPr>
                <w:rFonts w:ascii="Arial" w:cs="Arial" w:eastAsia="Arial" w:hAnsi="Arial"/>
                <w:sz w:val="13"/>
                <w:szCs w:val="13"/>
                <w:b w:val="1"/>
                <w:bCs w:val="1"/>
                <w:color w:val="auto"/>
                <w:w w:val="97"/>
              </w:rPr>
              <w:t>Inputs</w:t>
            </w:r>
          </w:p>
        </w:tc>
        <w:tc>
          <w:tcPr>
            <w:tcW w:w="1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Investments Valued at</w:t>
            </w:r>
          </w:p>
        </w:tc>
      </w:tr>
      <w:tr>
        <w:trPr>
          <w:trHeight w:val="178"/>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Asset Class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8"/>
              </w:rPr>
              <w:t>(Level 1)</w:t>
            </w: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b w:val="1"/>
                <w:bCs w:val="1"/>
                <w:color w:val="auto"/>
                <w:w w:val="94"/>
              </w:rPr>
              <w:t>(Level 2)</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9"/>
              </w:rPr>
              <w:t>Net Asset Value</w:t>
            </w:r>
            <w:r>
              <w:rPr>
                <w:rFonts w:ascii="Arial" w:cs="Arial" w:eastAsia="Arial" w:hAnsi="Arial"/>
                <w:sz w:val="8"/>
                <w:szCs w:val="8"/>
                <w:b w:val="1"/>
                <w:bCs w:val="1"/>
                <w:color w:val="auto"/>
                <w:w w:val="99"/>
              </w:rPr>
              <w:t>(1)</w:t>
            </w:r>
          </w:p>
        </w:tc>
      </w:tr>
      <w:tr>
        <w:trPr>
          <w:trHeight w:val="250"/>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380" w:type="dxa"/>
            <w:vAlign w:val="bottom"/>
            <w:tcBorders>
              <w:bottom w:val="single" w:sz="8" w:color="D8D8D8"/>
            </w:tcBorders>
            <w:shd w:val="clear" w:color="auto" w:fill="D8D8D8"/>
          </w:tcPr>
          <w:p>
            <w:pPr>
              <w:spacing w:after="0"/>
              <w:rPr>
                <w:sz w:val="21"/>
                <w:szCs w:val="21"/>
                <w:color w:val="auto"/>
              </w:rPr>
            </w:pPr>
          </w:p>
        </w:tc>
        <w:tc>
          <w:tcPr>
            <w:tcW w:w="130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6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300" w:type="dxa"/>
            <w:vAlign w:val="bottom"/>
            <w:tcBorders>
              <w:bottom w:val="single" w:sz="8" w:color="D8D8D8"/>
            </w:tcBorders>
            <w:shd w:val="clear" w:color="auto" w:fill="D8D8D8"/>
          </w:tcPr>
          <w:p>
            <w:pPr>
              <w:spacing w:after="0"/>
              <w:rPr>
                <w:sz w:val="21"/>
                <w:szCs w:val="2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617.7</w:t>
            </w:r>
          </w:p>
        </w:tc>
        <w:tc>
          <w:tcPr>
            <w:tcW w:w="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409.1</w:t>
            </w:r>
          </w:p>
        </w:tc>
        <w:tc>
          <w:tcPr>
            <w:tcW w:w="520" w:type="dxa"/>
            <w:vAlign w:val="bottom"/>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208.6</w:t>
            </w: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2,117.8</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828.8</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1,287.2</w:t>
            </w:r>
          </w:p>
        </w:tc>
      </w:tr>
      <w:tr>
        <w:trPr>
          <w:trHeight w:val="25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2,933.4</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2,173.3</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742.9</w:t>
            </w:r>
          </w:p>
        </w:tc>
      </w:tr>
      <w:tr>
        <w:trPr>
          <w:trHeight w:val="235"/>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 - repurchase</w:t>
            </w:r>
          </w:p>
        </w:tc>
        <w:tc>
          <w:tcPr>
            <w:tcW w:w="380" w:type="dxa"/>
            <w:vAlign w:val="bottom"/>
            <w:shd w:val="clear" w:color="auto" w:fill="D8D8D8"/>
          </w:tcPr>
          <w:p>
            <w:pPr>
              <w:spacing w:after="0"/>
              <w:rPr>
                <w:sz w:val="20"/>
                <w:szCs w:val="20"/>
                <w:color w:val="auto"/>
              </w:rPr>
            </w:pPr>
          </w:p>
        </w:tc>
        <w:tc>
          <w:tcPr>
            <w:tcW w:w="130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520" w:type="dxa"/>
            <w:vAlign w:val="bottom"/>
            <w:shd w:val="clear" w:color="auto" w:fill="D8D8D8"/>
          </w:tcPr>
          <w:p>
            <w:pPr>
              <w:spacing w:after="0"/>
              <w:rPr>
                <w:sz w:val="20"/>
                <w:szCs w:val="20"/>
                <w:color w:val="auto"/>
              </w:rPr>
            </w:pPr>
          </w:p>
        </w:tc>
        <w:tc>
          <w:tcPr>
            <w:tcW w:w="1260" w:type="dxa"/>
            <w:vAlign w:val="bottom"/>
            <w:shd w:val="clear" w:color="auto" w:fill="D8D8D8"/>
          </w:tcPr>
          <w:p>
            <w:pPr>
              <w:spacing w:after="0"/>
              <w:rPr>
                <w:sz w:val="20"/>
                <w:szCs w:val="20"/>
                <w:color w:val="auto"/>
              </w:rPr>
            </w:pPr>
          </w:p>
        </w:tc>
        <w:tc>
          <w:tcPr>
            <w:tcW w:w="36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300" w:type="dxa"/>
            <w:vAlign w:val="bottom"/>
            <w:shd w:val="clear" w:color="auto" w:fill="D8D8D8"/>
          </w:tcPr>
          <w:p>
            <w:pPr>
              <w:spacing w:after="0"/>
              <w:rPr>
                <w:sz w:val="20"/>
                <w:szCs w:val="20"/>
                <w:color w:val="auto"/>
              </w:rPr>
            </w:pPr>
          </w:p>
        </w:tc>
      </w:tr>
      <w:tr>
        <w:trPr>
          <w:trHeight w:val="230"/>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agreements</w:t>
            </w:r>
          </w:p>
        </w:tc>
        <w:tc>
          <w:tcPr>
            <w:tcW w:w="380" w:type="dxa"/>
            <w:vAlign w:val="bottom"/>
            <w:shd w:val="clear" w:color="auto" w:fill="D8D8D8"/>
          </w:tcPr>
          <w:p>
            <w:pPr>
              <w:spacing w:after="0"/>
              <w:rPr>
                <w:sz w:val="20"/>
                <w:szCs w:val="20"/>
                <w:color w:val="auto"/>
              </w:rPr>
            </w:pPr>
          </w:p>
        </w:tc>
        <w:tc>
          <w:tcPr>
            <w:tcW w:w="1300" w:type="dxa"/>
            <w:vAlign w:val="bottom"/>
            <w:shd w:val="clear" w:color="auto" w:fill="D8D8D8"/>
          </w:tcPr>
          <w:p>
            <w:pPr>
              <w:jc w:val="right"/>
              <w:ind w:right="191"/>
              <w:spacing w:after="0"/>
              <w:rPr>
                <w:sz w:val="20"/>
                <w:szCs w:val="20"/>
                <w:color w:val="auto"/>
              </w:rPr>
            </w:pPr>
            <w:r>
              <w:rPr>
                <w:rFonts w:ascii="Arial" w:cs="Arial" w:eastAsia="Arial" w:hAnsi="Arial"/>
                <w:sz w:val="18"/>
                <w:szCs w:val="18"/>
                <w:color w:val="auto"/>
              </w:rPr>
              <w:t>(1,225.5)</w:t>
            </w:r>
          </w:p>
        </w:tc>
        <w:tc>
          <w:tcPr>
            <w:tcW w:w="300" w:type="dxa"/>
            <w:vAlign w:val="bottom"/>
            <w:shd w:val="clear" w:color="auto" w:fill="D8D8D8"/>
          </w:tcPr>
          <w:p>
            <w:pPr>
              <w:spacing w:after="0"/>
              <w:rPr>
                <w:sz w:val="20"/>
                <w:szCs w:val="20"/>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0"/>
                <w:szCs w:val="20"/>
                <w:color w:val="auto"/>
              </w:rPr>
            </w:pPr>
          </w:p>
        </w:tc>
        <w:tc>
          <w:tcPr>
            <w:tcW w:w="12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(1,225.5)</w:t>
            </w:r>
          </w:p>
        </w:tc>
        <w:tc>
          <w:tcPr>
            <w:tcW w:w="360" w:type="dxa"/>
            <w:vAlign w:val="bottom"/>
            <w:shd w:val="clear" w:color="auto" w:fill="D8D8D8"/>
          </w:tcPr>
          <w:p>
            <w:pPr>
              <w:spacing w:after="0"/>
              <w:rPr>
                <w:sz w:val="20"/>
                <w:szCs w:val="20"/>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0"/>
                <w:szCs w:val="20"/>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565.2</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255.8</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299.9</w:t>
            </w:r>
          </w:p>
        </w:tc>
      </w:tr>
      <w:tr>
        <w:trPr>
          <w:trHeight w:val="25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2,795.3</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2,795.3</w:t>
            </w:r>
          </w:p>
        </w:tc>
      </w:tr>
      <w:tr>
        <w:trPr>
          <w:trHeight w:val="277"/>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1,893.5</w:t>
            </w:r>
          </w:p>
        </w:tc>
        <w:tc>
          <w:tcPr>
            <w:tcW w:w="300" w:type="dxa"/>
            <w:vAlign w:val="bottom"/>
            <w:shd w:val="clear" w:color="auto" w:fill="D8D8D8"/>
          </w:tcPr>
          <w:p>
            <w:pPr>
              <w:spacing w:after="0"/>
              <w:rPr>
                <w:sz w:val="24"/>
                <w:szCs w:val="24"/>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1,876.7</w:t>
            </w:r>
          </w:p>
        </w:tc>
      </w:tr>
      <w:tr>
        <w:trPr>
          <w:trHeight w:val="263"/>
        </w:trPr>
        <w:tc>
          <w:tcPr>
            <w:tcW w:w="34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505.7</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358.6</w:t>
            </w:r>
          </w:p>
        </w:tc>
      </w:tr>
      <w:tr>
        <w:trPr>
          <w:trHeight w:val="277"/>
        </w:trPr>
        <w:tc>
          <w:tcPr>
            <w:tcW w:w="3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D8D8D8"/>
          </w:tcPr>
          <w:p>
            <w:pPr>
              <w:spacing w:after="0"/>
              <w:rPr>
                <w:sz w:val="24"/>
                <w:szCs w:val="24"/>
                <w:color w:val="auto"/>
              </w:rPr>
            </w:pPr>
          </w:p>
        </w:tc>
        <w:tc>
          <w:tcPr>
            <w:tcW w:w="1300" w:type="dxa"/>
            <w:vAlign w:val="bottom"/>
            <w:tcBorders>
              <w:bottom w:val="single" w:sz="8" w:color="auto"/>
            </w:tcBorders>
            <w:shd w:val="clear" w:color="auto" w:fill="D8D8D8"/>
          </w:tcPr>
          <w:p>
            <w:pPr>
              <w:jc w:val="right"/>
              <w:ind w:right="251"/>
              <w:spacing w:after="0"/>
              <w:rPr>
                <w:sz w:val="20"/>
                <w:szCs w:val="20"/>
                <w:color w:val="auto"/>
              </w:rPr>
            </w:pPr>
            <w:r>
              <w:rPr>
                <w:rFonts w:ascii="Arial" w:cs="Arial" w:eastAsia="Arial" w:hAnsi="Arial"/>
                <w:sz w:val="18"/>
                <w:szCs w:val="18"/>
                <w:color w:val="auto"/>
              </w:rPr>
              <w:t>729.5</w:t>
            </w:r>
          </w:p>
        </w:tc>
        <w:tc>
          <w:tcPr>
            <w:tcW w:w="30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213.0</w:t>
            </w:r>
          </w:p>
        </w:tc>
        <w:tc>
          <w:tcPr>
            <w:tcW w:w="520" w:type="dxa"/>
            <w:vAlign w:val="bottom"/>
            <w:tcBorders>
              <w:bottom w:val="single" w:sz="8" w:color="auto"/>
            </w:tcBorders>
            <w:shd w:val="clear" w:color="auto" w:fill="D8D8D8"/>
          </w:tcPr>
          <w:p>
            <w:pPr>
              <w:spacing w:after="0"/>
              <w:rPr>
                <w:sz w:val="24"/>
                <w:szCs w:val="24"/>
                <w:color w:val="auto"/>
              </w:rPr>
            </w:pPr>
          </w:p>
        </w:tc>
        <w:tc>
          <w:tcPr>
            <w:tcW w:w="1260" w:type="dxa"/>
            <w:vAlign w:val="bottom"/>
            <w:tcBorders>
              <w:bottom w:val="single" w:sz="8" w:color="auto"/>
            </w:tcBorders>
            <w:shd w:val="clear" w:color="auto" w:fill="D8D8D8"/>
          </w:tcPr>
          <w:p>
            <w:pPr>
              <w:jc w:val="right"/>
              <w:ind w:right="152"/>
              <w:spacing w:after="0"/>
              <w:rPr>
                <w:sz w:val="20"/>
                <w:szCs w:val="20"/>
                <w:color w:val="auto"/>
              </w:rPr>
            </w:pPr>
            <w:r>
              <w:rPr>
                <w:rFonts w:ascii="Arial" w:cs="Arial" w:eastAsia="Arial" w:hAnsi="Arial"/>
                <w:sz w:val="18"/>
                <w:szCs w:val="18"/>
                <w:color w:val="auto"/>
              </w:rPr>
              <w:t>83.7</w:t>
            </w:r>
          </w:p>
        </w:tc>
        <w:tc>
          <w:tcPr>
            <w:tcW w:w="360" w:type="dxa"/>
            <w:vAlign w:val="bottom"/>
            <w:tcBorders>
              <w:bottom w:val="single" w:sz="8" w:color="auto"/>
            </w:tcBorders>
            <w:shd w:val="clear" w:color="auto" w:fill="D8D8D8"/>
          </w:tcPr>
          <w:p>
            <w:pPr>
              <w:spacing w:after="0"/>
              <w:rPr>
                <w:sz w:val="24"/>
                <w:szCs w:val="24"/>
                <w:color w:val="auto"/>
              </w:rPr>
            </w:pPr>
          </w:p>
        </w:tc>
        <w:tc>
          <w:tcPr>
            <w:tcW w:w="12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24"/>
                <w:szCs w:val="24"/>
                <w:color w:val="auto"/>
              </w:rPr>
            </w:pPr>
          </w:p>
        </w:tc>
        <w:tc>
          <w:tcPr>
            <w:tcW w:w="13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432.8</w:t>
            </w:r>
          </w:p>
        </w:tc>
      </w:tr>
      <w:tr>
        <w:trPr>
          <w:trHeight w:val="277"/>
        </w:trPr>
        <w:tc>
          <w:tcPr>
            <w:tcW w:w="34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10,932.6</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1,618.6</w:t>
            </w: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1,287.3</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8,002.0</w:t>
            </w:r>
          </w:p>
        </w:tc>
      </w:tr>
      <w:tr>
        <w:trPr>
          <w:trHeight w:val="156"/>
        </w:trPr>
        <w:tc>
          <w:tcPr>
            <w:tcW w:w="342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130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1100" w:type="dxa"/>
            <w:vAlign w:val="bottom"/>
            <w:shd w:val="clear" w:color="auto" w:fill="D8D8D8"/>
          </w:tcPr>
          <w:p>
            <w:pPr>
              <w:spacing w:after="0"/>
              <w:rPr>
                <w:sz w:val="13"/>
                <w:szCs w:val="13"/>
                <w:color w:val="auto"/>
              </w:rPr>
            </w:pPr>
          </w:p>
        </w:tc>
        <w:tc>
          <w:tcPr>
            <w:tcW w:w="520" w:type="dxa"/>
            <w:vAlign w:val="bottom"/>
            <w:shd w:val="clear" w:color="auto" w:fill="D8D8D8"/>
          </w:tcPr>
          <w:p>
            <w:pPr>
              <w:spacing w:after="0"/>
              <w:rPr>
                <w:sz w:val="13"/>
                <w:szCs w:val="13"/>
                <w:color w:val="auto"/>
              </w:rPr>
            </w:pPr>
          </w:p>
        </w:tc>
        <w:tc>
          <w:tcPr>
            <w:tcW w:w="1260" w:type="dxa"/>
            <w:vAlign w:val="bottom"/>
            <w:shd w:val="clear" w:color="auto" w:fill="D8D8D8"/>
          </w:tcPr>
          <w:p>
            <w:pPr>
              <w:spacing w:after="0"/>
              <w:rPr>
                <w:sz w:val="13"/>
                <w:szCs w:val="13"/>
                <w:color w:val="auto"/>
              </w:rPr>
            </w:pPr>
          </w:p>
        </w:tc>
        <w:tc>
          <w:tcPr>
            <w:tcW w:w="360" w:type="dxa"/>
            <w:vAlign w:val="bottom"/>
            <w:shd w:val="clear" w:color="auto" w:fill="D8D8D8"/>
          </w:tcPr>
          <w:p>
            <w:pPr>
              <w:spacing w:after="0"/>
              <w:rPr>
                <w:sz w:val="13"/>
                <w:szCs w:val="13"/>
                <w:color w:val="auto"/>
              </w:rPr>
            </w:pPr>
          </w:p>
        </w:tc>
        <w:tc>
          <w:tcPr>
            <w:tcW w:w="120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1300" w:type="dxa"/>
            <w:vAlign w:val="bottom"/>
            <w:shd w:val="clear" w:color="auto" w:fill="D8D8D8"/>
          </w:tcPr>
          <w:p>
            <w:pPr>
              <w:spacing w:after="0"/>
              <w:rPr>
                <w:sz w:val="13"/>
                <w:szCs w:val="13"/>
                <w:color w:val="auto"/>
              </w:rPr>
            </w:pPr>
          </w:p>
        </w:tc>
      </w:tr>
      <w:tr>
        <w:trPr>
          <w:trHeight w:val="263"/>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59.9</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c>
          <w:tcPr>
            <w:tcW w:w="5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7"/>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127.0</w:t>
            </w:r>
          </w:p>
        </w:tc>
        <w:tc>
          <w:tcPr>
            <w:tcW w:w="300" w:type="dxa"/>
            <w:vAlign w:val="bottom"/>
            <w:shd w:val="clear" w:color="auto" w:fill="D8D8D8"/>
          </w:tcPr>
          <w:p>
            <w:pPr>
              <w:spacing w:after="0"/>
              <w:rPr>
                <w:sz w:val="24"/>
                <w:szCs w:val="24"/>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50.5</w:t>
            </w:r>
          </w:p>
        </w:tc>
        <w:tc>
          <w:tcPr>
            <w:tcW w:w="5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0.2</w:t>
            </w:r>
          </w:p>
        </w:tc>
        <w:tc>
          <w:tcPr>
            <w:tcW w:w="2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76.3</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69.1</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61.5</w:t>
            </w:r>
          </w:p>
        </w:tc>
        <w:tc>
          <w:tcPr>
            <w:tcW w:w="36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7.6</w:t>
            </w: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25.5</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27.4</w:t>
            </w:r>
          </w:p>
        </w:tc>
      </w:tr>
      <w:tr>
        <w:trPr>
          <w:trHeight w:val="25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245.8</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245.8</w:t>
            </w:r>
          </w:p>
        </w:tc>
      </w:tr>
      <w:tr>
        <w:trPr>
          <w:trHeight w:val="277"/>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169.2</w:t>
            </w:r>
          </w:p>
        </w:tc>
        <w:tc>
          <w:tcPr>
            <w:tcW w:w="300" w:type="dxa"/>
            <w:vAlign w:val="bottom"/>
            <w:shd w:val="clear" w:color="auto" w:fill="D8D8D8"/>
          </w:tcPr>
          <w:p>
            <w:pPr>
              <w:spacing w:after="0"/>
              <w:rPr>
                <w:sz w:val="24"/>
                <w:szCs w:val="24"/>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w:t>
            </w:r>
          </w:p>
        </w:tc>
        <w:tc>
          <w:tcPr>
            <w:tcW w:w="2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167.5</w:t>
            </w: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Cash value of trust owned insurance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3420" w:type="dxa"/>
            <w:vAlign w:val="bottom"/>
          </w:tcPr>
          <w:p>
            <w:pPr>
              <w:ind w:left="40"/>
              <w:spacing w:after="0"/>
              <w:rPr>
                <w:sz w:val="20"/>
                <w:szCs w:val="20"/>
                <w:color w:val="auto"/>
              </w:rPr>
            </w:pPr>
            <w:r>
              <w:rPr>
                <w:rFonts w:ascii="Arial" w:cs="Arial" w:eastAsia="Arial" w:hAnsi="Arial"/>
                <w:sz w:val="18"/>
                <w:szCs w:val="18"/>
                <w:color w:val="auto"/>
              </w:rPr>
              <w:t>contract</w:t>
            </w:r>
          </w:p>
        </w:tc>
        <w:tc>
          <w:tcPr>
            <w:tcW w:w="380" w:type="dxa"/>
            <w:vAlign w:val="bottom"/>
          </w:tcPr>
          <w:p>
            <w:pPr>
              <w:spacing w:after="0"/>
              <w:rPr>
                <w:sz w:val="19"/>
                <w:szCs w:val="19"/>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1,574.7</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1,574.7</w:t>
            </w:r>
          </w:p>
        </w:tc>
        <w:tc>
          <w:tcPr>
            <w:tcW w:w="3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3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D8D8D8"/>
          </w:tcPr>
          <w:p>
            <w:pPr>
              <w:spacing w:after="0"/>
              <w:rPr>
                <w:sz w:val="24"/>
                <w:szCs w:val="24"/>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14.7</w:t>
            </w:r>
          </w:p>
        </w:tc>
        <w:tc>
          <w:tcPr>
            <w:tcW w:w="5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13.0</w:t>
            </w:r>
          </w:p>
        </w:tc>
      </w:tr>
      <w:tr>
        <w:trPr>
          <w:trHeight w:val="264"/>
        </w:trPr>
        <w:tc>
          <w:tcPr>
            <w:tcW w:w="34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71.2</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5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36.9</w:t>
            </w:r>
          </w:p>
        </w:tc>
      </w:tr>
      <w:tr>
        <w:trPr>
          <w:trHeight w:val="27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8D8D8"/>
          </w:tcPr>
          <w:p>
            <w:pPr>
              <w:jc w:val="right"/>
              <w:ind w:right="251"/>
              <w:spacing w:after="0"/>
              <w:rPr>
                <w:sz w:val="20"/>
                <w:szCs w:val="20"/>
                <w:color w:val="auto"/>
              </w:rPr>
            </w:pPr>
            <w:r>
              <w:rPr>
                <w:rFonts w:ascii="Arial" w:cs="Arial" w:eastAsia="Arial" w:hAnsi="Arial"/>
                <w:sz w:val="18"/>
                <w:szCs w:val="18"/>
                <w:color w:val="auto"/>
              </w:rPr>
              <w:t>2,398.1</w:t>
            </w:r>
          </w:p>
        </w:tc>
        <w:tc>
          <w:tcPr>
            <w:tcW w:w="3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144.3</w:t>
            </w:r>
          </w:p>
        </w:tc>
        <w:tc>
          <w:tcPr>
            <w:tcW w:w="520" w:type="dxa"/>
            <w:vAlign w:val="bottom"/>
            <w:tcBorders>
              <w:bottom w:val="single" w:sz="8" w:color="auto"/>
            </w:tcBorders>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8D8D8"/>
          </w:tcPr>
          <w:p>
            <w:pPr>
              <w:jc w:val="right"/>
              <w:ind w:right="152"/>
              <w:spacing w:after="0"/>
              <w:rPr>
                <w:sz w:val="20"/>
                <w:szCs w:val="20"/>
                <w:color w:val="auto"/>
              </w:rPr>
            </w:pPr>
            <w:r>
              <w:rPr>
                <w:rFonts w:ascii="Arial" w:cs="Arial" w:eastAsia="Arial" w:hAnsi="Arial"/>
                <w:sz w:val="18"/>
                <w:szCs w:val="18"/>
                <w:color w:val="auto"/>
              </w:rPr>
              <w:t>1,657.9</w:t>
            </w:r>
          </w:p>
        </w:tc>
        <w:tc>
          <w:tcPr>
            <w:tcW w:w="36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593.4</w:t>
            </w:r>
          </w:p>
        </w:tc>
      </w:tr>
    </w:tbl>
    <w:p>
      <w:pPr>
        <w:spacing w:after="0" w:line="317" w:lineRule="exact"/>
        <w:rPr>
          <w:sz w:val="20"/>
          <w:szCs w:val="20"/>
          <w:color w:val="auto"/>
        </w:rPr>
      </w:pPr>
    </w:p>
    <w:p>
      <w:pPr>
        <w:ind w:left="140" w:hanging="132"/>
        <w:spacing w:after="0"/>
        <w:tabs>
          <w:tab w:leader="none" w:pos="14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Certain investments that are measured at fair value using the NAV per share (or its equivalent) as a practical expedient have not been classified in the fair value hierarchy.</w:t>
      </w:r>
    </w:p>
    <w:p>
      <w:pPr>
        <w:spacing w:after="0" w:line="9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2018. The activity in the Level 3 investments during the year ended December 31, 2018 was not material.</w:t>
      </w:r>
    </w:p>
    <w:p>
      <w:pPr>
        <w:spacing w:after="0" w:line="8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2020, we expect to contribute approximately $40 million to our defined benefit pension plans to satisfy minimum funding requirements for the year. Additional discretionary contributions are not expected to be significant.</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91</w:t>
      </w:r>
    </w:p>
    <w:p>
      <w:pPr>
        <w:sectPr>
          <w:pgSz w:w="11900" w:h="16838" w:orient="portrait"/>
          <w:cols w:equalWidth="0" w:num="1">
            <w:col w:w="11420"/>
          </w:cols>
          <w:pgMar w:left="240" w:top="679"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CC0000"/>
        </w:rPr>
        <w:t>Note 16: Contingencies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20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Patent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24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number of manufacturers are seeking approvals in the U.S., a number of countries in Europe, and Japan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in the U.S. could have a material adverse impact on our future consolidated results of operations, liquidity, and financial position. We expect that a loss of exclusivity for Alimta in any of the below jurisdictions would result in a rapid and severe decline in future revenue for the product in the relevant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Patent Litigation and Administrative Proceedings</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filed a lawsuit in the U.S. District Court for the District of Delaware against Eagle Pharmaceuticals, Inc. (Eagle) in response to its application to market a product using an alternative form of pemetrexed (the active ingredient in Alimta). In December 2019, we and Eagle reached an agreement to settle all pending litigation, allowing Eagle a limited initial entry into the market with its product starting February 2022 (up to an approximate three-week supply) and subsequent unlimited entry starting April 2022. Alimta is protected by a vitamin regimen patent (2021) plus pediatric exclusivity through May 2022.</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June 2018, the U.S. District Court for the Southern District of Indiana ruled in our favor in two similar cases, finding Dr. Reddy's Laboratories' (Dr. Reddy) and Hospira, Inc.'s (Hospira) proposed products would infringe our method of use patent under the doctrine of equivalents. The district court also ruled that the use of Hospira’s proposed product would literally infringe our method of use patent. In August 2019, the U.S. Court of Appeals for the Federal Circuit affirmed the district court’s ruling that the use of Dr. Reddy’s and Hospira’s proposed products would infringe our patent under the doctrine of equivalents but reversed the finding of literal infringement with respect to Hospira’s product. In November 2019, the court denied Dr. Reddy and Hospira’s petition for rehearing of the court’s doctrine of equivalents ruling. Dr. Reddy and Hospira have petitioned the U.S. Supreme Court to review the case.</w:t>
      </w:r>
    </w:p>
    <w:p>
      <w:pPr>
        <w:spacing w:after="0" w:line="2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have lawsuits pending alleging infringement against Actavis LLC (Actavis) and Apotex Inc. (Apotex) in response to their applications to market products using alternative forms of pemetrexed. In December 2019, the U.S. District Court for the Southern District of Indiana granted our motion for summary judgment of infringement under the doctrine of equivalents and denied Apotex’s motion. Apotex has appealed. The lawsuit against Actavis has been stayed, pending the conclusion of the Dr. Reddy and Hospira appeals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European Patent Litigation</w:t>
      </w:r>
    </w:p>
    <w:p>
      <w:pPr>
        <w:spacing w:after="0" w:line="24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Legal proceedings are ongoing in various national courts throughout Europe. We are aware that several companies have received approval to market generic versions of pemetrexed in major European markets (including generics currently on the market at risk in France, Germany, and the Netherlands) and that additional generic competitors may choose to launch at risk. We will continue to seek to remove any generic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92</w:t>
      </w:r>
    </w:p>
    <w:p>
      <w:pPr>
        <w:sectPr>
          <w:pgSz w:w="11900" w:h="16838" w:orient="portrait"/>
          <w:cols w:equalWidth="0" w:num="1">
            <w:col w:w="11420"/>
          </w:cols>
          <w:pgMar w:left="240" w:top="549" w:right="239" w:bottom="1440" w:gutter="0" w:footer="0" w:header="0"/>
        </w:sectPr>
      </w:pPr>
    </w:p>
    <w:bookmarkStart w:id="92" w:name="page93"/>
    <w:bookmarkEnd w:id="92"/>
    <w:p>
      <w:pPr>
        <w:ind w:right="140"/>
        <w:spacing w:after="0" w:line="262" w:lineRule="auto"/>
        <w:rPr>
          <w:sz w:val="20"/>
          <w:szCs w:val="20"/>
          <w:color w:val="auto"/>
        </w:rPr>
      </w:pPr>
      <w:r>
        <w:rPr>
          <w:rFonts w:ascii="Arial" w:cs="Arial" w:eastAsia="Arial" w:hAnsi="Arial"/>
          <w:sz w:val="18"/>
          <w:szCs w:val="18"/>
          <w:color w:val="auto"/>
        </w:rPr>
        <w:t>pemetrexed products launched at risk in European markets and seek damages with respect to such launches, and defend our patents against validity challenges.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Japanese Administrative Proceedings</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Three separate sets of demands for invalidation of our two Japanese vitamin regimen patents, involving several companies, have been filed with the Japanese Patent Office (JPO). The JPO rejected a demand for invalidation by Sawai Pharmaceutical Co., Ltd., which was affirmed on appeal in 2017. In July 2018, the JPO issued written decisions dismissing demands brought by Nipro Corporation (Nipro) for invalidation of our two Japanese vitamin regimen patents. In November 2019, the IP High Court in Tokyo affirmed the dismissal of Nipro’s demand for invalidation. The JPO scheduled a hearing in March 2020 concerning the demands brought by Hospira. If upheld through all challenges, these patents would provide intellectual property protection for Alimta until June 2021. Notwithstanding our patents, generic versions of Alimta received regulatory approval in Japan starting in February 2016. We do not currently anticipate that generic versions of Alimta will proceed to pricing approval.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Jardiance Patent Litigation</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Boehringer Ingelheim, our partner in marketing and development of Jardiance, initiated U.S. patent litigation in the U.S. District Court of Delaware involving Jardiance, Glyxambi, and Synjardy in accordance with the procedures set out in the Drug Price Competition and Patent Term Restoration Act of 1984 (the Hatch-Waxman Act). Several companies submitted Abbreviated New Drug Applications seeking approval to market generic versions of Jardiance prior to the expiration of the relevant patents, alleging certain patents, including in some allegations the compound patent, are invalid or would not be infringed. Trial is scheduled in April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Taltz Patent Litigation</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been named as a defendant in litigation filed by Genentech, Inc. in the U.S. District Court for the Southern District of California seeking a ruling that Genentech’s patent would be infringed by our continued sales of Taltz. Separately, the U.S. Patent and Trademark Office (USPTO) has granted our request to initiate a post grant review (PGR) to examine the validity of Genentech’s patent asserted against us in the litigation. We expect USPTO’s decision on the merits in the fourth quarter of 2020. The litigation in the U.S. District Court for the Southern District of California has been stayed pending the outcome of the PGR. We have also been named as defendant in litigation filed by Genentech in Germany asserting infringement of a related Genentech patent and seeking a similar ruling of patent infringement by sales of Taltz in Germany. We expect a trial to assess Genentech's infringement claims could take place in late 2020 or early 2021. We have ongoing litigation in the U.K. in which Genentech has asserted similar claims regarding Genentech’s corresponding U.K. patent. We believe all of these lawsuits are without merit and we are vigorously defending against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Emgality Patent Litigation</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We have been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We believe this lawsuit is without merit and are defending against it vigorously. Separately, the USPTO granted our request to initiate an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to reexamine the validity of the nine Teva patents asserted against us in the litigation. In February 2020, the USPTO ruled in our favor and found that all claims asserted against us in six of Teva's nine patents were invalid. We expect the USPTO to issue a decision on the remaining three Teva patents in the second quarter of 2020. The litigation in the U.S. District Court for the District of Massachusetts has been stayed pending the outcome of the USPTO's decision on all nine of Teva's patents.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 Liability 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 Product Liability Litigation</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involving Cymbalta. The plaintiffs, purporting to represent a class of persons who purchased and/or</w:t>
      </w:r>
      <w:r>
        <w:rPr>
          <w:rFonts w:ascii="Arial" w:cs="Arial" w:eastAsia="Arial" w:hAnsi="Arial"/>
          <w:sz w:val="18"/>
          <w:szCs w:val="18"/>
          <w:i w:val="1"/>
          <w:iCs w:val="1"/>
          <w:color w:val="auto"/>
        </w:rPr>
        <w:t xml:space="preserve"> </w:t>
      </w:r>
      <w:r>
        <w:rPr>
          <w:rFonts w:ascii="Arial" w:cs="Arial" w:eastAsia="Arial" w:hAnsi="Arial"/>
          <w:sz w:val="18"/>
          <w:szCs w:val="18"/>
          <w:color w:val="auto"/>
        </w:rPr>
        <w:t>paid for Cymbalta, asserted claims under the consumer protection statutes of California, Massachusetts, Missouri, and New York, and sought declaratory, injunctive, and monetary relief for various alleged economic injuries arising from their purchases.</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93</w:t>
      </w:r>
    </w:p>
    <w:p>
      <w:pPr>
        <w:sectPr>
          <w:pgSz w:w="11900" w:h="16838" w:orient="portrait"/>
          <w:cols w:equalWidth="0" w:num="1">
            <w:col w:w="11420"/>
          </w:cols>
          <w:pgMar w:left="240" w:top="679" w:right="239" w:bottom="1440" w:gutter="0" w:footer="0" w:header="0"/>
        </w:sectPr>
      </w:pPr>
    </w:p>
    <w:bookmarkStart w:id="93" w:name="page94"/>
    <w:bookmarkEnd w:id="93"/>
    <w:p>
      <w:pPr>
        <w:ind w:right="20"/>
        <w:spacing w:after="0" w:line="253" w:lineRule="auto"/>
        <w:rPr>
          <w:sz w:val="20"/>
          <w:szCs w:val="20"/>
          <w:color w:val="auto"/>
        </w:rPr>
      </w:pPr>
      <w:r>
        <w:rPr>
          <w:rFonts w:ascii="Arial" w:cs="Arial" w:eastAsia="Arial" w:hAnsi="Arial"/>
          <w:sz w:val="18"/>
          <w:szCs w:val="18"/>
          <w:color w:val="auto"/>
        </w:rPr>
        <w:t>After the district court denied the plaintiffs' motions for class certification, plaintiffs voluntarily dismissed their claims. The plaintiffs subsequently appealed to the U.S. Court of Appeals for the Ninth Circuit. In November 2017, the U.S. Court of Appeals for the Ninth Circuit dismissed the appeal for lack of jurisdiction. In July 2018, the U.S. District Court for the Central District of California denied the plaintiffs’ motion to reopen the case. The plaintiffs appealed this denial to the U.S. Court of Appeals for the Ninth Circuit and in January 2020, the Ninth Circuit affirmed the district court’s decision. The plaintiffs have filed a petition for rehearing before the Ninth Circuit.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Litigation – Cosmopolis Facility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Labor Attorney Litigation</w:t>
      </w:r>
    </w:p>
    <w:p>
      <w:pPr>
        <w:spacing w:after="0" w:line="24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health coverage for the employees and contractors who worked at the Cosmopolis facility more than six months during the affected years and their children born during and after this period. We appealed this decision. In July 2018, the appeals court affirmed the labor court's ruling with the total financial impact of the ruling estimated to be approximately 500 million Brazilian real (approximately $125 million as of December 31, 2019). The appeals court restricted the broad health coverage awarded by the labor court to health problems that claimants could show arose from exposure to the alleged contamination. In August 2019, Lilly Brasil filed an appeal to the superior labor court. In September 2019, the appeals court stayed a number of elements of its prior decision, including the obligation to provide health coverage for contractors, their children, and children of employees who worked at the Cosmopolis facility, pending the determination of Lilly Brasil’s appeal to the superior labor court.</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of 500 million Brazilian real (approximately $125 million as of December 31, 2019). Lilly Brasil filed a writ of mandamus challenging this ruling, but the court has stayed its decision on this writ and instead directed the parties to attend conciliation hearings, a process which is ongoing. The labor court also stayed the Labor Attorney’s application to enforce the previous healthcare coverage ruling until after the appeals court ruled on the various motions pending before it. If the conciliation hearings are unsuccessful, once concluded, we intend to file a motion to strike the Labor Attorney’s application to enforce the previous healthcare coverage given the appeals court’s stay in September 2019 of a number of elements of its prior decision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Individual Former Employee Litigation</w:t>
      </w:r>
    </w:p>
    <w:p>
      <w:pPr>
        <w:spacing w:after="0" w:line="2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defending against them vigorously.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94</w:t>
      </w:r>
    </w:p>
    <w:p>
      <w:pPr>
        <w:sectPr>
          <w:pgSz w:w="11900" w:h="16838" w:orient="portrait"/>
          <w:cols w:equalWidth="0" w:num="1">
            <w:col w:w="11380"/>
          </w:cols>
          <w:pgMar w:left="240" w:top="571"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Pricing Litigation, Investigations, and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Litigation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along with Sanofi and Novo Nordisk, are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Plaintiffs seek damages under various state consumer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laws and the Federal Racketeer Influenced and Corrupt Organization Act (federal RICO Act). Separately, we, along with Sanofi and Novo Nordisk, are named as defendants in </w:t>
      </w:r>
      <w:r>
        <w:rPr>
          <w:rFonts w:ascii="Arial" w:cs="Arial" w:eastAsia="Arial" w:hAnsi="Arial"/>
          <w:sz w:val="18"/>
          <w:szCs w:val="18"/>
          <w:i w:val="1"/>
          <w:iCs w:val="1"/>
          <w:color w:val="auto"/>
        </w:rPr>
        <w:t>MSP Recovery Claims, Series, LLC et al. v. Sanofi Aventis U.S. LLC et al.</w:t>
      </w:r>
      <w:r>
        <w:rPr>
          <w:rFonts w:ascii="Arial" w:cs="Arial" w:eastAsia="Arial" w:hAnsi="Arial"/>
          <w:sz w:val="18"/>
          <w:szCs w:val="18"/>
          <w:color w:val="auto"/>
        </w:rPr>
        <w:t xml:space="preserve">, in the same court, seeking damages under various state consumer protection laws, common law fraud, unjust enrichment, and the federal RICO Act. Also, in the same court, we, along with Sanofi and Novo Nordisk, had been named as defendants in a purported class action lawsuit, </w:t>
      </w:r>
      <w:r>
        <w:rPr>
          <w:rFonts w:ascii="Arial" w:cs="Arial" w:eastAsia="Arial" w:hAnsi="Arial"/>
          <w:sz w:val="18"/>
          <w:szCs w:val="18"/>
          <w:i w:val="1"/>
          <w:iCs w:val="1"/>
          <w:color w:val="auto"/>
        </w:rPr>
        <w:t>Prof’l Drug Co., Inc. &amp; FWK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Holdings, LLC v. Novo Nordisk Inc. et al., </w:t>
      </w:r>
      <w:r>
        <w:rPr>
          <w:rFonts w:ascii="Arial" w:cs="Arial" w:eastAsia="Arial" w:hAnsi="Arial"/>
          <w:sz w:val="18"/>
          <w:szCs w:val="18"/>
          <w:color w:val="auto"/>
        </w:rPr>
        <w:t>seeking damages under the federal and New Jersey RICO Acts. Plaintiffs in that matter voluntarily</w:t>
      </w:r>
      <w:r>
        <w:rPr>
          <w:rFonts w:ascii="Arial" w:cs="Arial" w:eastAsia="Arial" w:hAnsi="Arial"/>
          <w:sz w:val="18"/>
          <w:szCs w:val="18"/>
          <w:i w:val="1"/>
          <w:iCs w:val="1"/>
          <w:color w:val="auto"/>
        </w:rPr>
        <w:t xml:space="preserve"> </w:t>
      </w:r>
      <w:r>
        <w:rPr>
          <w:rFonts w:ascii="Arial" w:cs="Arial" w:eastAsia="Arial" w:hAnsi="Arial"/>
          <w:sz w:val="18"/>
          <w:szCs w:val="18"/>
          <w:color w:val="auto"/>
        </w:rPr>
        <w:t>dismissed their lawsuit in January 2020.</w:t>
      </w:r>
    </w:p>
    <w:p>
      <w:pPr>
        <w:spacing w:after="0" w:line="20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Minnesota Attorney General’s Office filed a complaint against us, Sanofi, and Novo Nordisk, State of Minnesota v. Sanofi-Aventis U.S. LLC et al., in the U.S. District Court of New Jersey, alleging unjust enrichment, and violations of various Minnesota state consumer protection laws and the federal RICO Act. Additionally, the Kentucky Attorney General’s Office filed a complaint against us, Sanofi, and Novo</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Nordisk, Commonwealth of Kentucky v. Novo Nordisk, Inc. et al., in Kentucky state court, alleging violations of the Kentucky consumer protection law, false advertising, and unjust enrichment. Harris County in Texas filed a complaint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 Southern District of Texas, alleging violations of the federal RICO Act and RICO conspiracy, federal and state anti-trust law, and the state deceptive trade practices-consumer protection act. Harris County also alleges common law claims such as, fraud, unjust enrichment, and civil conspiracy. This lawsuit relates to our insulins as well as Trulicity.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claims are without merit and are defending against them vigorously.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Investigations, Subpoenas, and Inquiries</w:t>
      </w:r>
    </w:p>
    <w:p>
      <w:pPr>
        <w:spacing w:after="0" w:line="1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received a subpoena from the New York Attorney General’s Office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from the California Attorney General's Office regarding our competition in the long-acting insulin market. We received two requests from the House of Representatives’ Committee on Energy and Commerce and a request from the Senate’s Committee on Health, Education, Labor, and Pensions, seeking certain information related to the pricing of insulin products, among other issues. We also received requests from the House of Representatives’ Committee on Oversight and Reform and the Senate’s Committee on Finance, which seek detailed commercial information and business records. We are cooperating with all of these aforementioned requests and investigations.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95</w:t>
      </w:r>
    </w:p>
    <w:p>
      <w:pPr>
        <w:sectPr>
          <w:pgSz w:w="11900" w:h="16838" w:orient="portrait"/>
          <w:cols w:equalWidth="0" w:num="1">
            <w:col w:w="11420"/>
          </w:cols>
          <w:pgMar w:left="240" w:top="711"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CC0000"/>
        </w:rPr>
        <w:t>Note 17: 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3"/>
                <w:szCs w:val="13"/>
                <w:b w:val="1"/>
                <w:bCs w:val="1"/>
                <w:color w:val="auto"/>
              </w:rPr>
              <w:t>Continuing Operations</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54"/>
              <w:spacing w:after="0" w:line="140" w:lineRule="exact"/>
              <w:rPr>
                <w:sz w:val="20"/>
                <w:szCs w:val="20"/>
                <w:color w:val="auto"/>
              </w:rPr>
            </w:pPr>
            <w:r>
              <w:rPr>
                <w:rFonts w:ascii="Arial" w:cs="Arial" w:eastAsia="Arial" w:hAnsi="Arial"/>
                <w:sz w:val="13"/>
                <w:szCs w:val="13"/>
                <w:b w:val="1"/>
                <w:bCs w:val="1"/>
                <w:color w:val="auto"/>
                <w:w w:val="97"/>
              </w:rPr>
              <w:t>Foreign Currency</w:t>
            </w:r>
          </w:p>
        </w:tc>
        <w:tc>
          <w:tcPr>
            <w:tcW w:w="280" w:type="dxa"/>
            <w:vAlign w:val="bottom"/>
          </w:tcPr>
          <w:p>
            <w:pPr>
              <w:spacing w:after="0"/>
              <w:rPr>
                <w:sz w:val="12"/>
                <w:szCs w:val="12"/>
                <w:color w:val="auto"/>
              </w:rPr>
            </w:pPr>
          </w:p>
        </w:tc>
        <w:tc>
          <w:tcPr>
            <w:tcW w:w="1060" w:type="dxa"/>
            <w:vAlign w:val="bottom"/>
          </w:tcPr>
          <w:p>
            <w:pPr>
              <w:jc w:val="center"/>
              <w:ind w:right="56"/>
              <w:spacing w:after="0" w:line="140" w:lineRule="exact"/>
              <w:rPr>
                <w:sz w:val="20"/>
                <w:szCs w:val="20"/>
                <w:color w:val="auto"/>
              </w:rPr>
            </w:pPr>
            <w:r>
              <w:rPr>
                <w:rFonts w:ascii="Arial" w:cs="Arial" w:eastAsia="Arial" w:hAnsi="Arial"/>
                <w:sz w:val="13"/>
                <w:szCs w:val="13"/>
                <w:b w:val="1"/>
                <w:bCs w:val="1"/>
                <w:color w:val="auto"/>
                <w:w w:val="97"/>
              </w:rPr>
              <w:t>Unrealized Net</w:t>
            </w:r>
          </w:p>
        </w:tc>
        <w:tc>
          <w:tcPr>
            <w:tcW w:w="1700" w:type="dxa"/>
            <w:vAlign w:val="bottom"/>
            <w:gridSpan w:val="2"/>
          </w:tcPr>
          <w:p>
            <w:pPr>
              <w:ind w:left="160"/>
              <w:spacing w:after="0" w:line="140" w:lineRule="exact"/>
              <w:rPr>
                <w:sz w:val="20"/>
                <w:szCs w:val="20"/>
                <w:color w:val="auto"/>
              </w:rPr>
            </w:pPr>
            <w:r>
              <w:rPr>
                <w:rFonts w:ascii="Arial" w:cs="Arial" w:eastAsia="Arial" w:hAnsi="Arial"/>
                <w:sz w:val="13"/>
                <w:szCs w:val="13"/>
                <w:b w:val="1"/>
                <w:bCs w:val="1"/>
                <w:color w:val="auto"/>
              </w:rPr>
              <w:t>Defined Benefit Pension</w:t>
            </w:r>
          </w:p>
        </w:tc>
        <w:tc>
          <w:tcPr>
            <w:tcW w:w="124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Effective Portion</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4"/>
              </w:rPr>
              <w:t>Translation</w:t>
            </w:r>
          </w:p>
        </w:tc>
        <w:tc>
          <w:tcPr>
            <w:tcW w:w="280" w:type="dxa"/>
            <w:vAlign w:val="bottom"/>
          </w:tcPr>
          <w:p>
            <w:pPr>
              <w:spacing w:after="0"/>
              <w:rPr>
                <w:sz w:val="11"/>
                <w:szCs w:val="11"/>
                <w:color w:val="auto"/>
              </w:rPr>
            </w:pPr>
          </w:p>
        </w:tc>
        <w:tc>
          <w:tcPr>
            <w:tcW w:w="106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300" w:type="dxa"/>
            <w:vAlign w:val="bottom"/>
          </w:tcPr>
          <w:p>
            <w:pPr>
              <w:spacing w:after="0"/>
              <w:rPr>
                <w:sz w:val="11"/>
                <w:szCs w:val="11"/>
                <w:color w:val="auto"/>
              </w:rPr>
            </w:pPr>
          </w:p>
        </w:tc>
        <w:tc>
          <w:tcPr>
            <w:tcW w:w="140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auto"/>
                <w:w w:val="98"/>
              </w:rPr>
              <w:t>and Retiree Health</w:t>
            </w:r>
          </w:p>
        </w:tc>
        <w:tc>
          <w:tcPr>
            <w:tcW w:w="220" w:type="dxa"/>
            <w:vAlign w:val="bottom"/>
          </w:tcPr>
          <w:p>
            <w:pPr>
              <w:spacing w:after="0"/>
              <w:rPr>
                <w:sz w:val="11"/>
                <w:szCs w:val="11"/>
                <w:color w:val="auto"/>
              </w:rPr>
            </w:pPr>
          </w:p>
        </w:tc>
        <w:tc>
          <w:tcPr>
            <w:tcW w:w="102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auto"/>
                <w:w w:val="96"/>
              </w:rPr>
              <w:t>of Cash Flow</w:t>
            </w:r>
          </w:p>
        </w:tc>
        <w:tc>
          <w:tcPr>
            <w:tcW w:w="280" w:type="dxa"/>
            <w:vAlign w:val="bottom"/>
          </w:tcPr>
          <w:p>
            <w:pPr>
              <w:spacing w:after="0"/>
              <w:rPr>
                <w:sz w:val="11"/>
                <w:szCs w:val="11"/>
                <w:color w:val="auto"/>
              </w:rPr>
            </w:pPr>
          </w:p>
        </w:tc>
        <w:tc>
          <w:tcPr>
            <w:tcW w:w="102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auto"/>
                <w:w w:val="99"/>
              </w:rPr>
              <w:t>Discontinued</w:t>
            </w:r>
          </w:p>
        </w:tc>
        <w:tc>
          <w:tcPr>
            <w:tcW w:w="280" w:type="dxa"/>
            <w:vAlign w:val="bottom"/>
          </w:tcPr>
          <w:p>
            <w:pPr>
              <w:spacing w:after="0"/>
              <w:rPr>
                <w:sz w:val="11"/>
                <w:szCs w:val="11"/>
                <w:color w:val="auto"/>
              </w:rPr>
            </w:pPr>
          </w:p>
        </w:tc>
        <w:tc>
          <w:tcPr>
            <w:tcW w:w="1360" w:type="dxa"/>
            <w:vAlign w:val="bottom"/>
          </w:tcPr>
          <w:p>
            <w:pPr>
              <w:jc w:val="right"/>
              <w:ind w:right="92"/>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8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(Amounts presented net of taxes)</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6"/>
              </w:rPr>
              <w:t>Gains (Losses)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7"/>
              </w:rPr>
              <w:t>on Securities</w:t>
            </w: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Benefit Plans</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7"/>
              </w:rPr>
              <w:t>Hedges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Operations</w:t>
            </w:r>
          </w:p>
        </w:tc>
        <w:tc>
          <w:tcPr>
            <w:tcW w:w="16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226"/>
        </w:trPr>
        <w:tc>
          <w:tcPr>
            <w:tcW w:w="40" w:type="dxa"/>
            <w:vAlign w:val="bottom"/>
            <w:shd w:val="clear" w:color="auto" w:fill="D8D8D8"/>
          </w:tcPr>
          <w:p>
            <w:pPr>
              <w:spacing w:after="0"/>
              <w:rPr>
                <w:sz w:val="19"/>
                <w:szCs w:val="19"/>
                <w:color w:val="auto"/>
              </w:rPr>
            </w:pPr>
          </w:p>
        </w:tc>
        <w:tc>
          <w:tcPr>
            <w:tcW w:w="2760" w:type="dxa"/>
            <w:vAlign w:val="bottom"/>
            <w:gridSpan w:val="2"/>
            <w:shd w:val="clear" w:color="auto" w:fill="D8D8D8"/>
          </w:tcPr>
          <w:p>
            <w:pPr>
              <w:spacing w:after="0"/>
              <w:rPr>
                <w:sz w:val="20"/>
                <w:szCs w:val="20"/>
                <w:color w:val="auto"/>
              </w:rPr>
            </w:pPr>
            <w:r>
              <w:rPr>
                <w:rFonts w:ascii="Arial" w:cs="Arial" w:eastAsia="Arial" w:hAnsi="Arial"/>
                <w:sz w:val="18"/>
                <w:szCs w:val="18"/>
                <w:color w:val="auto"/>
                <w:highlight w:val="lightGray"/>
              </w:rPr>
              <w:t>Beginning balance at January 1,</w:t>
            </w:r>
          </w:p>
        </w:tc>
        <w:tc>
          <w:tcPr>
            <w:tcW w:w="160" w:type="dxa"/>
            <w:vAlign w:val="bottom"/>
            <w:shd w:val="clear" w:color="auto" w:fill="D8D8D8"/>
          </w:tcPr>
          <w:p>
            <w:pPr>
              <w:spacing w:after="0"/>
              <w:rPr>
                <w:sz w:val="19"/>
                <w:szCs w:val="19"/>
                <w:color w:val="auto"/>
              </w:rPr>
            </w:pPr>
          </w:p>
        </w:tc>
        <w:tc>
          <w:tcPr>
            <w:tcW w:w="124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4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D8D8D8"/>
            </w:tcBorders>
            <w:shd w:val="clear" w:color="auto" w:fill="D8D8D8"/>
          </w:tcPr>
          <w:p>
            <w:pPr>
              <w:spacing w:after="0"/>
              <w:rPr>
                <w:sz w:val="18"/>
                <w:szCs w:val="18"/>
                <w:color w:val="auto"/>
              </w:rPr>
            </w:pPr>
          </w:p>
        </w:tc>
        <w:tc>
          <w:tcPr>
            <w:tcW w:w="400" w:type="dxa"/>
            <w:vAlign w:val="bottom"/>
            <w:tcBorders>
              <w:bottom w:val="single" w:sz="8" w:color="D8D8D8"/>
            </w:tcBorders>
            <w:shd w:val="clear" w:color="auto" w:fill="D8D8D8"/>
          </w:tcPr>
          <w:p>
            <w:pPr>
              <w:spacing w:after="0" w:line="206" w:lineRule="exact"/>
              <w:rPr>
                <w:sz w:val="20"/>
                <w:szCs w:val="20"/>
                <w:color w:val="auto"/>
              </w:rPr>
            </w:pPr>
            <w:r>
              <w:rPr>
                <w:rFonts w:ascii="Arial" w:cs="Arial" w:eastAsia="Arial" w:hAnsi="Arial"/>
                <w:sz w:val="18"/>
                <w:szCs w:val="18"/>
                <w:color w:val="auto"/>
                <w:highlight w:val="lightGray"/>
                <w:w w:val="94"/>
              </w:rPr>
              <w:t>2017</w:t>
            </w:r>
          </w:p>
        </w:tc>
        <w:tc>
          <w:tcPr>
            <w:tcW w:w="2360" w:type="dxa"/>
            <w:vAlign w:val="bottom"/>
            <w:tcBorders>
              <w:bottom w:val="single" w:sz="8" w:color="D8D8D8"/>
            </w:tcBorders>
            <w:shd w:val="clear" w:color="auto" w:fill="D8D8D8"/>
          </w:tcPr>
          <w:p>
            <w:pPr>
              <w:jc w:val="right"/>
              <w:ind w:right="2126"/>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D8D8D8"/>
            </w:tcBorders>
            <w:shd w:val="clear" w:color="auto" w:fill="D8D8D8"/>
          </w:tcPr>
          <w:p>
            <w:pPr>
              <w:jc w:val="right"/>
              <w:spacing w:after="0" w:line="20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D8D8D8"/>
            </w:tcBorders>
            <w:shd w:val="clear" w:color="auto" w:fill="D8D8D8"/>
          </w:tcPr>
          <w:p>
            <w:pPr>
              <w:jc w:val="right"/>
              <w:ind w:right="54"/>
              <w:spacing w:after="0" w:line="206" w:lineRule="exact"/>
              <w:rPr>
                <w:sz w:val="20"/>
                <w:szCs w:val="20"/>
                <w:color w:val="auto"/>
              </w:rPr>
            </w:pPr>
            <w:r>
              <w:rPr>
                <w:rFonts w:ascii="Arial" w:cs="Arial" w:eastAsia="Arial" w:hAnsi="Arial"/>
                <w:sz w:val="18"/>
                <w:szCs w:val="18"/>
                <w:color w:val="auto"/>
              </w:rPr>
              <w:t>(1,686.6)</w:t>
            </w:r>
          </w:p>
        </w:tc>
        <w:tc>
          <w:tcPr>
            <w:tcW w:w="280" w:type="dxa"/>
            <w:vAlign w:val="bottom"/>
            <w:tcBorders>
              <w:bottom w:val="single" w:sz="8" w:color="D8D8D8"/>
            </w:tcBorders>
            <w:shd w:val="clear" w:color="auto" w:fill="D8D8D8"/>
          </w:tcPr>
          <w:p>
            <w:pPr>
              <w:jc w:val="right"/>
              <w:spacing w:after="0" w:line="20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D8D8D8"/>
            </w:tcBorders>
            <w:shd w:val="clear" w:color="auto" w:fill="D8D8D8"/>
          </w:tcPr>
          <w:p>
            <w:pPr>
              <w:jc w:val="right"/>
              <w:ind w:right="136"/>
              <w:spacing w:after="0" w:line="206" w:lineRule="exact"/>
              <w:rPr>
                <w:sz w:val="20"/>
                <w:szCs w:val="20"/>
                <w:color w:val="auto"/>
              </w:rPr>
            </w:pPr>
            <w:r>
              <w:rPr>
                <w:rFonts w:ascii="Arial" w:cs="Arial" w:eastAsia="Arial" w:hAnsi="Arial"/>
                <w:sz w:val="18"/>
                <w:szCs w:val="18"/>
                <w:color w:val="auto"/>
              </w:rPr>
              <w:t>224.0</w:t>
            </w:r>
          </w:p>
        </w:tc>
        <w:tc>
          <w:tcPr>
            <w:tcW w:w="300" w:type="dxa"/>
            <w:vAlign w:val="bottom"/>
            <w:tcBorders>
              <w:bottom w:val="single" w:sz="8" w:color="D8D8D8"/>
            </w:tcBorders>
            <w:shd w:val="clear" w:color="auto" w:fill="D8D8D8"/>
          </w:tcPr>
          <w:p>
            <w:pPr>
              <w:ind w:left="160"/>
              <w:spacing w:after="0" w:line="20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D8D8D8"/>
            </w:tcBorders>
            <w:shd w:val="clear" w:color="auto" w:fill="D8D8D8"/>
          </w:tcPr>
          <w:p>
            <w:pPr>
              <w:jc w:val="right"/>
              <w:ind w:right="153"/>
              <w:spacing w:after="0" w:line="206" w:lineRule="exact"/>
              <w:rPr>
                <w:sz w:val="20"/>
                <w:szCs w:val="20"/>
                <w:color w:val="auto"/>
              </w:rPr>
            </w:pPr>
            <w:r>
              <w:rPr>
                <w:rFonts w:ascii="Arial" w:cs="Arial" w:eastAsia="Arial" w:hAnsi="Arial"/>
                <w:sz w:val="18"/>
                <w:szCs w:val="18"/>
                <w:color w:val="auto"/>
              </w:rPr>
              <w:t>(3,352.0)</w:t>
            </w:r>
          </w:p>
        </w:tc>
        <w:tc>
          <w:tcPr>
            <w:tcW w:w="220" w:type="dxa"/>
            <w:vAlign w:val="bottom"/>
            <w:tcBorders>
              <w:bottom w:val="single" w:sz="8" w:color="D8D8D8"/>
            </w:tcBorders>
            <w:shd w:val="clear" w:color="auto" w:fill="D8D8D8"/>
          </w:tcPr>
          <w:p>
            <w:pPr>
              <w:jc w:val="right"/>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D8D8D8"/>
            </w:tcBorders>
            <w:shd w:val="clear" w:color="auto" w:fill="D8D8D8"/>
          </w:tcPr>
          <w:p>
            <w:pPr>
              <w:jc w:val="right"/>
              <w:ind w:right="73"/>
              <w:spacing w:after="0" w:line="206" w:lineRule="exact"/>
              <w:rPr>
                <w:sz w:val="20"/>
                <w:szCs w:val="20"/>
                <w:color w:val="auto"/>
              </w:rPr>
            </w:pPr>
            <w:r>
              <w:rPr>
                <w:rFonts w:ascii="Arial" w:cs="Arial" w:eastAsia="Arial" w:hAnsi="Arial"/>
                <w:sz w:val="18"/>
                <w:szCs w:val="18"/>
                <w:color w:val="auto"/>
              </w:rPr>
              <w:t>(210.9)</w:t>
            </w:r>
          </w:p>
        </w:tc>
        <w:tc>
          <w:tcPr>
            <w:tcW w:w="280" w:type="dxa"/>
            <w:vAlign w:val="bottom"/>
            <w:tcBorders>
              <w:bottom w:val="single" w:sz="8" w:color="D8D8D8"/>
            </w:tcBorders>
            <w:shd w:val="clear" w:color="auto" w:fill="D8D8D8"/>
          </w:tcPr>
          <w:p>
            <w:pPr>
              <w:jc w:val="right"/>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D8D8D8"/>
            </w:tcBorders>
            <w:shd w:val="clear" w:color="auto" w:fill="D8D8D8"/>
          </w:tcPr>
          <w:p>
            <w:pPr>
              <w:jc w:val="right"/>
              <w:ind w:right="73"/>
              <w:spacing w:after="0" w:line="206" w:lineRule="exact"/>
              <w:rPr>
                <w:sz w:val="20"/>
                <w:szCs w:val="20"/>
                <w:color w:val="auto"/>
              </w:rPr>
            </w:pPr>
            <w:r>
              <w:rPr>
                <w:rFonts w:ascii="Arial" w:cs="Arial" w:eastAsia="Arial" w:hAnsi="Arial"/>
                <w:sz w:val="18"/>
                <w:szCs w:val="18"/>
                <w:color w:val="auto"/>
              </w:rPr>
              <w:t>(200.3)</w:t>
            </w:r>
          </w:p>
        </w:tc>
        <w:tc>
          <w:tcPr>
            <w:tcW w:w="280" w:type="dxa"/>
            <w:vAlign w:val="bottom"/>
            <w:tcBorders>
              <w:bottom w:val="single" w:sz="8" w:color="D8D8D8"/>
            </w:tcBorders>
            <w:shd w:val="clear" w:color="auto" w:fill="D8D8D8"/>
          </w:tcPr>
          <w:p>
            <w:pPr>
              <w:jc w:val="right"/>
              <w:spacing w:after="0" w:line="20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D8D8D8"/>
            </w:tcBorders>
            <w:shd w:val="clear" w:color="auto" w:fill="D8D8D8"/>
          </w:tcPr>
          <w:p>
            <w:pPr>
              <w:jc w:val="right"/>
              <w:ind w:right="72"/>
              <w:spacing w:after="0" w:line="206" w:lineRule="exact"/>
              <w:rPr>
                <w:sz w:val="20"/>
                <w:szCs w:val="20"/>
                <w:color w:val="auto"/>
              </w:rPr>
            </w:pPr>
            <w:r>
              <w:rPr>
                <w:rFonts w:ascii="Arial" w:cs="Arial" w:eastAsia="Arial" w:hAnsi="Arial"/>
                <w:sz w:val="18"/>
                <w:szCs w:val="18"/>
                <w:color w:val="auto"/>
              </w:rPr>
              <w:t>(5,225.8)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(loss) before reclassifications</w:t>
            </w:r>
          </w:p>
        </w:tc>
        <w:tc>
          <w:tcPr>
            <w:tcW w:w="1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525.6</w:t>
            </w:r>
          </w:p>
        </w:tc>
        <w:tc>
          <w:tcPr>
            <w:tcW w:w="280" w:type="dxa"/>
            <w:vAlign w:val="bottom"/>
          </w:tcPr>
          <w:p>
            <w:pPr>
              <w:spacing w:after="0"/>
              <w:rPr>
                <w:sz w:val="19"/>
                <w:szCs w:val="19"/>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9"/>
                <w:szCs w:val="19"/>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(532.1)</w:t>
            </w:r>
          </w:p>
        </w:tc>
        <w:tc>
          <w:tcPr>
            <w:tcW w:w="2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127.7</w:t>
            </w:r>
          </w:p>
        </w:tc>
        <w:tc>
          <w:tcPr>
            <w:tcW w:w="28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5"/>
        </w:trPr>
        <w:tc>
          <w:tcPr>
            <w:tcW w:w="40" w:type="dxa"/>
            <w:vAlign w:val="bottom"/>
            <w:shd w:val="clear" w:color="auto" w:fill="D8D8D8"/>
          </w:tcPr>
          <w:p>
            <w:pPr>
              <w:spacing w:after="0"/>
              <w:rPr>
                <w:sz w:val="20"/>
                <w:szCs w:val="20"/>
                <w:color w:val="auto"/>
              </w:rPr>
            </w:pPr>
          </w:p>
        </w:tc>
        <w:tc>
          <w:tcPr>
            <w:tcW w:w="276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Net amount reclassified from</w:t>
            </w: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40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36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8D8D8"/>
          </w:tcPr>
          <w:p>
            <w:pPr>
              <w:spacing w:after="0"/>
              <w:rPr>
                <w:sz w:val="17"/>
                <w:szCs w:val="17"/>
                <w:color w:val="auto"/>
              </w:rPr>
            </w:pPr>
          </w:p>
        </w:tc>
        <w:tc>
          <w:tcPr>
            <w:tcW w:w="2760" w:type="dxa"/>
            <w:vAlign w:val="bottom"/>
            <w:gridSpan w:val="2"/>
            <w:shd w:val="clear" w:color="auto" w:fill="D8D8D8"/>
          </w:tcPr>
          <w:p>
            <w:pPr>
              <w:ind w:left="140"/>
              <w:spacing w:after="0" w:line="202" w:lineRule="exact"/>
              <w:rPr>
                <w:sz w:val="20"/>
                <w:szCs w:val="20"/>
                <w:color w:val="auto"/>
              </w:rPr>
            </w:pPr>
            <w:r>
              <w:rPr>
                <w:rFonts w:ascii="Arial" w:cs="Arial" w:eastAsia="Arial" w:hAnsi="Arial"/>
                <w:sz w:val="18"/>
                <w:szCs w:val="18"/>
                <w:color w:val="auto"/>
              </w:rPr>
              <w:t>accumulated other</w:t>
            </w:r>
          </w:p>
        </w:tc>
        <w:tc>
          <w:tcPr>
            <w:tcW w:w="160" w:type="dxa"/>
            <w:vAlign w:val="bottom"/>
            <w:shd w:val="clear" w:color="auto" w:fill="D8D8D8"/>
          </w:tcPr>
          <w:p>
            <w:pPr>
              <w:spacing w:after="0"/>
              <w:rPr>
                <w:sz w:val="17"/>
                <w:szCs w:val="17"/>
                <w:color w:val="auto"/>
              </w:rPr>
            </w:pPr>
          </w:p>
        </w:tc>
        <w:tc>
          <w:tcPr>
            <w:tcW w:w="124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1060" w:type="dxa"/>
            <w:vAlign w:val="bottom"/>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140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13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8D8D8"/>
          </w:tcPr>
          <w:p>
            <w:pPr>
              <w:spacing w:after="0"/>
              <w:rPr>
                <w:sz w:val="20"/>
                <w:szCs w:val="20"/>
                <w:color w:val="auto"/>
              </w:rPr>
            </w:pPr>
          </w:p>
        </w:tc>
        <w:tc>
          <w:tcPr>
            <w:tcW w:w="276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D8D8D8"/>
          </w:tcPr>
          <w:p>
            <w:pPr>
              <w:spacing w:after="0"/>
              <w:rPr>
                <w:sz w:val="20"/>
                <w:szCs w:val="20"/>
                <w:color w:val="auto"/>
              </w:rPr>
            </w:pPr>
          </w:p>
        </w:tc>
        <w:tc>
          <w:tcPr>
            <w:tcW w:w="1240" w:type="dxa"/>
            <w:vAlign w:val="bottom"/>
            <w:tcBorders>
              <w:bottom w:val="single" w:sz="8" w:color="auto"/>
            </w:tcBorders>
            <w:shd w:val="clear" w:color="auto" w:fill="D8D8D8"/>
          </w:tcPr>
          <w:p>
            <w:pPr>
              <w:jc w:val="right"/>
              <w:ind w:right="114"/>
              <w:spacing w:after="0"/>
              <w:rPr>
                <w:sz w:val="20"/>
                <w:szCs w:val="20"/>
                <w:color w:val="auto"/>
              </w:rPr>
            </w:pPr>
            <w:r>
              <w:rPr>
                <w:rFonts w:ascii="Arial" w:cs="Arial" w:eastAsia="Arial" w:hAnsi="Arial"/>
                <w:sz w:val="18"/>
                <w:szCs w:val="18"/>
                <w:color w:val="auto"/>
              </w:rPr>
              <w:t>8.1</w:t>
            </w:r>
          </w:p>
        </w:tc>
        <w:tc>
          <w:tcPr>
            <w:tcW w:w="280" w:type="dxa"/>
            <w:vAlign w:val="bottom"/>
            <w:tcBorders>
              <w:bottom w:val="single" w:sz="8" w:color="auto"/>
            </w:tcBorders>
            <w:shd w:val="clear" w:color="auto" w:fill="D8D8D8"/>
          </w:tcPr>
          <w:p>
            <w:pPr>
              <w:spacing w:after="0"/>
              <w:rPr>
                <w:sz w:val="20"/>
                <w:szCs w:val="20"/>
                <w:color w:val="auto"/>
              </w:rPr>
            </w:pPr>
          </w:p>
        </w:tc>
        <w:tc>
          <w:tcPr>
            <w:tcW w:w="106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(110.6)</w:t>
            </w:r>
          </w:p>
        </w:tc>
        <w:tc>
          <w:tcPr>
            <w:tcW w:w="300" w:type="dxa"/>
            <w:vAlign w:val="bottom"/>
            <w:tcBorders>
              <w:bottom w:val="single" w:sz="8" w:color="auto"/>
            </w:tcBorders>
            <w:shd w:val="clear" w:color="auto" w:fill="D8D8D8"/>
          </w:tcPr>
          <w:p>
            <w:pPr>
              <w:spacing w:after="0"/>
              <w:rPr>
                <w:sz w:val="20"/>
                <w:szCs w:val="20"/>
                <w:color w:val="auto"/>
              </w:rPr>
            </w:pPr>
          </w:p>
        </w:tc>
        <w:tc>
          <w:tcPr>
            <w:tcW w:w="1400" w:type="dxa"/>
            <w:vAlign w:val="bottom"/>
            <w:tcBorders>
              <w:bottom w:val="single" w:sz="8" w:color="auto"/>
            </w:tcBorders>
            <w:shd w:val="clear" w:color="auto" w:fill="D8D8D8"/>
          </w:tcPr>
          <w:p>
            <w:pPr>
              <w:jc w:val="right"/>
              <w:ind w:right="213"/>
              <w:spacing w:after="0"/>
              <w:rPr>
                <w:sz w:val="20"/>
                <w:szCs w:val="20"/>
                <w:color w:val="auto"/>
              </w:rPr>
            </w:pPr>
            <w:r>
              <w:rPr>
                <w:rFonts w:ascii="Arial" w:cs="Arial" w:eastAsia="Arial" w:hAnsi="Arial"/>
                <w:sz w:val="18"/>
                <w:szCs w:val="18"/>
                <w:color w:val="auto"/>
              </w:rPr>
              <w:t>151.9</w:t>
            </w:r>
          </w:p>
        </w:tc>
        <w:tc>
          <w:tcPr>
            <w:tcW w:w="220" w:type="dxa"/>
            <w:vAlign w:val="bottom"/>
            <w:tcBorders>
              <w:bottom w:val="single" w:sz="8" w:color="auto"/>
            </w:tcBorders>
            <w:shd w:val="clear" w:color="auto" w:fill="D8D8D8"/>
          </w:tcPr>
          <w:p>
            <w:pPr>
              <w:spacing w:after="0"/>
              <w:rPr>
                <w:sz w:val="20"/>
                <w:szCs w:val="20"/>
                <w:color w:val="auto"/>
              </w:rPr>
            </w:pPr>
          </w:p>
        </w:tc>
        <w:tc>
          <w:tcPr>
            <w:tcW w:w="1020" w:type="dxa"/>
            <w:vAlign w:val="bottom"/>
            <w:tcBorders>
              <w:bottom w:val="single" w:sz="8" w:color="auto"/>
            </w:tcBorders>
            <w:shd w:val="clear" w:color="auto" w:fill="D8D8D8"/>
          </w:tcPr>
          <w:p>
            <w:pPr>
              <w:jc w:val="right"/>
              <w:ind w:right="133"/>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auto"/>
            </w:tcBorders>
            <w:shd w:val="clear" w:color="auto" w:fill="D8D8D8"/>
          </w:tcPr>
          <w:p>
            <w:pPr>
              <w:spacing w:after="0"/>
              <w:rPr>
                <w:sz w:val="20"/>
                <w:szCs w:val="20"/>
                <w:color w:val="auto"/>
              </w:rPr>
            </w:pPr>
          </w:p>
        </w:tc>
        <w:tc>
          <w:tcPr>
            <w:tcW w:w="1020" w:type="dxa"/>
            <w:vAlign w:val="bottom"/>
            <w:tcBorders>
              <w:bottom w:val="single" w:sz="8" w:color="auto"/>
            </w:tcBorders>
            <w:shd w:val="clear" w:color="auto" w:fill="D8D8D8"/>
          </w:tcPr>
          <w:p>
            <w:pPr>
              <w:jc w:val="right"/>
              <w:ind w:right="133"/>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shd w:val="clear" w:color="auto" w:fill="D8D8D8"/>
          </w:tcPr>
          <w:p>
            <w:pPr>
              <w:spacing w:after="0"/>
              <w:rPr>
                <w:sz w:val="20"/>
                <w:szCs w:val="20"/>
                <w:color w:val="auto"/>
              </w:rPr>
            </w:pPr>
          </w:p>
        </w:tc>
        <w:tc>
          <w:tcPr>
            <w:tcW w:w="136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Net other comprehensive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income (loss)</w:t>
            </w:r>
          </w:p>
        </w:tc>
        <w:tc>
          <w:tcPr>
            <w:tcW w:w="1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533.7</w:t>
            </w:r>
          </w:p>
        </w:tc>
        <w:tc>
          <w:tcPr>
            <w:tcW w:w="280" w:type="dxa"/>
            <w:vAlign w:val="bottom"/>
          </w:tcPr>
          <w:p>
            <w:pPr>
              <w:spacing w:after="0"/>
              <w:rPr>
                <w:sz w:val="19"/>
                <w:szCs w:val="19"/>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(126.3)</w:t>
            </w:r>
          </w:p>
        </w:tc>
        <w:tc>
          <w:tcPr>
            <w:tcW w:w="300" w:type="dxa"/>
            <w:vAlign w:val="bottom"/>
          </w:tcPr>
          <w:p>
            <w:pPr>
              <w:spacing w:after="0"/>
              <w:rPr>
                <w:sz w:val="19"/>
                <w:szCs w:val="19"/>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(380.2)</w:t>
            </w:r>
          </w:p>
        </w:tc>
        <w:tc>
          <w:tcPr>
            <w:tcW w:w="2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129.2</w:t>
            </w:r>
          </w:p>
        </w:tc>
        <w:tc>
          <w:tcPr>
            <w:tcW w:w="28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35"/>
        </w:trPr>
        <w:tc>
          <w:tcPr>
            <w:tcW w:w="40" w:type="dxa"/>
            <w:vAlign w:val="bottom"/>
            <w:shd w:val="clear" w:color="auto" w:fill="D8D8D8"/>
          </w:tcPr>
          <w:p>
            <w:pPr>
              <w:spacing w:after="0"/>
              <w:rPr>
                <w:sz w:val="20"/>
                <w:szCs w:val="20"/>
                <w:color w:val="auto"/>
              </w:rPr>
            </w:pPr>
          </w:p>
        </w:tc>
        <w:tc>
          <w:tcPr>
            <w:tcW w:w="276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Reclassifications of stranded tax</w:t>
            </w: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40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36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8D8D8"/>
          </w:tcPr>
          <w:p>
            <w:pPr>
              <w:spacing w:after="0"/>
              <w:rPr>
                <w:sz w:val="20"/>
                <w:szCs w:val="20"/>
                <w:color w:val="auto"/>
              </w:rPr>
            </w:pPr>
          </w:p>
        </w:tc>
        <w:tc>
          <w:tcPr>
            <w:tcW w:w="276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effects (Note 1)</w:t>
            </w:r>
          </w:p>
        </w:tc>
        <w:tc>
          <w:tcPr>
            <w:tcW w:w="160" w:type="dxa"/>
            <w:vAlign w:val="bottom"/>
            <w:tcBorders>
              <w:bottom w:val="single" w:sz="8" w:color="auto"/>
            </w:tcBorders>
            <w:shd w:val="clear" w:color="auto" w:fill="D8D8D8"/>
          </w:tcPr>
          <w:p>
            <w:pPr>
              <w:spacing w:after="0"/>
              <w:rPr>
                <w:sz w:val="20"/>
                <w:szCs w:val="20"/>
                <w:color w:val="auto"/>
              </w:rPr>
            </w:pPr>
          </w:p>
        </w:tc>
        <w:tc>
          <w:tcPr>
            <w:tcW w:w="124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color w:val="auto"/>
              </w:rPr>
              <w:t>(38.8)</w:t>
            </w:r>
          </w:p>
        </w:tc>
        <w:tc>
          <w:tcPr>
            <w:tcW w:w="280" w:type="dxa"/>
            <w:vAlign w:val="bottom"/>
            <w:tcBorders>
              <w:bottom w:val="single" w:sz="8" w:color="auto"/>
            </w:tcBorders>
            <w:shd w:val="clear" w:color="auto" w:fill="D8D8D8"/>
          </w:tcPr>
          <w:p>
            <w:pPr>
              <w:spacing w:after="0"/>
              <w:rPr>
                <w:sz w:val="20"/>
                <w:szCs w:val="20"/>
                <w:color w:val="auto"/>
              </w:rPr>
            </w:pPr>
          </w:p>
        </w:tc>
        <w:tc>
          <w:tcPr>
            <w:tcW w:w="1060" w:type="dxa"/>
            <w:vAlign w:val="bottom"/>
            <w:tcBorders>
              <w:bottom w:val="single" w:sz="8" w:color="auto"/>
            </w:tcBorders>
            <w:shd w:val="clear" w:color="auto" w:fill="D8D8D8"/>
          </w:tcPr>
          <w:p>
            <w:pPr>
              <w:jc w:val="right"/>
              <w:ind w:right="136"/>
              <w:spacing w:after="0"/>
              <w:rPr>
                <w:sz w:val="20"/>
                <w:szCs w:val="20"/>
                <w:color w:val="auto"/>
              </w:rPr>
            </w:pPr>
            <w:r>
              <w:rPr>
                <w:rFonts w:ascii="Arial" w:cs="Arial" w:eastAsia="Arial" w:hAnsi="Arial"/>
                <w:sz w:val="18"/>
                <w:szCs w:val="18"/>
                <w:color w:val="auto"/>
              </w:rPr>
              <w:t>15.8</w:t>
            </w:r>
          </w:p>
        </w:tc>
        <w:tc>
          <w:tcPr>
            <w:tcW w:w="300" w:type="dxa"/>
            <w:vAlign w:val="bottom"/>
            <w:tcBorders>
              <w:bottom w:val="single" w:sz="8" w:color="auto"/>
            </w:tcBorders>
            <w:shd w:val="clear" w:color="auto" w:fill="D8D8D8"/>
          </w:tcPr>
          <w:p>
            <w:pPr>
              <w:spacing w:after="0"/>
              <w:rPr>
                <w:sz w:val="20"/>
                <w:szCs w:val="20"/>
                <w:color w:val="auto"/>
              </w:rPr>
            </w:pPr>
          </w:p>
        </w:tc>
        <w:tc>
          <w:tcPr>
            <w:tcW w:w="1400" w:type="dxa"/>
            <w:vAlign w:val="bottom"/>
            <w:tcBorders>
              <w:bottom w:val="single" w:sz="8" w:color="auto"/>
            </w:tcBorders>
            <w:shd w:val="clear" w:color="auto" w:fill="D8D8D8"/>
          </w:tcPr>
          <w:p>
            <w:pPr>
              <w:jc w:val="right"/>
              <w:ind w:right="153"/>
              <w:spacing w:after="0"/>
              <w:rPr>
                <w:sz w:val="20"/>
                <w:szCs w:val="20"/>
                <w:color w:val="auto"/>
              </w:rPr>
            </w:pPr>
            <w:r>
              <w:rPr>
                <w:rFonts w:ascii="Arial" w:cs="Arial" w:eastAsia="Arial" w:hAnsi="Arial"/>
                <w:sz w:val="18"/>
                <w:szCs w:val="18"/>
                <w:color w:val="auto"/>
              </w:rPr>
              <w:t>(579.1)</w:t>
            </w:r>
          </w:p>
        </w:tc>
        <w:tc>
          <w:tcPr>
            <w:tcW w:w="220" w:type="dxa"/>
            <w:vAlign w:val="bottom"/>
            <w:tcBorders>
              <w:bottom w:val="single" w:sz="8" w:color="auto"/>
            </w:tcBorders>
            <w:shd w:val="clear" w:color="auto" w:fill="D8D8D8"/>
          </w:tcPr>
          <w:p>
            <w:pPr>
              <w:spacing w:after="0"/>
              <w:rPr>
                <w:sz w:val="20"/>
                <w:szCs w:val="20"/>
                <w:color w:val="auto"/>
              </w:rPr>
            </w:pPr>
          </w:p>
        </w:tc>
        <w:tc>
          <w:tcPr>
            <w:tcW w:w="102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(41.5)</w:t>
            </w:r>
          </w:p>
        </w:tc>
        <w:tc>
          <w:tcPr>
            <w:tcW w:w="280" w:type="dxa"/>
            <w:vAlign w:val="bottom"/>
            <w:tcBorders>
              <w:bottom w:val="single" w:sz="8" w:color="auto"/>
            </w:tcBorders>
            <w:shd w:val="clear" w:color="auto" w:fill="D8D8D8"/>
          </w:tcPr>
          <w:p>
            <w:pPr>
              <w:spacing w:after="0"/>
              <w:rPr>
                <w:sz w:val="20"/>
                <w:szCs w:val="20"/>
                <w:color w:val="auto"/>
              </w:rPr>
            </w:pPr>
          </w:p>
        </w:tc>
        <w:tc>
          <w:tcPr>
            <w:tcW w:w="1020" w:type="dxa"/>
            <w:vAlign w:val="bottom"/>
            <w:tcBorders>
              <w:bottom w:val="single" w:sz="8" w:color="auto"/>
            </w:tcBorders>
            <w:shd w:val="clear" w:color="auto" w:fill="D8D8D8"/>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20"/>
                <w:szCs w:val="20"/>
                <w:color w:val="auto"/>
              </w:rPr>
            </w:pPr>
          </w:p>
        </w:tc>
        <w:tc>
          <w:tcPr>
            <w:tcW w:w="136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64"/>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2017</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(1,191.7)</w:t>
            </w:r>
          </w:p>
        </w:tc>
        <w:tc>
          <w:tcPr>
            <w:tcW w:w="280" w:type="dxa"/>
            <w:vAlign w:val="bottom"/>
          </w:tcPr>
          <w:p>
            <w:pPr>
              <w:spacing w:after="0"/>
              <w:rPr>
                <w:sz w:val="22"/>
                <w:szCs w:val="22"/>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22"/>
                <w:szCs w:val="22"/>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(4,311.3)</w:t>
            </w:r>
          </w:p>
        </w:tc>
        <w:tc>
          <w:tcPr>
            <w:tcW w:w="22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(234.3)</w:t>
            </w:r>
          </w:p>
        </w:tc>
        <w:tc>
          <w:tcPr>
            <w:tcW w:w="28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22"/>
                <w:szCs w:val="22"/>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(5,694.9)</w:t>
            </w:r>
          </w:p>
        </w:tc>
        <w:tc>
          <w:tcPr>
            <w:tcW w:w="0" w:type="dxa"/>
            <w:vAlign w:val="bottom"/>
          </w:tcPr>
          <w:p>
            <w:pPr>
              <w:spacing w:after="0"/>
              <w:rPr>
                <w:sz w:val="1"/>
                <w:szCs w:val="1"/>
                <w:color w:val="auto"/>
              </w:rPr>
            </w:pPr>
          </w:p>
        </w:tc>
      </w:tr>
      <w:tr>
        <w:trPr>
          <w:trHeight w:val="226"/>
        </w:trPr>
        <w:tc>
          <w:tcPr>
            <w:tcW w:w="40" w:type="dxa"/>
            <w:vAlign w:val="bottom"/>
            <w:shd w:val="clear" w:color="auto" w:fill="D8D8D8"/>
          </w:tcPr>
          <w:p>
            <w:pPr>
              <w:spacing w:after="0"/>
              <w:rPr>
                <w:sz w:val="19"/>
                <w:szCs w:val="19"/>
                <w:color w:val="auto"/>
              </w:rPr>
            </w:pPr>
          </w:p>
        </w:tc>
        <w:tc>
          <w:tcPr>
            <w:tcW w:w="276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Reclassification due to adoption</w:t>
            </w:r>
          </w:p>
        </w:tc>
        <w:tc>
          <w:tcPr>
            <w:tcW w:w="160" w:type="dxa"/>
            <w:vAlign w:val="bottom"/>
            <w:shd w:val="clear" w:color="auto" w:fill="D8D8D8"/>
          </w:tcPr>
          <w:p>
            <w:pPr>
              <w:spacing w:after="0"/>
              <w:rPr>
                <w:sz w:val="19"/>
                <w:szCs w:val="19"/>
                <w:color w:val="auto"/>
              </w:rPr>
            </w:pPr>
          </w:p>
        </w:tc>
        <w:tc>
          <w:tcPr>
            <w:tcW w:w="124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4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D8D8D8"/>
          </w:tcPr>
          <w:p>
            <w:pPr>
              <w:spacing w:after="0"/>
              <w:rPr>
                <w:sz w:val="20"/>
                <w:szCs w:val="20"/>
                <w:color w:val="auto"/>
              </w:rPr>
            </w:pPr>
          </w:p>
        </w:tc>
        <w:tc>
          <w:tcPr>
            <w:tcW w:w="2760" w:type="dxa"/>
            <w:vAlign w:val="bottom"/>
            <w:gridSpan w:val="2"/>
            <w:shd w:val="clear" w:color="auto" w:fill="D8D8D8"/>
          </w:tcPr>
          <w:p>
            <w:pPr>
              <w:ind w:left="140"/>
              <w:spacing w:after="0" w:line="233" w:lineRule="exact"/>
              <w:rPr>
                <w:sz w:val="20"/>
                <w:szCs w:val="20"/>
                <w:color w:val="auto"/>
              </w:rPr>
            </w:pPr>
            <w:r>
              <w:rPr>
                <w:rFonts w:ascii="Arial" w:cs="Arial" w:eastAsia="Arial" w:hAnsi="Arial"/>
                <w:sz w:val="18"/>
                <w:szCs w:val="18"/>
                <w:color w:val="auto"/>
              </w:rPr>
              <w:t>of new accounting standard</w:t>
            </w:r>
            <w:r>
              <w:rPr>
                <w:rFonts w:ascii="Arial" w:cs="Arial" w:eastAsia="Arial" w:hAnsi="Arial"/>
                <w:sz w:val="21"/>
                <w:szCs w:val="21"/>
                <w:color w:val="auto"/>
                <w:vertAlign w:val="superscript"/>
              </w:rPr>
              <w:t>(3)</w:t>
            </w: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0"/>
                <w:szCs w:val="20"/>
                <w:color w:val="auto"/>
              </w:rPr>
            </w:pPr>
          </w:p>
        </w:tc>
        <w:tc>
          <w:tcPr>
            <w:tcW w:w="106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(128.9)</w:t>
            </w:r>
          </w:p>
        </w:tc>
        <w:tc>
          <w:tcPr>
            <w:tcW w:w="300" w:type="dxa"/>
            <w:vAlign w:val="bottom"/>
            <w:shd w:val="clear" w:color="auto" w:fill="D8D8D8"/>
          </w:tcPr>
          <w:p>
            <w:pPr>
              <w:spacing w:after="0"/>
              <w:rPr>
                <w:sz w:val="20"/>
                <w:szCs w:val="20"/>
                <w:color w:val="auto"/>
              </w:rPr>
            </w:pPr>
          </w:p>
        </w:tc>
        <w:tc>
          <w:tcPr>
            <w:tcW w:w="1400" w:type="dxa"/>
            <w:vAlign w:val="bottom"/>
            <w:shd w:val="clear" w:color="auto" w:fill="D8D8D8"/>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shd w:val="clear" w:color="auto" w:fill="D8D8D8"/>
          </w:tcPr>
          <w:p>
            <w:pPr>
              <w:spacing w:after="0"/>
              <w:rPr>
                <w:sz w:val="20"/>
                <w:szCs w:val="20"/>
                <w:color w:val="auto"/>
              </w:rPr>
            </w:pPr>
          </w:p>
        </w:tc>
        <w:tc>
          <w:tcPr>
            <w:tcW w:w="1020" w:type="dxa"/>
            <w:vAlign w:val="bottom"/>
            <w:shd w:val="clear" w:color="auto" w:fill="D8D8D8"/>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0"/>
                <w:szCs w:val="20"/>
                <w:color w:val="auto"/>
              </w:rPr>
            </w:pPr>
          </w:p>
        </w:tc>
        <w:tc>
          <w:tcPr>
            <w:tcW w:w="1020" w:type="dxa"/>
            <w:vAlign w:val="bottom"/>
            <w:shd w:val="clear" w:color="auto" w:fill="D8D8D8"/>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0"/>
                <w:szCs w:val="20"/>
                <w:color w:val="auto"/>
              </w:rPr>
            </w:pPr>
          </w:p>
        </w:tc>
        <w:tc>
          <w:tcPr>
            <w:tcW w:w="136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(loss) before reclassifications</w:t>
            </w:r>
          </w:p>
        </w:tc>
        <w:tc>
          <w:tcPr>
            <w:tcW w:w="16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(378.0)</w:t>
            </w:r>
          </w:p>
        </w:tc>
        <w:tc>
          <w:tcPr>
            <w:tcW w:w="280" w:type="dxa"/>
            <w:vAlign w:val="bottom"/>
          </w:tcPr>
          <w:p>
            <w:pPr>
              <w:spacing w:after="0"/>
              <w:rPr>
                <w:sz w:val="19"/>
                <w:szCs w:val="19"/>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19"/>
                <w:szCs w:val="19"/>
                <w:color w:val="auto"/>
              </w:rPr>
            </w:pPr>
          </w:p>
        </w:tc>
        <w:tc>
          <w:tcPr>
            <w:tcW w:w="1400" w:type="dxa"/>
            <w:vAlign w:val="bottom"/>
          </w:tcPr>
          <w:p>
            <w:pPr>
              <w:jc w:val="right"/>
              <w:ind w:right="213"/>
              <w:spacing w:after="0"/>
              <w:rPr>
                <w:sz w:val="20"/>
                <w:szCs w:val="20"/>
                <w:color w:val="auto"/>
              </w:rPr>
            </w:pPr>
            <w:r>
              <w:rPr>
                <w:rFonts w:ascii="Arial" w:cs="Arial" w:eastAsia="Arial" w:hAnsi="Arial"/>
                <w:sz w:val="18"/>
                <w:szCs w:val="18"/>
                <w:color w:val="auto"/>
              </w:rPr>
              <w:t>250.7</w:t>
            </w:r>
          </w:p>
        </w:tc>
        <w:tc>
          <w:tcPr>
            <w:tcW w:w="22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5"/>
        </w:trPr>
        <w:tc>
          <w:tcPr>
            <w:tcW w:w="40" w:type="dxa"/>
            <w:vAlign w:val="bottom"/>
            <w:shd w:val="clear" w:color="auto" w:fill="D8D8D8"/>
          </w:tcPr>
          <w:p>
            <w:pPr>
              <w:spacing w:after="0"/>
              <w:rPr>
                <w:sz w:val="20"/>
                <w:szCs w:val="20"/>
                <w:color w:val="auto"/>
              </w:rPr>
            </w:pPr>
          </w:p>
        </w:tc>
        <w:tc>
          <w:tcPr>
            <w:tcW w:w="276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Net amount reclassified from</w:t>
            </w: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40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36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8D8D8"/>
          </w:tcPr>
          <w:p>
            <w:pPr>
              <w:spacing w:after="0"/>
              <w:rPr>
                <w:sz w:val="17"/>
                <w:szCs w:val="17"/>
                <w:color w:val="auto"/>
              </w:rPr>
            </w:pPr>
          </w:p>
        </w:tc>
        <w:tc>
          <w:tcPr>
            <w:tcW w:w="2760" w:type="dxa"/>
            <w:vAlign w:val="bottom"/>
            <w:gridSpan w:val="2"/>
            <w:shd w:val="clear" w:color="auto" w:fill="D8D8D8"/>
          </w:tcPr>
          <w:p>
            <w:pPr>
              <w:ind w:left="140"/>
              <w:spacing w:after="0" w:line="202" w:lineRule="exact"/>
              <w:rPr>
                <w:sz w:val="20"/>
                <w:szCs w:val="20"/>
                <w:color w:val="auto"/>
              </w:rPr>
            </w:pPr>
            <w:r>
              <w:rPr>
                <w:rFonts w:ascii="Arial" w:cs="Arial" w:eastAsia="Arial" w:hAnsi="Arial"/>
                <w:sz w:val="18"/>
                <w:szCs w:val="18"/>
                <w:color w:val="auto"/>
              </w:rPr>
              <w:t>accumulated other</w:t>
            </w:r>
          </w:p>
        </w:tc>
        <w:tc>
          <w:tcPr>
            <w:tcW w:w="160" w:type="dxa"/>
            <w:vAlign w:val="bottom"/>
            <w:shd w:val="clear" w:color="auto" w:fill="D8D8D8"/>
          </w:tcPr>
          <w:p>
            <w:pPr>
              <w:spacing w:after="0"/>
              <w:rPr>
                <w:sz w:val="17"/>
                <w:szCs w:val="17"/>
                <w:color w:val="auto"/>
              </w:rPr>
            </w:pPr>
          </w:p>
        </w:tc>
        <w:tc>
          <w:tcPr>
            <w:tcW w:w="124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1060" w:type="dxa"/>
            <w:vAlign w:val="bottom"/>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140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13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8D8D8"/>
          </w:tcPr>
          <w:p>
            <w:pPr>
              <w:spacing w:after="0"/>
              <w:rPr>
                <w:sz w:val="20"/>
                <w:szCs w:val="20"/>
                <w:color w:val="auto"/>
              </w:rPr>
            </w:pPr>
          </w:p>
        </w:tc>
        <w:tc>
          <w:tcPr>
            <w:tcW w:w="276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D8D8D8"/>
          </w:tcPr>
          <w:p>
            <w:pPr>
              <w:spacing w:after="0"/>
              <w:rPr>
                <w:sz w:val="20"/>
                <w:szCs w:val="20"/>
                <w:color w:val="auto"/>
              </w:rPr>
            </w:pPr>
          </w:p>
        </w:tc>
        <w:tc>
          <w:tcPr>
            <w:tcW w:w="1240" w:type="dxa"/>
            <w:vAlign w:val="bottom"/>
            <w:tcBorders>
              <w:bottom w:val="single" w:sz="8" w:color="auto"/>
            </w:tcBorders>
            <w:shd w:val="clear" w:color="auto" w:fill="D8D8D8"/>
          </w:tcPr>
          <w:p>
            <w:pPr>
              <w:jc w:val="right"/>
              <w:ind w:right="1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20"/>
                <w:szCs w:val="20"/>
                <w:color w:val="auto"/>
              </w:rPr>
            </w:pPr>
          </w:p>
        </w:tc>
        <w:tc>
          <w:tcPr>
            <w:tcW w:w="106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(31.2)</w:t>
            </w:r>
          </w:p>
        </w:tc>
        <w:tc>
          <w:tcPr>
            <w:tcW w:w="300" w:type="dxa"/>
            <w:vAlign w:val="bottom"/>
            <w:tcBorders>
              <w:bottom w:val="single" w:sz="8" w:color="auto"/>
            </w:tcBorders>
            <w:shd w:val="clear" w:color="auto" w:fill="D8D8D8"/>
          </w:tcPr>
          <w:p>
            <w:pPr>
              <w:spacing w:after="0"/>
              <w:rPr>
                <w:sz w:val="20"/>
                <w:szCs w:val="20"/>
                <w:color w:val="auto"/>
              </w:rPr>
            </w:pPr>
          </w:p>
        </w:tc>
        <w:tc>
          <w:tcPr>
            <w:tcW w:w="1400" w:type="dxa"/>
            <w:vAlign w:val="bottom"/>
            <w:tcBorders>
              <w:bottom w:val="single" w:sz="8" w:color="auto"/>
            </w:tcBorders>
            <w:shd w:val="clear" w:color="auto" w:fill="D8D8D8"/>
          </w:tcPr>
          <w:p>
            <w:pPr>
              <w:jc w:val="right"/>
              <w:ind w:right="213"/>
              <w:spacing w:after="0"/>
              <w:rPr>
                <w:sz w:val="20"/>
                <w:szCs w:val="20"/>
                <w:color w:val="auto"/>
              </w:rPr>
            </w:pPr>
            <w:r>
              <w:rPr>
                <w:rFonts w:ascii="Arial" w:cs="Arial" w:eastAsia="Arial" w:hAnsi="Arial"/>
                <w:sz w:val="18"/>
                <w:szCs w:val="18"/>
                <w:color w:val="auto"/>
              </w:rPr>
              <w:t>207.9</w:t>
            </w:r>
          </w:p>
        </w:tc>
        <w:tc>
          <w:tcPr>
            <w:tcW w:w="220" w:type="dxa"/>
            <w:vAlign w:val="bottom"/>
            <w:tcBorders>
              <w:bottom w:val="single" w:sz="8" w:color="auto"/>
            </w:tcBorders>
            <w:shd w:val="clear" w:color="auto" w:fill="D8D8D8"/>
          </w:tcPr>
          <w:p>
            <w:pPr>
              <w:spacing w:after="0"/>
              <w:rPr>
                <w:sz w:val="20"/>
                <w:szCs w:val="20"/>
                <w:color w:val="auto"/>
              </w:rPr>
            </w:pPr>
          </w:p>
        </w:tc>
        <w:tc>
          <w:tcPr>
            <w:tcW w:w="1020" w:type="dxa"/>
            <w:vAlign w:val="bottom"/>
            <w:tcBorders>
              <w:bottom w:val="single" w:sz="8" w:color="auto"/>
            </w:tcBorders>
            <w:shd w:val="clear" w:color="auto" w:fill="D8D8D8"/>
          </w:tcPr>
          <w:p>
            <w:pPr>
              <w:jc w:val="right"/>
              <w:ind w:right="133"/>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auto"/>
            </w:tcBorders>
            <w:shd w:val="clear" w:color="auto" w:fill="D8D8D8"/>
          </w:tcPr>
          <w:p>
            <w:pPr>
              <w:spacing w:after="0"/>
              <w:rPr>
                <w:sz w:val="20"/>
                <w:szCs w:val="20"/>
                <w:color w:val="auto"/>
              </w:rPr>
            </w:pPr>
          </w:p>
        </w:tc>
        <w:tc>
          <w:tcPr>
            <w:tcW w:w="1020" w:type="dxa"/>
            <w:vAlign w:val="bottom"/>
            <w:tcBorders>
              <w:bottom w:val="single" w:sz="8" w:color="auto"/>
            </w:tcBorders>
            <w:shd w:val="clear" w:color="auto" w:fill="D8D8D8"/>
          </w:tcPr>
          <w:p>
            <w:pPr>
              <w:jc w:val="right"/>
              <w:ind w:right="133"/>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shd w:val="clear" w:color="auto" w:fill="D8D8D8"/>
          </w:tcPr>
          <w:p>
            <w:pPr>
              <w:spacing w:after="0"/>
              <w:rPr>
                <w:sz w:val="20"/>
                <w:szCs w:val="20"/>
                <w:color w:val="auto"/>
              </w:rPr>
            </w:pPr>
          </w:p>
        </w:tc>
        <w:tc>
          <w:tcPr>
            <w:tcW w:w="136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Net other comprehensive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D8D8D8"/>
            </w:tcBorders>
          </w:tcPr>
          <w:p>
            <w:pPr>
              <w:spacing w:after="0"/>
              <w:rPr>
                <w:sz w:val="19"/>
                <w:szCs w:val="19"/>
                <w:color w:val="auto"/>
              </w:rPr>
            </w:pPr>
          </w:p>
        </w:tc>
        <w:tc>
          <w:tcPr>
            <w:tcW w:w="2760" w:type="dxa"/>
            <w:vAlign w:val="bottom"/>
            <w:tcBorders>
              <w:bottom w:val="single" w:sz="8" w:color="D8D8D8"/>
            </w:tcBorders>
            <w:gridSpan w:val="2"/>
          </w:tcPr>
          <w:p>
            <w:pPr>
              <w:ind w:left="140"/>
              <w:spacing w:after="0"/>
              <w:rPr>
                <w:sz w:val="20"/>
                <w:szCs w:val="20"/>
                <w:color w:val="auto"/>
              </w:rPr>
            </w:pPr>
            <w:r>
              <w:rPr>
                <w:rFonts w:ascii="Arial" w:cs="Arial" w:eastAsia="Arial" w:hAnsi="Arial"/>
                <w:sz w:val="18"/>
                <w:szCs w:val="18"/>
                <w:color w:val="auto"/>
              </w:rPr>
              <w:t>income (loss)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(378.0)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458.6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0"/>
        </w:trPr>
        <w:tc>
          <w:tcPr>
            <w:tcW w:w="2800" w:type="dxa"/>
            <w:vAlign w:val="bottom"/>
            <w:gridSpan w:val="3"/>
            <w:shd w:val="clear" w:color="auto" w:fill="D8D8D8"/>
          </w:tcPr>
          <w:p>
            <w:pPr>
              <w:ind w:left="40"/>
              <w:spacing w:after="0"/>
              <w:rPr>
                <w:sz w:val="20"/>
                <w:szCs w:val="20"/>
                <w:color w:val="auto"/>
              </w:rPr>
            </w:pPr>
            <w:r>
              <w:rPr>
                <w:rFonts w:ascii="Arial" w:cs="Arial" w:eastAsia="Arial" w:hAnsi="Arial"/>
                <w:sz w:val="18"/>
                <w:szCs w:val="18"/>
                <w:color w:val="auto"/>
              </w:rPr>
              <w:t>Balance at December 31, 2018</w:t>
            </w:r>
            <w:r>
              <w:rPr>
                <w:rFonts w:ascii="Arial" w:cs="Arial" w:eastAsia="Arial" w:hAnsi="Arial"/>
                <w:sz w:val="21"/>
                <w:szCs w:val="21"/>
                <w:color w:val="auto"/>
                <w:vertAlign w:val="superscript"/>
              </w:rPr>
              <w:t>(4)</w:t>
            </w: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(1,569.7)</w:t>
            </w:r>
          </w:p>
        </w:tc>
        <w:tc>
          <w:tcPr>
            <w:tcW w:w="2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153"/>
              <w:spacing w:after="0"/>
              <w:rPr>
                <w:sz w:val="20"/>
                <w:szCs w:val="20"/>
                <w:color w:val="auto"/>
              </w:rPr>
            </w:pPr>
            <w:r>
              <w:rPr>
                <w:rFonts w:ascii="Arial" w:cs="Arial" w:eastAsia="Arial" w:hAnsi="Arial"/>
                <w:sz w:val="18"/>
                <w:szCs w:val="18"/>
                <w:color w:val="auto"/>
              </w:rPr>
              <w:t>(3,852.7)</w:t>
            </w:r>
          </w:p>
        </w:tc>
        <w:tc>
          <w:tcPr>
            <w:tcW w:w="22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(238.9)</w:t>
            </w:r>
          </w:p>
        </w:tc>
        <w:tc>
          <w:tcPr>
            <w:tcW w:w="28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D8D8D8"/>
          </w:tcPr>
          <w:p>
            <w:pPr>
              <w:spacing w:after="0"/>
              <w:rPr>
                <w:sz w:val="23"/>
                <w:szCs w:val="23"/>
                <w:color w:val="auto"/>
              </w:rPr>
            </w:pPr>
          </w:p>
        </w:tc>
        <w:tc>
          <w:tcPr>
            <w:tcW w:w="136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(5,740.2)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12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(46.2)</w:t>
            </w:r>
          </w:p>
        </w:tc>
        <w:tc>
          <w:tcPr>
            <w:tcW w:w="280" w:type="dxa"/>
            <w:vAlign w:val="bottom"/>
          </w:tcPr>
          <w:p>
            <w:pPr>
              <w:spacing w:after="0"/>
              <w:rPr>
                <w:sz w:val="19"/>
                <w:szCs w:val="19"/>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28.9</w:t>
            </w:r>
          </w:p>
        </w:tc>
        <w:tc>
          <w:tcPr>
            <w:tcW w:w="300" w:type="dxa"/>
            <w:vAlign w:val="bottom"/>
          </w:tcPr>
          <w:p>
            <w:pPr>
              <w:spacing w:after="0"/>
              <w:rPr>
                <w:sz w:val="19"/>
                <w:szCs w:val="19"/>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(967.6)</w:t>
            </w:r>
          </w:p>
        </w:tc>
        <w:tc>
          <w:tcPr>
            <w:tcW w:w="220" w:type="dxa"/>
            <w:vAlign w:val="bottom"/>
          </w:tcPr>
          <w:p>
            <w:pPr>
              <w:spacing w:after="0"/>
              <w:rPr>
                <w:sz w:val="19"/>
                <w:szCs w:val="19"/>
                <w:color w:val="auto"/>
              </w:rPr>
            </w:pPr>
          </w:p>
        </w:tc>
        <w:tc>
          <w:tcPr>
            <w:tcW w:w="102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14.5</w:t>
            </w:r>
          </w:p>
        </w:tc>
        <w:tc>
          <w:tcPr>
            <w:tcW w:w="280" w:type="dxa"/>
            <w:vAlign w:val="bottom"/>
          </w:tcPr>
          <w:p>
            <w:pPr>
              <w:spacing w:after="0"/>
              <w:rPr>
                <w:sz w:val="19"/>
                <w:szCs w:val="19"/>
                <w:color w:val="auto"/>
              </w:rPr>
            </w:pPr>
          </w:p>
        </w:tc>
        <w:tc>
          <w:tcPr>
            <w:tcW w:w="102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(27.2)</w:t>
            </w:r>
          </w:p>
        </w:tc>
        <w:tc>
          <w:tcPr>
            <w:tcW w:w="280" w:type="dxa"/>
            <w:vAlign w:val="bottom"/>
          </w:tcPr>
          <w:p>
            <w:pPr>
              <w:spacing w:after="0"/>
              <w:rPr>
                <w:sz w:val="19"/>
                <w:szCs w:val="19"/>
                <w:color w:val="auto"/>
              </w:rPr>
            </w:pPr>
          </w:p>
        </w:tc>
        <w:tc>
          <w:tcPr>
            <w:tcW w:w="13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(997.6)</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(loss) before reclassifications</w:t>
            </w: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shd w:val="clear" w:color="auto" w:fill="D8D8D8"/>
          </w:tcPr>
          <w:p>
            <w:pPr>
              <w:spacing w:after="0"/>
              <w:rPr>
                <w:sz w:val="20"/>
                <w:szCs w:val="20"/>
                <w:color w:val="auto"/>
              </w:rPr>
            </w:pPr>
          </w:p>
        </w:tc>
        <w:tc>
          <w:tcPr>
            <w:tcW w:w="276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Net amount reclassified from</w:t>
            </w: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40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36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D8D8D8"/>
          </w:tcPr>
          <w:p>
            <w:pPr>
              <w:spacing w:after="0"/>
              <w:rPr>
                <w:sz w:val="17"/>
                <w:szCs w:val="17"/>
                <w:color w:val="auto"/>
              </w:rPr>
            </w:pPr>
          </w:p>
        </w:tc>
        <w:tc>
          <w:tcPr>
            <w:tcW w:w="2760" w:type="dxa"/>
            <w:vAlign w:val="bottom"/>
            <w:gridSpan w:val="2"/>
            <w:shd w:val="clear" w:color="auto" w:fill="D8D8D8"/>
          </w:tcPr>
          <w:p>
            <w:pPr>
              <w:ind w:left="140"/>
              <w:spacing w:after="0" w:line="202" w:lineRule="exact"/>
              <w:rPr>
                <w:sz w:val="20"/>
                <w:szCs w:val="20"/>
                <w:color w:val="auto"/>
              </w:rPr>
            </w:pPr>
            <w:r>
              <w:rPr>
                <w:rFonts w:ascii="Arial" w:cs="Arial" w:eastAsia="Arial" w:hAnsi="Arial"/>
                <w:sz w:val="18"/>
                <w:szCs w:val="18"/>
                <w:color w:val="auto"/>
              </w:rPr>
              <w:t>accumulated other</w:t>
            </w:r>
          </w:p>
        </w:tc>
        <w:tc>
          <w:tcPr>
            <w:tcW w:w="160" w:type="dxa"/>
            <w:vAlign w:val="bottom"/>
            <w:shd w:val="clear" w:color="auto" w:fill="D8D8D8"/>
          </w:tcPr>
          <w:p>
            <w:pPr>
              <w:spacing w:after="0"/>
              <w:rPr>
                <w:sz w:val="17"/>
                <w:szCs w:val="17"/>
                <w:color w:val="auto"/>
              </w:rPr>
            </w:pPr>
          </w:p>
        </w:tc>
        <w:tc>
          <w:tcPr>
            <w:tcW w:w="1240" w:type="dxa"/>
            <w:vAlign w:val="bottom"/>
            <w:vMerge w:val="restart"/>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(62.1)</w:t>
            </w:r>
          </w:p>
        </w:tc>
        <w:tc>
          <w:tcPr>
            <w:tcW w:w="280" w:type="dxa"/>
            <w:vAlign w:val="bottom"/>
            <w:shd w:val="clear" w:color="auto" w:fill="D8D8D8"/>
          </w:tcPr>
          <w:p>
            <w:pPr>
              <w:spacing w:after="0"/>
              <w:rPr>
                <w:sz w:val="17"/>
                <w:szCs w:val="17"/>
                <w:color w:val="auto"/>
              </w:rPr>
            </w:pPr>
          </w:p>
        </w:tc>
        <w:tc>
          <w:tcPr>
            <w:tcW w:w="1060" w:type="dxa"/>
            <w:vAlign w:val="bottom"/>
            <w:vMerge w:val="restart"/>
            <w:shd w:val="clear" w:color="auto" w:fill="D8D8D8"/>
          </w:tcPr>
          <w:p>
            <w:pPr>
              <w:jc w:val="right"/>
              <w:ind w:right="76"/>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D8D8D8"/>
          </w:tcPr>
          <w:p>
            <w:pPr>
              <w:spacing w:after="0"/>
              <w:rPr>
                <w:sz w:val="17"/>
                <w:szCs w:val="17"/>
                <w:color w:val="auto"/>
              </w:rPr>
            </w:pPr>
          </w:p>
        </w:tc>
        <w:tc>
          <w:tcPr>
            <w:tcW w:w="1400" w:type="dxa"/>
            <w:vAlign w:val="bottom"/>
            <w:vMerge w:val="restart"/>
            <w:shd w:val="clear" w:color="auto" w:fill="D8D8D8"/>
          </w:tcPr>
          <w:p>
            <w:pPr>
              <w:jc w:val="right"/>
              <w:ind w:right="213"/>
              <w:spacing w:after="0"/>
              <w:rPr>
                <w:sz w:val="20"/>
                <w:szCs w:val="20"/>
                <w:color w:val="auto"/>
              </w:rPr>
            </w:pPr>
            <w:r>
              <w:rPr>
                <w:rFonts w:ascii="Arial" w:cs="Arial" w:eastAsia="Arial" w:hAnsi="Arial"/>
                <w:sz w:val="18"/>
                <w:szCs w:val="18"/>
                <w:b w:val="1"/>
                <w:bCs w:val="1"/>
                <w:color w:val="auto"/>
              </w:rPr>
              <w:t>181.7</w:t>
            </w:r>
          </w:p>
        </w:tc>
        <w:tc>
          <w:tcPr>
            <w:tcW w:w="220" w:type="dxa"/>
            <w:vAlign w:val="bottom"/>
            <w:shd w:val="clear" w:color="auto" w:fill="D8D8D8"/>
          </w:tcPr>
          <w:p>
            <w:pPr>
              <w:spacing w:after="0"/>
              <w:rPr>
                <w:sz w:val="17"/>
                <w:szCs w:val="17"/>
                <w:color w:val="auto"/>
              </w:rPr>
            </w:pPr>
          </w:p>
        </w:tc>
        <w:tc>
          <w:tcPr>
            <w:tcW w:w="1020" w:type="dxa"/>
            <w:vAlign w:val="bottom"/>
            <w:vMerge w:val="restart"/>
            <w:shd w:val="clear" w:color="auto" w:fill="D8D8D8"/>
          </w:tcPr>
          <w:p>
            <w:pPr>
              <w:jc w:val="right"/>
              <w:ind w:right="133"/>
              <w:spacing w:after="0"/>
              <w:rPr>
                <w:sz w:val="20"/>
                <w:szCs w:val="20"/>
                <w:color w:val="auto"/>
              </w:rPr>
            </w:pPr>
            <w:r>
              <w:rPr>
                <w:rFonts w:ascii="Arial" w:cs="Arial" w:eastAsia="Arial" w:hAnsi="Arial"/>
                <w:sz w:val="18"/>
                <w:szCs w:val="18"/>
                <w:b w:val="1"/>
                <w:bCs w:val="1"/>
                <w:color w:val="auto"/>
              </w:rPr>
              <w:t>12.5</w:t>
            </w:r>
          </w:p>
        </w:tc>
        <w:tc>
          <w:tcPr>
            <w:tcW w:w="280" w:type="dxa"/>
            <w:vAlign w:val="bottom"/>
            <w:shd w:val="clear" w:color="auto" w:fill="D8D8D8"/>
          </w:tcPr>
          <w:p>
            <w:pPr>
              <w:spacing w:after="0"/>
              <w:rPr>
                <w:sz w:val="17"/>
                <w:szCs w:val="17"/>
                <w:color w:val="auto"/>
              </w:rPr>
            </w:pPr>
          </w:p>
        </w:tc>
        <w:tc>
          <w:tcPr>
            <w:tcW w:w="1020" w:type="dxa"/>
            <w:vAlign w:val="bottom"/>
            <w:vMerge w:val="restart"/>
            <w:shd w:val="clear" w:color="auto" w:fill="D8D8D8"/>
          </w:tcPr>
          <w:p>
            <w:pPr>
              <w:jc w:val="right"/>
              <w:ind w:right="133"/>
              <w:spacing w:after="0"/>
              <w:rPr>
                <w:sz w:val="20"/>
                <w:szCs w:val="20"/>
                <w:color w:val="auto"/>
              </w:rPr>
            </w:pPr>
            <w:r>
              <w:rPr>
                <w:rFonts w:ascii="Arial" w:cs="Arial" w:eastAsia="Arial" w:hAnsi="Arial"/>
                <w:sz w:val="18"/>
                <w:szCs w:val="18"/>
                <w:b w:val="1"/>
                <w:bCs w:val="1"/>
                <w:color w:val="auto"/>
              </w:rPr>
              <w:t>84.0</w:t>
            </w:r>
          </w:p>
        </w:tc>
        <w:tc>
          <w:tcPr>
            <w:tcW w:w="280" w:type="dxa"/>
            <w:vAlign w:val="bottom"/>
            <w:shd w:val="clear" w:color="auto" w:fill="D8D8D8"/>
          </w:tcPr>
          <w:p>
            <w:pPr>
              <w:spacing w:after="0"/>
              <w:rPr>
                <w:sz w:val="17"/>
                <w:szCs w:val="17"/>
                <w:color w:val="auto"/>
              </w:rPr>
            </w:pPr>
          </w:p>
        </w:tc>
        <w:tc>
          <w:tcPr>
            <w:tcW w:w="1360" w:type="dxa"/>
            <w:vAlign w:val="bottom"/>
            <w:vMerge w:val="restart"/>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214.2</w:t>
            </w:r>
          </w:p>
        </w:tc>
        <w:tc>
          <w:tcPr>
            <w:tcW w:w="0" w:type="dxa"/>
            <w:vAlign w:val="bottom"/>
          </w:tcPr>
          <w:p>
            <w:pPr>
              <w:spacing w:after="0"/>
              <w:rPr>
                <w:sz w:val="1"/>
                <w:szCs w:val="1"/>
                <w:color w:val="auto"/>
              </w:rPr>
            </w:pPr>
          </w:p>
        </w:tc>
      </w:tr>
      <w:tr>
        <w:trPr>
          <w:trHeight w:val="230"/>
        </w:trPr>
        <w:tc>
          <w:tcPr>
            <w:tcW w:w="40" w:type="dxa"/>
            <w:vAlign w:val="bottom"/>
            <w:shd w:val="clear" w:color="auto" w:fill="D8D8D8"/>
          </w:tcPr>
          <w:p>
            <w:pPr>
              <w:spacing w:after="0"/>
              <w:rPr>
                <w:sz w:val="20"/>
                <w:szCs w:val="20"/>
                <w:color w:val="auto"/>
              </w:rPr>
            </w:pPr>
          </w:p>
        </w:tc>
        <w:tc>
          <w:tcPr>
            <w:tcW w:w="2760" w:type="dxa"/>
            <w:vAlign w:val="bottom"/>
            <w:gridSpan w:val="2"/>
            <w:shd w:val="clear" w:color="auto" w:fill="D8D8D8"/>
          </w:tcPr>
          <w:p>
            <w:pPr>
              <w:ind w:left="1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D8D8D8"/>
          </w:tcPr>
          <w:p>
            <w:pPr>
              <w:spacing w:after="0"/>
              <w:rPr>
                <w:sz w:val="20"/>
                <w:szCs w:val="20"/>
                <w:color w:val="auto"/>
              </w:rPr>
            </w:pPr>
          </w:p>
        </w:tc>
        <w:tc>
          <w:tcPr>
            <w:tcW w:w="1240" w:type="dxa"/>
            <w:vAlign w:val="bottom"/>
            <w:tcBorders>
              <w:bottom w:val="single" w:sz="8" w:color="auto"/>
            </w:tcBorders>
            <w:vMerge w:val="continue"/>
            <w:shd w:val="clear" w:color="auto" w:fill="D8D8D8"/>
          </w:tcPr>
          <w:p>
            <w:pPr>
              <w:spacing w:after="0"/>
              <w:rPr>
                <w:sz w:val="20"/>
                <w:szCs w:val="20"/>
                <w:color w:val="auto"/>
              </w:rPr>
            </w:pPr>
          </w:p>
        </w:tc>
        <w:tc>
          <w:tcPr>
            <w:tcW w:w="280" w:type="dxa"/>
            <w:vAlign w:val="bottom"/>
            <w:tcBorders>
              <w:bottom w:val="single" w:sz="8" w:color="auto"/>
            </w:tcBorders>
            <w:shd w:val="clear" w:color="auto" w:fill="D8D8D8"/>
          </w:tcPr>
          <w:p>
            <w:pPr>
              <w:spacing w:after="0"/>
              <w:rPr>
                <w:sz w:val="20"/>
                <w:szCs w:val="20"/>
                <w:color w:val="auto"/>
              </w:rPr>
            </w:pPr>
          </w:p>
        </w:tc>
        <w:tc>
          <w:tcPr>
            <w:tcW w:w="1060" w:type="dxa"/>
            <w:vAlign w:val="bottom"/>
            <w:tcBorders>
              <w:bottom w:val="single" w:sz="8" w:color="auto"/>
            </w:tcBorders>
            <w:vMerge w:val="continue"/>
            <w:shd w:val="clear" w:color="auto" w:fill="D8D8D8"/>
          </w:tcPr>
          <w:p>
            <w:pPr>
              <w:spacing w:after="0"/>
              <w:rPr>
                <w:sz w:val="20"/>
                <w:szCs w:val="20"/>
                <w:color w:val="auto"/>
              </w:rPr>
            </w:pPr>
          </w:p>
        </w:tc>
        <w:tc>
          <w:tcPr>
            <w:tcW w:w="300" w:type="dxa"/>
            <w:vAlign w:val="bottom"/>
            <w:tcBorders>
              <w:bottom w:val="single" w:sz="8" w:color="auto"/>
            </w:tcBorders>
            <w:shd w:val="clear" w:color="auto" w:fill="D8D8D8"/>
          </w:tcPr>
          <w:p>
            <w:pPr>
              <w:spacing w:after="0"/>
              <w:rPr>
                <w:sz w:val="20"/>
                <w:szCs w:val="20"/>
                <w:color w:val="auto"/>
              </w:rPr>
            </w:pPr>
          </w:p>
        </w:tc>
        <w:tc>
          <w:tcPr>
            <w:tcW w:w="1400" w:type="dxa"/>
            <w:vAlign w:val="bottom"/>
            <w:tcBorders>
              <w:bottom w:val="single" w:sz="8" w:color="auto"/>
            </w:tcBorders>
            <w:vMerge w:val="continue"/>
            <w:shd w:val="clear" w:color="auto" w:fill="D8D8D8"/>
          </w:tcPr>
          <w:p>
            <w:pPr>
              <w:spacing w:after="0"/>
              <w:rPr>
                <w:sz w:val="20"/>
                <w:szCs w:val="20"/>
                <w:color w:val="auto"/>
              </w:rPr>
            </w:pPr>
          </w:p>
        </w:tc>
        <w:tc>
          <w:tcPr>
            <w:tcW w:w="220" w:type="dxa"/>
            <w:vAlign w:val="bottom"/>
            <w:tcBorders>
              <w:bottom w:val="single" w:sz="8" w:color="auto"/>
            </w:tcBorders>
            <w:shd w:val="clear" w:color="auto" w:fill="D8D8D8"/>
          </w:tcPr>
          <w:p>
            <w:pPr>
              <w:spacing w:after="0"/>
              <w:rPr>
                <w:sz w:val="20"/>
                <w:szCs w:val="20"/>
                <w:color w:val="auto"/>
              </w:rPr>
            </w:pPr>
          </w:p>
        </w:tc>
        <w:tc>
          <w:tcPr>
            <w:tcW w:w="1020" w:type="dxa"/>
            <w:vAlign w:val="bottom"/>
            <w:tcBorders>
              <w:bottom w:val="single" w:sz="8" w:color="auto"/>
            </w:tcBorders>
            <w:vMerge w:val="continue"/>
            <w:shd w:val="clear" w:color="auto" w:fill="D8D8D8"/>
          </w:tcPr>
          <w:p>
            <w:pPr>
              <w:spacing w:after="0"/>
              <w:rPr>
                <w:sz w:val="20"/>
                <w:szCs w:val="20"/>
                <w:color w:val="auto"/>
              </w:rPr>
            </w:pPr>
          </w:p>
        </w:tc>
        <w:tc>
          <w:tcPr>
            <w:tcW w:w="280" w:type="dxa"/>
            <w:vAlign w:val="bottom"/>
            <w:tcBorders>
              <w:bottom w:val="single" w:sz="8" w:color="auto"/>
            </w:tcBorders>
            <w:shd w:val="clear" w:color="auto" w:fill="D8D8D8"/>
          </w:tcPr>
          <w:p>
            <w:pPr>
              <w:spacing w:after="0"/>
              <w:rPr>
                <w:sz w:val="20"/>
                <w:szCs w:val="20"/>
                <w:color w:val="auto"/>
              </w:rPr>
            </w:pPr>
          </w:p>
        </w:tc>
        <w:tc>
          <w:tcPr>
            <w:tcW w:w="1020" w:type="dxa"/>
            <w:vAlign w:val="bottom"/>
            <w:tcBorders>
              <w:bottom w:val="single" w:sz="8" w:color="auto"/>
            </w:tcBorders>
            <w:vMerge w:val="continue"/>
            <w:shd w:val="clear" w:color="auto" w:fill="D8D8D8"/>
          </w:tcPr>
          <w:p>
            <w:pPr>
              <w:spacing w:after="0"/>
              <w:rPr>
                <w:sz w:val="20"/>
                <w:szCs w:val="20"/>
                <w:color w:val="auto"/>
              </w:rPr>
            </w:pPr>
          </w:p>
        </w:tc>
        <w:tc>
          <w:tcPr>
            <w:tcW w:w="280" w:type="dxa"/>
            <w:vAlign w:val="bottom"/>
            <w:tcBorders>
              <w:bottom w:val="single" w:sz="8" w:color="auto"/>
            </w:tcBorders>
            <w:shd w:val="clear" w:color="auto" w:fill="D8D8D8"/>
          </w:tcPr>
          <w:p>
            <w:pPr>
              <w:spacing w:after="0"/>
              <w:rPr>
                <w:sz w:val="20"/>
                <w:szCs w:val="20"/>
                <w:color w:val="auto"/>
              </w:rPr>
            </w:pPr>
          </w:p>
        </w:tc>
        <w:tc>
          <w:tcPr>
            <w:tcW w:w="1360" w:type="dxa"/>
            <w:vAlign w:val="bottom"/>
            <w:tcBorders>
              <w:bottom w:val="single" w:sz="8" w:color="auto"/>
            </w:tcBorders>
            <w:vMerge w:val="continue"/>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Net other comprehensive</w:t>
            </w:r>
          </w:p>
        </w:tc>
        <w:tc>
          <w:tcPr>
            <w:tcW w:w="160" w:type="dxa"/>
            <w:vAlign w:val="bottom"/>
          </w:tcPr>
          <w:p>
            <w:pPr>
              <w:spacing w:after="0"/>
              <w:rPr>
                <w:sz w:val="18"/>
                <w:szCs w:val="18"/>
                <w:color w:val="auto"/>
              </w:rPr>
            </w:pPr>
          </w:p>
        </w:tc>
        <w:tc>
          <w:tcPr>
            <w:tcW w:w="12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(108.3)</w:t>
            </w:r>
          </w:p>
        </w:tc>
        <w:tc>
          <w:tcPr>
            <w:tcW w:w="280" w:type="dxa"/>
            <w:vAlign w:val="bottom"/>
          </w:tcPr>
          <w:p>
            <w:pPr>
              <w:spacing w:after="0"/>
              <w:rPr>
                <w:sz w:val="18"/>
                <w:szCs w:val="18"/>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27.0</w:t>
            </w:r>
          </w:p>
        </w:tc>
        <w:tc>
          <w:tcPr>
            <w:tcW w:w="300" w:type="dxa"/>
            <w:vAlign w:val="bottom"/>
          </w:tcPr>
          <w:p>
            <w:pPr>
              <w:spacing w:after="0"/>
              <w:rPr>
                <w:sz w:val="18"/>
                <w:szCs w:val="18"/>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(785.9)</w:t>
            </w:r>
          </w:p>
        </w:tc>
        <w:tc>
          <w:tcPr>
            <w:tcW w:w="220" w:type="dxa"/>
            <w:vAlign w:val="bottom"/>
          </w:tcPr>
          <w:p>
            <w:pPr>
              <w:spacing w:after="0"/>
              <w:rPr>
                <w:sz w:val="18"/>
                <w:szCs w:val="18"/>
                <w:color w:val="auto"/>
              </w:rPr>
            </w:pPr>
          </w:p>
        </w:tc>
        <w:tc>
          <w:tcPr>
            <w:tcW w:w="102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27.0</w:t>
            </w:r>
          </w:p>
        </w:tc>
        <w:tc>
          <w:tcPr>
            <w:tcW w:w="280" w:type="dxa"/>
            <w:vAlign w:val="bottom"/>
          </w:tcPr>
          <w:p>
            <w:pPr>
              <w:spacing w:after="0"/>
              <w:rPr>
                <w:sz w:val="18"/>
                <w:szCs w:val="18"/>
                <w:color w:val="auto"/>
              </w:rPr>
            </w:pPr>
          </w:p>
        </w:tc>
        <w:tc>
          <w:tcPr>
            <w:tcW w:w="102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56.8</w:t>
            </w:r>
          </w:p>
        </w:tc>
        <w:tc>
          <w:tcPr>
            <w:tcW w:w="280" w:type="dxa"/>
            <w:vAlign w:val="bottom"/>
          </w:tcPr>
          <w:p>
            <w:pPr>
              <w:spacing w:after="0"/>
              <w:rPr>
                <w:sz w:val="18"/>
                <w:szCs w:val="18"/>
                <w:color w:val="auto"/>
              </w:rPr>
            </w:pPr>
          </w:p>
        </w:tc>
        <w:tc>
          <w:tcPr>
            <w:tcW w:w="13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(783.4)</w:t>
            </w:r>
          </w:p>
        </w:tc>
        <w:tc>
          <w:tcPr>
            <w:tcW w:w="0" w:type="dxa"/>
            <w:vAlign w:val="bottom"/>
          </w:tcPr>
          <w:p>
            <w:pPr>
              <w:spacing w:after="0"/>
              <w:rPr>
                <w:sz w:val="1"/>
                <w:szCs w:val="1"/>
                <w:color w:val="auto"/>
              </w:rPr>
            </w:pPr>
          </w:p>
        </w:tc>
      </w:tr>
      <w:tr>
        <w:trPr>
          <w:trHeight w:val="224"/>
        </w:trPr>
        <w:tc>
          <w:tcPr>
            <w:tcW w:w="40" w:type="dxa"/>
            <w:vAlign w:val="bottom"/>
            <w:tcBorders>
              <w:bottom w:val="single" w:sz="8" w:color="D8D8D8"/>
            </w:tcBorders>
          </w:tcPr>
          <w:p>
            <w:pPr>
              <w:spacing w:after="0"/>
              <w:rPr>
                <w:sz w:val="19"/>
                <w:szCs w:val="19"/>
                <w:color w:val="auto"/>
              </w:rPr>
            </w:pPr>
          </w:p>
        </w:tc>
        <w:tc>
          <w:tcPr>
            <w:tcW w:w="2760" w:type="dxa"/>
            <w:vAlign w:val="bottom"/>
            <w:tcBorders>
              <w:bottom w:val="single" w:sz="8" w:color="D8D8D8"/>
            </w:tcBorders>
            <w:gridSpan w:val="2"/>
          </w:tcPr>
          <w:p>
            <w:pPr>
              <w:ind w:left="140"/>
              <w:spacing w:after="0"/>
              <w:rPr>
                <w:sz w:val="20"/>
                <w:szCs w:val="20"/>
                <w:color w:val="auto"/>
              </w:rPr>
            </w:pPr>
            <w:r>
              <w:rPr>
                <w:rFonts w:ascii="Arial" w:cs="Arial" w:eastAsia="Arial" w:hAnsi="Arial"/>
                <w:sz w:val="18"/>
                <w:szCs w:val="18"/>
                <w:color w:val="auto"/>
              </w:rPr>
              <w:t>income (loss)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gridSpan w:val="3"/>
            <w:shd w:val="clear" w:color="auto" w:fill="D8D8D8"/>
          </w:tcPr>
          <w:p>
            <w:pPr>
              <w:ind w:left="40"/>
              <w:spacing w:after="0"/>
              <w:rPr>
                <w:sz w:val="20"/>
                <w:szCs w:val="20"/>
                <w:color w:val="auto"/>
              </w:rPr>
            </w:pPr>
            <w:r>
              <w:rPr>
                <w:rFonts w:ascii="Arial" w:cs="Arial" w:eastAsia="Arial" w:hAnsi="Arial"/>
                <w:sz w:val="18"/>
                <w:szCs w:val="18"/>
                <w:color w:val="auto"/>
              </w:rPr>
              <w:t>Ending balance at December 31,</w:t>
            </w:r>
          </w:p>
        </w:tc>
        <w:tc>
          <w:tcPr>
            <w:tcW w:w="16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(1,678.0)</w:t>
            </w:r>
          </w:p>
        </w:tc>
        <w:tc>
          <w:tcPr>
            <w:tcW w:w="2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D8D8D8"/>
          </w:tcPr>
          <w:p>
            <w:pPr>
              <w:jc w:val="right"/>
              <w:ind w:right="136"/>
              <w:spacing w:after="0"/>
              <w:rPr>
                <w:sz w:val="20"/>
                <w:szCs w:val="20"/>
                <w:color w:val="auto"/>
              </w:rPr>
            </w:pPr>
            <w:r>
              <w:rPr>
                <w:rFonts w:ascii="Arial" w:cs="Arial" w:eastAsia="Arial" w:hAnsi="Arial"/>
                <w:sz w:val="18"/>
                <w:szCs w:val="18"/>
                <w:b w:val="1"/>
                <w:bCs w:val="1"/>
                <w:color w:val="auto"/>
              </w:rPr>
              <w:t>4.9</w:t>
            </w:r>
          </w:p>
        </w:tc>
        <w:tc>
          <w:tcPr>
            <w:tcW w:w="300" w:type="dxa"/>
            <w:vAlign w:val="bottom"/>
            <w:vMerge w:val="restart"/>
            <w:shd w:val="clear" w:color="auto" w:fill="D8D8D8"/>
          </w:tcPr>
          <w:p>
            <w:pPr>
              <w:ind w:left="160"/>
              <w:spacing w:after="0"/>
              <w:rPr>
                <w:sz w:val="20"/>
                <w:szCs w:val="20"/>
                <w:color w:val="auto"/>
              </w:rPr>
            </w:pPr>
            <w:r>
              <w:rPr>
                <w:rFonts w:ascii="Arial" w:cs="Arial" w:eastAsia="Arial" w:hAnsi="Arial"/>
                <w:sz w:val="18"/>
                <w:szCs w:val="18"/>
                <w:b w:val="1"/>
                <w:bCs w:val="1"/>
                <w:color w:val="auto"/>
              </w:rPr>
              <w:t>$</w:t>
            </w:r>
          </w:p>
        </w:tc>
        <w:tc>
          <w:tcPr>
            <w:tcW w:w="1400" w:type="dxa"/>
            <w:vAlign w:val="bottom"/>
            <w:vMerge w:val="restart"/>
            <w:shd w:val="clear" w:color="auto" w:fill="D8D8D8"/>
          </w:tcPr>
          <w:p>
            <w:pPr>
              <w:jc w:val="right"/>
              <w:ind w:right="153"/>
              <w:spacing w:after="0"/>
              <w:rPr>
                <w:sz w:val="20"/>
                <w:szCs w:val="20"/>
                <w:color w:val="auto"/>
              </w:rPr>
            </w:pPr>
            <w:r>
              <w:rPr>
                <w:rFonts w:ascii="Arial" w:cs="Arial" w:eastAsia="Arial" w:hAnsi="Arial"/>
                <w:sz w:val="18"/>
                <w:szCs w:val="18"/>
                <w:b w:val="1"/>
                <w:bCs w:val="1"/>
                <w:color w:val="auto"/>
              </w:rPr>
              <w:t>(4,638.6)</w:t>
            </w:r>
          </w:p>
        </w:tc>
        <w:tc>
          <w:tcPr>
            <w:tcW w:w="22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D8D8D8"/>
          </w:tcPr>
          <w:p>
            <w:pPr>
              <w:jc w:val="right"/>
              <w:ind w:right="73"/>
              <w:spacing w:after="0"/>
              <w:rPr>
                <w:sz w:val="20"/>
                <w:szCs w:val="20"/>
                <w:color w:val="auto"/>
              </w:rPr>
            </w:pPr>
            <w:r>
              <w:rPr>
                <w:rFonts w:ascii="Arial" w:cs="Arial" w:eastAsia="Arial" w:hAnsi="Arial"/>
                <w:sz w:val="18"/>
                <w:szCs w:val="18"/>
                <w:b w:val="1"/>
                <w:bCs w:val="1"/>
                <w:color w:val="auto"/>
              </w:rPr>
              <w:t>(211.9)</w:t>
            </w:r>
          </w:p>
        </w:tc>
        <w:tc>
          <w:tcPr>
            <w:tcW w:w="2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D8D8D8"/>
          </w:tcPr>
          <w:p>
            <w:pPr>
              <w:jc w:val="right"/>
              <w:ind w:right="133"/>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(6,523.6)</w:t>
            </w:r>
          </w:p>
        </w:tc>
        <w:tc>
          <w:tcPr>
            <w:tcW w:w="0" w:type="dxa"/>
            <w:vAlign w:val="bottom"/>
          </w:tcPr>
          <w:p>
            <w:pPr>
              <w:spacing w:after="0"/>
              <w:rPr>
                <w:sz w:val="1"/>
                <w:szCs w:val="1"/>
                <w:color w:val="auto"/>
              </w:rPr>
            </w:pPr>
          </w:p>
        </w:tc>
      </w:tr>
      <w:tr>
        <w:trPr>
          <w:trHeight w:val="224"/>
        </w:trPr>
        <w:tc>
          <w:tcPr>
            <w:tcW w:w="440" w:type="dxa"/>
            <w:vAlign w:val="bottom"/>
            <w:tcBorders>
              <w:bottom w:val="single" w:sz="8" w:color="D8D8D8"/>
            </w:tcBorders>
            <w:gridSpan w:val="2"/>
            <w:shd w:val="clear" w:color="auto" w:fill="D8D8D8"/>
          </w:tcPr>
          <w:p>
            <w:pPr>
              <w:ind w:left="40"/>
              <w:spacing w:after="0"/>
              <w:rPr>
                <w:sz w:val="20"/>
                <w:szCs w:val="20"/>
                <w:color w:val="auto"/>
              </w:rPr>
            </w:pPr>
            <w:r>
              <w:rPr>
                <w:rFonts w:ascii="Arial" w:cs="Arial" w:eastAsia="Arial" w:hAnsi="Arial"/>
                <w:sz w:val="18"/>
                <w:szCs w:val="18"/>
                <w:color w:val="auto"/>
                <w:w w:val="94"/>
              </w:rPr>
              <w:t>2019</w:t>
            </w:r>
          </w:p>
        </w:tc>
        <w:tc>
          <w:tcPr>
            <w:tcW w:w="2360" w:type="dxa"/>
            <w:vAlign w:val="bottom"/>
            <w:tcBorders>
              <w:bottom w:val="single" w:sz="8" w:color="D8D8D8"/>
            </w:tcBorders>
            <w:shd w:val="clear" w:color="auto" w:fill="D8D8D8"/>
          </w:tcPr>
          <w:p>
            <w:pPr>
              <w:spacing w:after="0"/>
              <w:rPr>
                <w:sz w:val="19"/>
                <w:szCs w:val="19"/>
                <w:color w:val="auto"/>
              </w:rPr>
            </w:pPr>
          </w:p>
        </w:tc>
        <w:tc>
          <w:tcPr>
            <w:tcW w:w="160" w:type="dxa"/>
            <w:vAlign w:val="bottom"/>
            <w:tcBorders>
              <w:bottom w:val="single" w:sz="8" w:color="auto"/>
            </w:tcBorders>
            <w:vMerge w:val="continue"/>
            <w:shd w:val="clear" w:color="auto" w:fill="D8D8D8"/>
          </w:tcPr>
          <w:p>
            <w:pPr>
              <w:spacing w:after="0"/>
              <w:rPr>
                <w:sz w:val="19"/>
                <w:szCs w:val="19"/>
                <w:color w:val="auto"/>
              </w:rPr>
            </w:pPr>
          </w:p>
        </w:tc>
        <w:tc>
          <w:tcPr>
            <w:tcW w:w="1240" w:type="dxa"/>
            <w:vAlign w:val="bottom"/>
            <w:tcBorders>
              <w:bottom w:val="single" w:sz="8" w:color="auto"/>
            </w:tcBorders>
            <w:vMerge w:val="continue"/>
            <w:shd w:val="clear" w:color="auto" w:fill="D8D8D8"/>
          </w:tcPr>
          <w:p>
            <w:pPr>
              <w:spacing w:after="0"/>
              <w:rPr>
                <w:sz w:val="19"/>
                <w:szCs w:val="19"/>
                <w:color w:val="auto"/>
              </w:rPr>
            </w:pPr>
          </w:p>
        </w:tc>
        <w:tc>
          <w:tcPr>
            <w:tcW w:w="280" w:type="dxa"/>
            <w:vAlign w:val="bottom"/>
            <w:tcBorders>
              <w:bottom w:val="single" w:sz="8" w:color="auto"/>
            </w:tcBorders>
            <w:vMerge w:val="continue"/>
            <w:shd w:val="clear" w:color="auto" w:fill="D8D8D8"/>
          </w:tcPr>
          <w:p>
            <w:pPr>
              <w:spacing w:after="0"/>
              <w:rPr>
                <w:sz w:val="19"/>
                <w:szCs w:val="19"/>
                <w:color w:val="auto"/>
              </w:rPr>
            </w:pPr>
          </w:p>
        </w:tc>
        <w:tc>
          <w:tcPr>
            <w:tcW w:w="1060" w:type="dxa"/>
            <w:vAlign w:val="bottom"/>
            <w:tcBorders>
              <w:bottom w:val="single" w:sz="8" w:color="auto"/>
            </w:tcBorders>
            <w:vMerge w:val="continue"/>
            <w:shd w:val="clear" w:color="auto" w:fill="D8D8D8"/>
          </w:tcPr>
          <w:p>
            <w:pPr>
              <w:spacing w:after="0"/>
              <w:rPr>
                <w:sz w:val="19"/>
                <w:szCs w:val="19"/>
                <w:color w:val="auto"/>
              </w:rPr>
            </w:pPr>
          </w:p>
        </w:tc>
        <w:tc>
          <w:tcPr>
            <w:tcW w:w="300" w:type="dxa"/>
            <w:vAlign w:val="bottom"/>
            <w:tcBorders>
              <w:bottom w:val="single" w:sz="8" w:color="auto"/>
            </w:tcBorders>
            <w:vMerge w:val="continue"/>
            <w:shd w:val="clear" w:color="auto" w:fill="D8D8D8"/>
          </w:tcPr>
          <w:p>
            <w:pPr>
              <w:spacing w:after="0"/>
              <w:rPr>
                <w:sz w:val="19"/>
                <w:szCs w:val="19"/>
                <w:color w:val="auto"/>
              </w:rPr>
            </w:pPr>
          </w:p>
        </w:tc>
        <w:tc>
          <w:tcPr>
            <w:tcW w:w="1400" w:type="dxa"/>
            <w:vAlign w:val="bottom"/>
            <w:tcBorders>
              <w:bottom w:val="single" w:sz="8" w:color="auto"/>
            </w:tcBorders>
            <w:vMerge w:val="continue"/>
            <w:shd w:val="clear" w:color="auto" w:fill="D8D8D8"/>
          </w:tcPr>
          <w:p>
            <w:pPr>
              <w:spacing w:after="0"/>
              <w:rPr>
                <w:sz w:val="19"/>
                <w:szCs w:val="19"/>
                <w:color w:val="auto"/>
              </w:rPr>
            </w:pPr>
          </w:p>
        </w:tc>
        <w:tc>
          <w:tcPr>
            <w:tcW w:w="220" w:type="dxa"/>
            <w:vAlign w:val="bottom"/>
            <w:tcBorders>
              <w:bottom w:val="single" w:sz="8" w:color="auto"/>
            </w:tcBorders>
            <w:vMerge w:val="continue"/>
            <w:shd w:val="clear" w:color="auto" w:fill="D8D8D8"/>
          </w:tcPr>
          <w:p>
            <w:pPr>
              <w:spacing w:after="0"/>
              <w:rPr>
                <w:sz w:val="19"/>
                <w:szCs w:val="19"/>
                <w:color w:val="auto"/>
              </w:rPr>
            </w:pPr>
          </w:p>
        </w:tc>
        <w:tc>
          <w:tcPr>
            <w:tcW w:w="1020" w:type="dxa"/>
            <w:vAlign w:val="bottom"/>
            <w:tcBorders>
              <w:bottom w:val="single" w:sz="8" w:color="auto"/>
            </w:tcBorders>
            <w:vMerge w:val="continue"/>
            <w:shd w:val="clear" w:color="auto" w:fill="D8D8D8"/>
          </w:tcPr>
          <w:p>
            <w:pPr>
              <w:spacing w:after="0"/>
              <w:rPr>
                <w:sz w:val="19"/>
                <w:szCs w:val="19"/>
                <w:color w:val="auto"/>
              </w:rPr>
            </w:pPr>
          </w:p>
        </w:tc>
        <w:tc>
          <w:tcPr>
            <w:tcW w:w="280" w:type="dxa"/>
            <w:vAlign w:val="bottom"/>
            <w:tcBorders>
              <w:bottom w:val="single" w:sz="8" w:color="auto"/>
            </w:tcBorders>
            <w:vMerge w:val="continue"/>
            <w:shd w:val="clear" w:color="auto" w:fill="D8D8D8"/>
          </w:tcPr>
          <w:p>
            <w:pPr>
              <w:spacing w:after="0"/>
              <w:rPr>
                <w:sz w:val="19"/>
                <w:szCs w:val="19"/>
                <w:color w:val="auto"/>
              </w:rPr>
            </w:pPr>
          </w:p>
        </w:tc>
        <w:tc>
          <w:tcPr>
            <w:tcW w:w="1020" w:type="dxa"/>
            <w:vAlign w:val="bottom"/>
            <w:tcBorders>
              <w:bottom w:val="single" w:sz="8" w:color="auto"/>
            </w:tcBorders>
            <w:vMerge w:val="continue"/>
            <w:shd w:val="clear" w:color="auto" w:fill="D8D8D8"/>
          </w:tcPr>
          <w:p>
            <w:pPr>
              <w:spacing w:after="0"/>
              <w:rPr>
                <w:sz w:val="19"/>
                <w:szCs w:val="19"/>
                <w:color w:val="auto"/>
              </w:rPr>
            </w:pPr>
          </w:p>
        </w:tc>
        <w:tc>
          <w:tcPr>
            <w:tcW w:w="280" w:type="dxa"/>
            <w:vAlign w:val="bottom"/>
            <w:tcBorders>
              <w:bottom w:val="single" w:sz="8" w:color="auto"/>
            </w:tcBorders>
            <w:vMerge w:val="continue"/>
            <w:shd w:val="clear" w:color="auto" w:fill="D8D8D8"/>
          </w:tcPr>
          <w:p>
            <w:pPr>
              <w:spacing w:after="0"/>
              <w:rPr>
                <w:sz w:val="19"/>
                <w:szCs w:val="19"/>
                <w:color w:val="auto"/>
              </w:rPr>
            </w:pPr>
          </w:p>
        </w:tc>
        <w:tc>
          <w:tcPr>
            <w:tcW w:w="136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180" w:right="320" w:hanging="172"/>
        <w:spacing w:after="0" w:line="225" w:lineRule="auto"/>
        <w:tabs>
          <w:tab w:leader="none" w:pos="153" w:val="left"/>
        </w:tabs>
        <w:numPr>
          <w:ilvl w:val="0"/>
          <w:numId w:val="62"/>
        </w:numPr>
        <w:rPr>
          <w:rFonts w:ascii="Arial" w:cs="Arial" w:eastAsia="Arial" w:hAnsi="Arial"/>
          <w:sz w:val="17"/>
          <w:szCs w:val="17"/>
          <w:color w:val="auto"/>
          <w:vertAlign w:val="superscript"/>
        </w:rPr>
      </w:pPr>
      <w:r>
        <w:rPr>
          <w:rFonts w:ascii="Arial" w:cs="Arial" w:eastAsia="Arial" w:hAnsi="Arial"/>
          <w:sz w:val="14"/>
          <w:szCs w:val="14"/>
          <w:color w:val="auto"/>
        </w:rPr>
        <w:t>Accumulated other comprehensive loss as of January 1, 2017 consists of $5.27 billion of accumulated other comprehensive loss attributable to controlling interest and $48.2 million of accumulated other comprehensive income attributable to noncontrolling interest.</w:t>
      </w:r>
    </w:p>
    <w:p>
      <w:pPr>
        <w:spacing w:after="0" w:line="97" w:lineRule="exact"/>
        <w:rPr>
          <w:rFonts w:ascii="Arial" w:cs="Arial" w:eastAsia="Arial" w:hAnsi="Arial"/>
          <w:sz w:val="17"/>
          <w:szCs w:val="17"/>
          <w:color w:val="auto"/>
          <w:vertAlign w:val="superscript"/>
        </w:rPr>
      </w:pPr>
    </w:p>
    <w:p>
      <w:pPr>
        <w:ind w:left="180" w:right="80" w:hanging="172"/>
        <w:spacing w:after="0" w:line="225" w:lineRule="auto"/>
        <w:tabs>
          <w:tab w:leader="none" w:pos="153" w:val="left"/>
        </w:tabs>
        <w:numPr>
          <w:ilvl w:val="0"/>
          <w:numId w:val="62"/>
        </w:numPr>
        <w:rPr>
          <w:rFonts w:ascii="Arial" w:cs="Arial" w:eastAsia="Arial" w:hAnsi="Arial"/>
          <w:sz w:val="17"/>
          <w:szCs w:val="17"/>
          <w:color w:val="auto"/>
          <w:vertAlign w:val="superscript"/>
        </w:rPr>
      </w:pPr>
      <w:r>
        <w:rPr>
          <w:rFonts w:ascii="Arial" w:cs="Arial" w:eastAsia="Arial" w:hAnsi="Arial"/>
          <w:sz w:val="14"/>
          <w:szCs w:val="14"/>
          <w:color w:val="auto"/>
        </w:rPr>
        <w:t>Accumulated other comprehensive loss as of December 31, 2017 consists of $5.72 billion of accumulated other comprehensive loss attributable to controlling interest and $23.7 million of accumulated other comprehensive income attributable to noncontrolling interest.</w:t>
      </w:r>
    </w:p>
    <w:p>
      <w:pPr>
        <w:spacing w:after="0" w:line="97" w:lineRule="exact"/>
        <w:rPr>
          <w:rFonts w:ascii="Arial" w:cs="Arial" w:eastAsia="Arial" w:hAnsi="Arial"/>
          <w:sz w:val="17"/>
          <w:szCs w:val="17"/>
          <w:color w:val="auto"/>
          <w:vertAlign w:val="superscript"/>
        </w:rPr>
      </w:pPr>
    </w:p>
    <w:p>
      <w:pPr>
        <w:ind w:left="180" w:right="40" w:hanging="172"/>
        <w:spacing w:after="0" w:line="225" w:lineRule="auto"/>
        <w:tabs>
          <w:tab w:leader="none" w:pos="153" w:val="left"/>
        </w:tabs>
        <w:numPr>
          <w:ilvl w:val="0"/>
          <w:numId w:val="62"/>
        </w:numPr>
        <w:rPr>
          <w:rFonts w:ascii="Arial" w:cs="Arial" w:eastAsia="Arial" w:hAnsi="Arial"/>
          <w:sz w:val="17"/>
          <w:szCs w:val="17"/>
          <w:color w:val="auto"/>
          <w:vertAlign w:val="superscript"/>
        </w:rPr>
      </w:pPr>
      <w:r>
        <w:rPr>
          <w:rFonts w:ascii="Arial" w:cs="Arial" w:eastAsia="Arial" w:hAnsi="Arial"/>
          <w:sz w:val="14"/>
          <w:szCs w:val="14"/>
          <w:color w:val="auto"/>
        </w:rPr>
        <w:t>This reclassification consists of $105.2 million of accumulated other comprehensive loss attributable to controlling interest and $23.7 million of accumulated other comprehensive loss attributable to noncontrolling interest. Refer to Note 1 for further details regarding the reclassification due to the adoption of ASU 2016-01.</w:t>
      </w:r>
    </w:p>
    <w:p>
      <w:pPr>
        <w:spacing w:after="0" w:line="97" w:lineRule="exact"/>
        <w:rPr>
          <w:rFonts w:ascii="Arial" w:cs="Arial" w:eastAsia="Arial" w:hAnsi="Arial"/>
          <w:sz w:val="17"/>
          <w:szCs w:val="17"/>
          <w:color w:val="auto"/>
          <w:vertAlign w:val="superscript"/>
        </w:rPr>
      </w:pPr>
    </w:p>
    <w:p>
      <w:pPr>
        <w:ind w:left="180" w:right="80" w:hanging="172"/>
        <w:spacing w:after="0" w:line="225" w:lineRule="auto"/>
        <w:tabs>
          <w:tab w:leader="none" w:pos="153" w:val="left"/>
        </w:tabs>
        <w:numPr>
          <w:ilvl w:val="0"/>
          <w:numId w:val="62"/>
        </w:numPr>
        <w:rPr>
          <w:rFonts w:ascii="Arial" w:cs="Arial" w:eastAsia="Arial" w:hAnsi="Arial"/>
          <w:sz w:val="17"/>
          <w:szCs w:val="17"/>
          <w:color w:val="auto"/>
          <w:vertAlign w:val="superscript"/>
        </w:rPr>
      </w:pPr>
      <w:r>
        <w:rPr>
          <w:rFonts w:ascii="Arial" w:cs="Arial" w:eastAsia="Arial" w:hAnsi="Arial"/>
          <w:sz w:val="14"/>
          <w:szCs w:val="14"/>
          <w:color w:val="auto"/>
        </w:rPr>
        <w:t>Accumulated other comprehensive loss as of December 31, 2018 consists of $5.73 billion of accumulated other comprehensive loss attributable to controlling interest and $11.0 million of accumulated other comprehensive loss attributable to noncontrolling interest.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96</w:t>
      </w:r>
    </w:p>
    <w:p>
      <w:pPr>
        <w:sectPr>
          <w:pgSz w:w="11900" w:h="16838" w:orient="portrait"/>
          <w:cols w:equalWidth="0" w:num="1">
            <w:col w:w="11420"/>
          </w:cols>
          <w:pgMar w:left="240" w:top="549" w:right="239" w:bottom="1440" w:gutter="0" w:footer="0" w:header="0"/>
        </w:sectPr>
      </w:pPr>
    </w:p>
    <w:bookmarkStart w:id="96" w:name="page97"/>
    <w:bookmarkEnd w:id="96"/>
    <w:p>
      <w:pPr>
        <w:ind w:right="80"/>
        <w:spacing w:after="0" w:line="262"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36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(18.4)</w:t>
            </w:r>
          </w:p>
        </w:tc>
        <w:tc>
          <w:tcPr>
            <w:tcW w:w="4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color w:val="auto"/>
              </w:rPr>
              <w:t>51.6</w:t>
            </w:r>
          </w:p>
        </w:tc>
        <w:tc>
          <w:tcPr>
            <w:tcW w:w="4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133"/>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36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(7.4)</w:t>
            </w:r>
          </w:p>
        </w:tc>
        <w:tc>
          <w:tcPr>
            <w:tcW w:w="480" w:type="dxa"/>
            <w:vAlign w:val="bottom"/>
          </w:tcPr>
          <w:p>
            <w:pPr>
              <w:spacing w:after="0"/>
              <w:rPr>
                <w:sz w:val="22"/>
                <w:szCs w:val="22"/>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2"/>
                <w:szCs w:val="22"/>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7"/>
        </w:trPr>
        <w:tc>
          <w:tcPr>
            <w:tcW w:w="6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36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184.1</w:t>
            </w:r>
          </w:p>
        </w:tc>
        <w:tc>
          <w:tcPr>
            <w:tcW w:w="4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(85.3)</w:t>
            </w:r>
          </w:p>
        </w:tc>
        <w:tc>
          <w:tcPr>
            <w:tcW w:w="48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133"/>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(7.3)</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5"/>
        </w:trPr>
        <w:tc>
          <w:tcPr>
            <w:tcW w:w="6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Benefit/(provision) for income taxes allocated to other comprehensive income (loss)</w:t>
            </w:r>
          </w:p>
        </w:tc>
        <w:tc>
          <w:tcPr>
            <w:tcW w:w="36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151.0</w:t>
            </w:r>
          </w:p>
        </w:tc>
        <w:tc>
          <w:tcPr>
            <w:tcW w:w="4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color w:val="auto"/>
              </w:rPr>
              <w:t>(30.3)</w:t>
            </w:r>
          </w:p>
        </w:tc>
        <w:tc>
          <w:tcPr>
            <w:tcW w:w="4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D8D8D8"/>
          </w:tcPr>
          <w:p>
            <w:pPr>
              <w:jc w:val="right"/>
              <w:ind w:right="133"/>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24"/>
        </w:trPr>
        <w:tc>
          <w:tcPr>
            <w:tcW w:w="67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items</w:t>
            </w:r>
          </w:p>
        </w:tc>
        <w:tc>
          <w:tcPr>
            <w:tcW w:w="360" w:type="dxa"/>
            <w:vAlign w:val="bottom"/>
            <w:tcBorders>
              <w:bottom w:val="single" w:sz="8" w:color="auto"/>
            </w:tcBorders>
            <w:vMerge w:val="continue"/>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480" w:type="dxa"/>
            <w:vAlign w:val="bottom"/>
            <w:tcBorders>
              <w:bottom w:val="single" w:sz="8" w:color="auto"/>
            </w:tcBorders>
            <w:vMerge w:val="continue"/>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480" w:type="dxa"/>
            <w:vAlign w:val="bottom"/>
            <w:tcBorders>
              <w:bottom w:val="single" w:sz="8" w:color="auto"/>
            </w:tcBorders>
            <w:vMerge w:val="continue"/>
            <w:shd w:val="clear" w:color="auto" w:fill="D8D8D8"/>
          </w:tcPr>
          <w:p>
            <w:pPr>
              <w:spacing w:after="0"/>
              <w:rPr>
                <w:sz w:val="19"/>
                <w:szCs w:val="19"/>
                <w:color w:val="auto"/>
              </w:rPr>
            </w:pPr>
          </w:p>
        </w:tc>
        <w:tc>
          <w:tcPr>
            <w:tcW w:w="112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Details about Accumulated Other</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3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80"/>
        </w:trPr>
        <w:tc>
          <w:tcPr>
            <w:tcW w:w="33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Comprehensive Loss Components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33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28"/>
        </w:trPr>
        <w:tc>
          <w:tcPr>
            <w:tcW w:w="33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retirement benefit</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33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items:</w:t>
            </w:r>
          </w:p>
        </w:tc>
        <w:tc>
          <w:tcPr>
            <w:tcW w:w="34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130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334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60" w:type="dxa"/>
            <w:vAlign w:val="bottom"/>
          </w:tcPr>
          <w:p>
            <w:pPr>
              <w:ind w:left="500"/>
              <w:spacing w:after="0"/>
              <w:rPr>
                <w:sz w:val="20"/>
                <w:szCs w:val="20"/>
                <w:color w:val="auto"/>
              </w:rPr>
            </w:pPr>
            <w:r>
              <w:rPr>
                <w:rFonts w:ascii="Arial" w:cs="Arial" w:eastAsia="Arial" w:hAnsi="Arial"/>
                <w:sz w:val="18"/>
                <w:szCs w:val="18"/>
                <w:color w:val="auto"/>
              </w:rPr>
              <w:t>Prior service benefits, net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(56.8)</w:t>
            </w:r>
          </w:p>
        </w:tc>
        <w:tc>
          <w:tcPr>
            <w:tcW w:w="6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91"/>
              <w:spacing w:after="0"/>
              <w:rPr>
                <w:sz w:val="20"/>
                <w:szCs w:val="20"/>
                <w:color w:val="auto"/>
              </w:rPr>
            </w:pPr>
            <w:r>
              <w:rPr>
                <w:rFonts w:ascii="Arial" w:cs="Arial" w:eastAsia="Arial" w:hAnsi="Arial"/>
                <w:sz w:val="18"/>
                <w:szCs w:val="18"/>
                <w:color w:val="auto"/>
              </w:rPr>
              <w:t>(74.9)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(84.4)</w:t>
            </w:r>
          </w:p>
        </w:tc>
        <w:tc>
          <w:tcPr>
            <w:tcW w:w="3340" w:type="dxa"/>
            <w:vAlign w:val="bottom"/>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500"/>
              <w:spacing w:after="0"/>
              <w:rPr>
                <w:sz w:val="20"/>
                <w:szCs w:val="20"/>
                <w:color w:val="auto"/>
              </w:rPr>
            </w:pPr>
            <w:r>
              <w:rPr>
                <w:rFonts w:ascii="Arial" w:cs="Arial" w:eastAsia="Arial" w:hAnsi="Arial"/>
                <w:sz w:val="18"/>
                <w:szCs w:val="18"/>
                <w:color w:val="auto"/>
              </w:rPr>
              <w:t>Actuarial losses</w:t>
            </w:r>
          </w:p>
        </w:tc>
        <w:tc>
          <w:tcPr>
            <w:tcW w:w="3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286.8</w:t>
            </w:r>
          </w:p>
        </w:tc>
        <w:tc>
          <w:tcPr>
            <w:tcW w:w="600" w:type="dxa"/>
            <w:vAlign w:val="bottom"/>
            <w:tcBorders>
              <w:bottom w:val="single" w:sz="8" w:color="auto"/>
            </w:tcBorders>
            <w:shd w:val="clear" w:color="auto" w:fill="D8D8D8"/>
          </w:tcPr>
          <w:p>
            <w:pPr>
              <w:spacing w:after="0"/>
              <w:rPr>
                <w:sz w:val="23"/>
                <w:szCs w:val="23"/>
                <w:color w:val="auto"/>
              </w:rPr>
            </w:pPr>
          </w:p>
        </w:tc>
        <w:tc>
          <w:tcPr>
            <w:tcW w:w="13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338.6</w:t>
            </w:r>
          </w:p>
        </w:tc>
        <w:tc>
          <w:tcPr>
            <w:tcW w:w="34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305.2</w:t>
            </w:r>
          </w:p>
        </w:tc>
        <w:tc>
          <w:tcPr>
            <w:tcW w:w="33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3"/>
        </w:trPr>
        <w:tc>
          <w:tcPr>
            <w:tcW w:w="3360" w:type="dxa"/>
            <w:vAlign w:val="bottom"/>
          </w:tcPr>
          <w:p>
            <w:pPr>
              <w:jc w:val="right"/>
              <w:ind w:right="72"/>
              <w:spacing w:after="0"/>
              <w:rPr>
                <w:sz w:val="20"/>
                <w:szCs w:val="20"/>
                <w:color w:val="auto"/>
              </w:rPr>
            </w:pPr>
            <w:r>
              <w:rPr>
                <w:rFonts w:ascii="Arial" w:cs="Arial" w:eastAsia="Arial" w:hAnsi="Arial"/>
                <w:sz w:val="18"/>
                <w:szCs w:val="18"/>
                <w:color w:val="auto"/>
              </w:rPr>
              <w:t>Total before tax</w:t>
            </w:r>
          </w:p>
        </w:tc>
        <w:tc>
          <w:tcPr>
            <w:tcW w:w="34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230.0</w:t>
            </w:r>
          </w:p>
        </w:tc>
        <w:tc>
          <w:tcPr>
            <w:tcW w:w="600" w:type="dxa"/>
            <w:vAlign w:val="bottom"/>
          </w:tcPr>
          <w:p>
            <w:pPr>
              <w:spacing w:after="0"/>
              <w:rPr>
                <w:sz w:val="22"/>
                <w:szCs w:val="22"/>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263.7</w:t>
            </w:r>
          </w:p>
        </w:tc>
        <w:tc>
          <w:tcPr>
            <w:tcW w:w="34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220.8</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(48.3)</w:t>
            </w:r>
          </w:p>
        </w:tc>
        <w:tc>
          <w:tcPr>
            <w:tcW w:w="600" w:type="dxa"/>
            <w:vAlign w:val="bottom"/>
            <w:tcBorders>
              <w:bottom w:val="single" w:sz="8" w:color="auto"/>
            </w:tcBorders>
            <w:shd w:val="clear" w:color="auto" w:fill="D8D8D8"/>
          </w:tcPr>
          <w:p>
            <w:pPr>
              <w:spacing w:after="0"/>
              <w:rPr>
                <w:sz w:val="23"/>
                <w:szCs w:val="23"/>
                <w:color w:val="auto"/>
              </w:rPr>
            </w:pPr>
          </w:p>
        </w:tc>
        <w:tc>
          <w:tcPr>
            <w:tcW w:w="1300" w:type="dxa"/>
            <w:vAlign w:val="bottom"/>
            <w:tcBorders>
              <w:bottom w:val="single" w:sz="8" w:color="auto"/>
            </w:tcBorders>
            <w:shd w:val="clear" w:color="auto" w:fill="D8D8D8"/>
          </w:tcPr>
          <w:p>
            <w:pPr>
              <w:jc w:val="right"/>
              <w:ind w:right="291"/>
              <w:spacing w:after="0"/>
              <w:rPr>
                <w:sz w:val="20"/>
                <w:szCs w:val="20"/>
                <w:color w:val="auto"/>
              </w:rPr>
            </w:pPr>
            <w:r>
              <w:rPr>
                <w:rFonts w:ascii="Arial" w:cs="Arial" w:eastAsia="Arial" w:hAnsi="Arial"/>
                <w:sz w:val="18"/>
                <w:szCs w:val="18"/>
                <w:color w:val="auto"/>
              </w:rPr>
              <w:t>(55.8)</w:t>
            </w:r>
          </w:p>
        </w:tc>
        <w:tc>
          <w:tcPr>
            <w:tcW w:w="34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(68.9)</w:t>
            </w:r>
          </w:p>
        </w:tc>
        <w:tc>
          <w:tcPr>
            <w:tcW w:w="33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360" w:type="dxa"/>
            <w:vAlign w:val="bottom"/>
          </w:tcPr>
          <w:p>
            <w:pPr>
              <w:jc w:val="right"/>
              <w:ind w:right="72"/>
              <w:spacing w:after="0"/>
              <w:rPr>
                <w:sz w:val="20"/>
                <w:szCs w:val="20"/>
                <w:color w:val="auto"/>
              </w:rPr>
            </w:pPr>
            <w:r>
              <w:rPr>
                <w:rFonts w:ascii="Arial" w:cs="Arial" w:eastAsia="Arial" w:hAnsi="Arial"/>
                <w:sz w:val="18"/>
                <w:szCs w:val="18"/>
                <w:color w:val="auto"/>
              </w:rPr>
              <w:t>Net of tax</w:t>
            </w:r>
          </w:p>
        </w:tc>
        <w:tc>
          <w:tcPr>
            <w:tcW w:w="340" w:type="dxa"/>
            <w:vAlign w:val="bottom"/>
          </w:tcPr>
          <w:p>
            <w:pPr>
              <w:spacing w:after="0"/>
              <w:rPr>
                <w:sz w:val="22"/>
                <w:szCs w:val="22"/>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181.7</w:t>
            </w:r>
          </w:p>
        </w:tc>
        <w:tc>
          <w:tcPr>
            <w:tcW w:w="600" w:type="dxa"/>
            <w:vAlign w:val="bottom"/>
          </w:tcPr>
          <w:p>
            <w:pPr>
              <w:spacing w:after="0"/>
              <w:rPr>
                <w:sz w:val="22"/>
                <w:szCs w:val="22"/>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207.9</w:t>
            </w:r>
          </w:p>
        </w:tc>
        <w:tc>
          <w:tcPr>
            <w:tcW w:w="34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151.9</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1040" w:type="dxa"/>
            <w:vAlign w:val="bottom"/>
            <w:shd w:val="clear" w:color="auto" w:fill="D8D8D8"/>
          </w:tcPr>
          <w:p>
            <w:pPr>
              <w:spacing w:after="0"/>
              <w:rPr>
                <w:sz w:val="24"/>
                <w:szCs w:val="24"/>
                <w:color w:val="auto"/>
              </w:rPr>
            </w:pPr>
          </w:p>
        </w:tc>
        <w:tc>
          <w:tcPr>
            <w:tcW w:w="600" w:type="dxa"/>
            <w:vAlign w:val="bottom"/>
            <w:shd w:val="clear" w:color="auto" w:fill="D8D8D8"/>
          </w:tcPr>
          <w:p>
            <w:pPr>
              <w:spacing w:after="0"/>
              <w:rPr>
                <w:sz w:val="24"/>
                <w:szCs w:val="24"/>
                <w:color w:val="auto"/>
              </w:rPr>
            </w:pPr>
          </w:p>
        </w:tc>
        <w:tc>
          <w:tcPr>
            <w:tcW w:w="130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spacing w:after="0"/>
              <w:rPr>
                <w:sz w:val="24"/>
                <w:szCs w:val="24"/>
                <w:color w:val="auto"/>
              </w:rPr>
            </w:pPr>
          </w:p>
        </w:tc>
        <w:tc>
          <w:tcPr>
            <w:tcW w:w="334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180"/>
              <w:spacing w:after="0"/>
              <w:rPr>
                <w:sz w:val="20"/>
                <w:szCs w:val="20"/>
                <w:color w:val="auto"/>
              </w:rPr>
            </w:pPr>
            <w:r>
              <w:rPr>
                <w:rFonts w:ascii="Arial" w:cs="Arial" w:eastAsia="Arial" w:hAnsi="Arial"/>
                <w:sz w:val="18"/>
                <w:szCs w:val="18"/>
                <w:color w:val="auto"/>
              </w:rPr>
              <w:t>Unrealized gains/losses on available-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60" w:type="dxa"/>
            <w:vAlign w:val="bottom"/>
          </w:tcPr>
          <w:p>
            <w:pPr>
              <w:ind w:left="180"/>
              <w:spacing w:after="0"/>
              <w:rPr>
                <w:sz w:val="20"/>
                <w:szCs w:val="20"/>
                <w:color w:val="auto"/>
              </w:rPr>
            </w:pPr>
            <w:r>
              <w:rPr>
                <w:rFonts w:ascii="Arial" w:cs="Arial" w:eastAsia="Arial" w:hAnsi="Arial"/>
                <w:sz w:val="18"/>
                <w:szCs w:val="18"/>
                <w:color w:val="auto"/>
              </w:rPr>
              <w:t>for-sale securities: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60" w:type="dxa"/>
            <w:vAlign w:val="bottom"/>
            <w:shd w:val="clear" w:color="auto" w:fill="D8D8D8"/>
          </w:tcPr>
          <w:p>
            <w:pPr>
              <w:ind w:left="500"/>
              <w:spacing w:after="0"/>
              <w:rPr>
                <w:sz w:val="20"/>
                <w:szCs w:val="20"/>
                <w:color w:val="auto"/>
              </w:rPr>
            </w:pPr>
            <w:r>
              <w:rPr>
                <w:rFonts w:ascii="Arial" w:cs="Arial" w:eastAsia="Arial" w:hAnsi="Arial"/>
                <w:sz w:val="18"/>
                <w:szCs w:val="18"/>
                <w:color w:val="auto"/>
              </w:rPr>
              <w:t>Realized gains, net</w:t>
            </w:r>
          </w:p>
        </w:tc>
        <w:tc>
          <w:tcPr>
            <w:tcW w:w="3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(2.4)</w:t>
            </w:r>
          </w:p>
        </w:tc>
        <w:tc>
          <w:tcPr>
            <w:tcW w:w="60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(170.2)</w:t>
            </w:r>
          </w:p>
        </w:tc>
        <w:tc>
          <w:tcPr>
            <w:tcW w:w="33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D8D8D8"/>
            </w:tcBorders>
          </w:tcPr>
          <w:p>
            <w:pPr>
              <w:jc w:val="right"/>
              <w:ind w:right="72"/>
              <w:spacing w:after="0"/>
              <w:rPr>
                <w:sz w:val="20"/>
                <w:szCs w:val="20"/>
                <w:color w:val="auto"/>
              </w:rPr>
            </w:pPr>
            <w:r>
              <w:rPr>
                <w:rFonts w:ascii="Arial" w:cs="Arial" w:eastAsia="Arial" w:hAnsi="Arial"/>
                <w:sz w:val="18"/>
                <w:szCs w:val="18"/>
                <w:color w:val="auto"/>
              </w:rPr>
              <w:t>Tax expense</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0.5</w:t>
            </w: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8.3</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59.6</w:t>
            </w:r>
          </w:p>
        </w:tc>
        <w:tc>
          <w:tcPr>
            <w:tcW w:w="334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Net of tax</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(1.9)</w:t>
            </w:r>
          </w:p>
        </w:tc>
        <w:tc>
          <w:tcPr>
            <w:tcW w:w="60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(31.2)</w:t>
            </w:r>
          </w:p>
        </w:tc>
        <w:tc>
          <w:tcPr>
            <w:tcW w:w="34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(110.6)</w:t>
            </w:r>
          </w:p>
        </w:tc>
        <w:tc>
          <w:tcPr>
            <w:tcW w:w="33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net of tax</w:t>
            </w:r>
          </w:p>
        </w:tc>
        <w:tc>
          <w:tcPr>
            <w:tcW w:w="3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(49.6)</w:t>
            </w:r>
          </w:p>
        </w:tc>
        <w:tc>
          <w:tcPr>
            <w:tcW w:w="600" w:type="dxa"/>
            <w:vAlign w:val="bottom"/>
            <w:tcBorders>
              <w:bottom w:val="single" w:sz="8" w:color="auto"/>
            </w:tcBorders>
            <w:shd w:val="clear" w:color="auto" w:fill="D8D8D8"/>
          </w:tcPr>
          <w:p>
            <w:pPr>
              <w:spacing w:after="0"/>
              <w:rPr>
                <w:sz w:val="23"/>
                <w:szCs w:val="23"/>
                <w:color w:val="auto"/>
              </w:rPr>
            </w:pPr>
          </w:p>
        </w:tc>
        <w:tc>
          <w:tcPr>
            <w:tcW w:w="13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17.7</w:t>
            </w:r>
          </w:p>
        </w:tc>
        <w:tc>
          <w:tcPr>
            <w:tcW w:w="33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09"/>
        </w:trPr>
        <w:tc>
          <w:tcPr>
            <w:tcW w:w="3360" w:type="dxa"/>
            <w:vAlign w:val="bottom"/>
          </w:tcPr>
          <w:p>
            <w:pPr>
              <w:ind w:left="180"/>
              <w:spacing w:after="0"/>
              <w:rPr>
                <w:sz w:val="20"/>
                <w:szCs w:val="20"/>
                <w:color w:val="auto"/>
              </w:rPr>
            </w:pPr>
            <w:r>
              <w:rPr>
                <w:rFonts w:ascii="Arial" w:cs="Arial" w:eastAsia="Arial" w:hAnsi="Arial"/>
                <w:sz w:val="18"/>
                <w:szCs w:val="18"/>
                <w:color w:val="auto"/>
              </w:rPr>
              <w:t>Reclassifications from continuing</w:t>
            </w:r>
          </w:p>
        </w:tc>
        <w:tc>
          <w:tcPr>
            <w:tcW w:w="340" w:type="dxa"/>
            <w:vAlign w:val="bottom"/>
          </w:tcPr>
          <w:p>
            <w:pPr>
              <w:spacing w:after="0"/>
              <w:rPr>
                <w:sz w:val="18"/>
                <w:szCs w:val="18"/>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130.2</w:t>
            </w: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tcPr>
          <w:p>
            <w:pPr>
              <w:ind w:left="180"/>
              <w:spacing w:after="0"/>
              <w:rPr>
                <w:sz w:val="20"/>
                <w:szCs w:val="20"/>
                <w:color w:val="auto"/>
              </w:rPr>
            </w:pPr>
            <w:r>
              <w:rPr>
                <w:rFonts w:ascii="Arial" w:cs="Arial" w:eastAsia="Arial" w:hAnsi="Arial"/>
                <w:sz w:val="18"/>
                <w:szCs w:val="18"/>
                <w:color w:val="auto"/>
              </w:rPr>
              <w:t>operations (net of tax)</w:t>
            </w: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color w:val="auto"/>
              </w:rPr>
              <w:t>188.4</w:t>
            </w: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59.0</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3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 from discontinued</w:t>
            </w:r>
          </w:p>
        </w:tc>
        <w:tc>
          <w:tcPr>
            <w:tcW w:w="340" w:type="dxa"/>
            <w:vAlign w:val="bottom"/>
            <w:shd w:val="clear" w:color="auto" w:fill="D8D8D8"/>
          </w:tcPr>
          <w:p>
            <w:pPr>
              <w:spacing w:after="0"/>
              <w:rPr>
                <w:sz w:val="20"/>
                <w:szCs w:val="20"/>
                <w:color w:val="auto"/>
              </w:rPr>
            </w:pPr>
          </w:p>
        </w:tc>
        <w:tc>
          <w:tcPr>
            <w:tcW w:w="1040" w:type="dxa"/>
            <w:vAlign w:val="bottom"/>
            <w:vMerge w:val="restart"/>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84.0</w:t>
            </w:r>
          </w:p>
        </w:tc>
        <w:tc>
          <w:tcPr>
            <w:tcW w:w="600" w:type="dxa"/>
            <w:vAlign w:val="bottom"/>
            <w:shd w:val="clear" w:color="auto" w:fill="D8D8D8"/>
          </w:tcPr>
          <w:p>
            <w:pPr>
              <w:spacing w:after="0"/>
              <w:rPr>
                <w:sz w:val="20"/>
                <w:szCs w:val="20"/>
                <w:color w:val="auto"/>
              </w:rPr>
            </w:pPr>
          </w:p>
        </w:tc>
        <w:tc>
          <w:tcPr>
            <w:tcW w:w="130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33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Net income (loss) from discontinued</w:t>
            </w:r>
          </w:p>
        </w:tc>
        <w:tc>
          <w:tcPr>
            <w:tcW w:w="0" w:type="dxa"/>
            <w:vAlign w:val="bottom"/>
          </w:tcPr>
          <w:p>
            <w:pPr>
              <w:spacing w:after="0"/>
              <w:rPr>
                <w:sz w:val="1"/>
                <w:szCs w:val="1"/>
                <w:color w:val="auto"/>
              </w:rPr>
            </w:pPr>
          </w:p>
        </w:tc>
      </w:tr>
      <w:tr>
        <w:trPr>
          <w:trHeight w:val="230"/>
        </w:trPr>
        <w:tc>
          <w:tcPr>
            <w:tcW w:w="33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operations (net of tax)</w:t>
            </w:r>
          </w:p>
        </w:tc>
        <w:tc>
          <w:tcPr>
            <w:tcW w:w="340" w:type="dxa"/>
            <w:vAlign w:val="bottom"/>
            <w:tcBorders>
              <w:bottom w:val="single" w:sz="8" w:color="auto"/>
            </w:tcBorders>
            <w:shd w:val="clear" w:color="auto" w:fill="D8D8D8"/>
          </w:tcPr>
          <w:p>
            <w:pPr>
              <w:spacing w:after="0"/>
              <w:rPr>
                <w:sz w:val="20"/>
                <w:szCs w:val="20"/>
                <w:color w:val="auto"/>
              </w:rPr>
            </w:pPr>
          </w:p>
        </w:tc>
        <w:tc>
          <w:tcPr>
            <w:tcW w:w="1040" w:type="dxa"/>
            <w:vAlign w:val="bottom"/>
            <w:tcBorders>
              <w:bottom w:val="single" w:sz="8" w:color="auto"/>
            </w:tcBorders>
            <w:vMerge w:val="continue"/>
            <w:shd w:val="clear" w:color="auto" w:fill="D8D8D8"/>
          </w:tcPr>
          <w:p>
            <w:pPr>
              <w:spacing w:after="0"/>
              <w:rPr>
                <w:sz w:val="20"/>
                <w:szCs w:val="20"/>
                <w:color w:val="auto"/>
              </w:rPr>
            </w:pPr>
          </w:p>
        </w:tc>
        <w:tc>
          <w:tcPr>
            <w:tcW w:w="600" w:type="dxa"/>
            <w:vAlign w:val="bottom"/>
            <w:tcBorders>
              <w:bottom w:val="single" w:sz="8" w:color="auto"/>
            </w:tcBorders>
            <w:shd w:val="clear" w:color="auto" w:fill="D8D8D8"/>
          </w:tcPr>
          <w:p>
            <w:pPr>
              <w:spacing w:after="0"/>
              <w:rPr>
                <w:sz w:val="20"/>
                <w:szCs w:val="20"/>
                <w:color w:val="auto"/>
              </w:rPr>
            </w:pPr>
          </w:p>
        </w:tc>
        <w:tc>
          <w:tcPr>
            <w:tcW w:w="13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shd w:val="clear" w:color="auto" w:fill="D8D8D8"/>
          </w:tcPr>
          <w:p>
            <w:pPr>
              <w:spacing w:after="0"/>
              <w:rPr>
                <w:sz w:val="20"/>
                <w:szCs w:val="20"/>
                <w:color w:val="auto"/>
              </w:rPr>
            </w:pPr>
          </w:p>
        </w:tc>
        <w:tc>
          <w:tcPr>
            <w:tcW w:w="110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1.5</w:t>
            </w:r>
          </w:p>
        </w:tc>
        <w:tc>
          <w:tcPr>
            <w:tcW w:w="334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09"/>
        </w:trPr>
        <w:tc>
          <w:tcPr>
            <w:tcW w:w="3360" w:type="dxa"/>
            <w:vAlign w:val="bottom"/>
          </w:tcPr>
          <w:p>
            <w:pPr>
              <w:ind w:left="180"/>
              <w:spacing w:after="0"/>
              <w:rPr>
                <w:sz w:val="20"/>
                <w:szCs w:val="20"/>
                <w:color w:val="auto"/>
              </w:rPr>
            </w:pPr>
            <w:r>
              <w:rPr>
                <w:rFonts w:ascii="Arial" w:cs="Arial" w:eastAsia="Arial" w:hAnsi="Arial"/>
                <w:sz w:val="18"/>
                <w:szCs w:val="18"/>
                <w:color w:val="auto"/>
              </w:rPr>
              <w:t>Total reclassifications for the period,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214.2</w:t>
            </w:r>
          </w:p>
        </w:tc>
        <w:tc>
          <w:tcPr>
            <w:tcW w:w="600" w:type="dxa"/>
            <w:vAlign w:val="bottom"/>
            <w:vMerge w:val="restart"/>
          </w:tcPr>
          <w:p>
            <w:pPr>
              <w:jc w:val="right"/>
              <w:ind w:right="136"/>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51"/>
              <w:spacing w:after="0"/>
              <w:rPr>
                <w:sz w:val="20"/>
                <w:szCs w:val="20"/>
                <w:color w:val="auto"/>
              </w:rPr>
            </w:pPr>
            <w:r>
              <w:rPr>
                <w:rFonts w:ascii="Arial" w:cs="Arial" w:eastAsia="Arial" w:hAnsi="Arial"/>
                <w:sz w:val="18"/>
                <w:szCs w:val="18"/>
                <w:color w:val="auto"/>
              </w:rPr>
              <w:t>190.5</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51"/>
              <w:spacing w:after="0"/>
              <w:rPr>
                <w:sz w:val="20"/>
                <w:szCs w:val="20"/>
                <w:color w:val="auto"/>
              </w:rPr>
            </w:pPr>
            <w:r>
              <w:rPr>
                <w:rFonts w:ascii="Arial" w:cs="Arial" w:eastAsia="Arial" w:hAnsi="Arial"/>
                <w:sz w:val="18"/>
                <w:szCs w:val="18"/>
                <w:color w:val="auto"/>
              </w:rPr>
              <w:t>60.5</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3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97</w:t>
      </w:r>
    </w:p>
    <w:p>
      <w:pPr>
        <w:sectPr>
          <w:pgSz w:w="11900" w:h="16838" w:orient="portrait"/>
          <w:cols w:equalWidth="0" w:num="1">
            <w:col w:w="11420"/>
          </w:cols>
          <w:pgMar w:left="240" w:top="679"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CC0000"/>
        </w:rPr>
        <w:t>Note 18: 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13" w:lineRule="exact"/>
        <w:rPr>
          <w:sz w:val="20"/>
          <w:szCs w:val="20"/>
          <w:color w:val="auto"/>
        </w:rPr>
      </w:pPr>
    </w:p>
    <w:p>
      <w:pPr>
        <w:jc w:val="both"/>
        <w:ind w:left="7160"/>
        <w:spacing w:after="0"/>
        <w:tabs>
          <w:tab w:leader="none" w:pos="8800" w:val="left"/>
          <w:tab w:leader="none" w:pos="10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extinguishment loss (Note 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Gain on sale of antibiotic business in China (Note 3)</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Retirement benefit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expense</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Other–net, (income) expense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400.6</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242.5</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225.0</w:t>
            </w:r>
          </w:p>
        </w:tc>
      </w:tr>
      <w:tr>
        <w:trPr>
          <w:trHeight w:val="270"/>
        </w:trPr>
        <w:tc>
          <w:tcPr>
            <w:tcW w:w="42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(80.4)</w:t>
            </w:r>
          </w:p>
        </w:tc>
        <w:tc>
          <w:tcPr>
            <w:tcW w:w="6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(159.3)</w:t>
            </w:r>
          </w:p>
        </w:tc>
        <w:tc>
          <w:tcPr>
            <w:tcW w:w="60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(166.4)</w:t>
            </w:r>
          </w:p>
        </w:tc>
      </w:tr>
      <w:tr>
        <w:trPr>
          <w:trHeight w:val="270"/>
        </w:trPr>
        <w:tc>
          <w:tcPr>
            <w:tcW w:w="42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252.5</w:t>
            </w:r>
          </w:p>
        </w:tc>
        <w:tc>
          <w:tcPr>
            <w:tcW w:w="60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(309.8)</w:t>
            </w:r>
          </w:p>
        </w:tc>
        <w:tc>
          <w:tcPr>
            <w:tcW w:w="60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(209.9)</w:t>
            </w:r>
          </w:p>
        </w:tc>
        <w:tc>
          <w:tcPr>
            <w:tcW w:w="6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(240.5)</w:t>
            </w:r>
          </w:p>
        </w:tc>
        <w:tc>
          <w:tcPr>
            <w:tcW w:w="60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(249.0)</w:t>
            </w:r>
          </w:p>
        </w:tc>
      </w:tr>
      <w:tr>
        <w:trPr>
          <w:trHeight w:val="277"/>
        </w:trPr>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(344.6)</w:t>
            </w: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11.7</w:t>
            </w: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(111.1)</w:t>
            </w:r>
          </w:p>
        </w:tc>
      </w:tr>
      <w:tr>
        <w:trPr>
          <w:trHeight w:val="277"/>
        </w:trPr>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(291.6)</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(145.6)</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-882650</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-539750</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-196850</wp:posOffset>
            </wp:positionV>
            <wp:extent cx="724662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880"/>
          </w:cols>
          <w:pgMar w:left="240" w:top="549" w:right="2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2017, other income was primarily related to net gains on investments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98</w:t>
      </w:r>
    </w:p>
    <w:p>
      <w:pPr>
        <w:sectPr>
          <w:pgSz w:w="11900" w:h="16838" w:orient="portrait"/>
          <w:cols w:equalWidth="0" w:num="1">
            <w:col w:w="11420"/>
          </w:cols>
          <w:pgMar w:left="240" w:top="549"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color w:val="CC0000"/>
        </w:rPr>
        <w:t>Note 19: Discontinued Operations</w:t>
      </w:r>
    </w:p>
    <w:p>
      <w:pPr>
        <w:spacing w:after="0" w:line="1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On September 24, 2018, Elanco completed its initial public offering (IPO) resulting in the issuance of 72.3 million shares of its common stock, which represented 19.8 percent of Elanco's outstanding shares, at $24 per share.</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completion of the IPO, through a series of equity and other transactions, we transferred to Elanco the animal health businesses that formed its business. In exchange, Elanco transferred to us consideration of approximately $4.2 billion, which consisted primarily of the net proceeds from the IPO and the net proceeds from a $ 2.00 billion debt offering and a $500.0 million three-year term loan facility entered into by Elanco in August 2018. The consideration that we received was used for debt repayment, dividends, and share repurchases. The excess of the net proceeds from the IPO over the net book value of our divested interest was $629.2 million and was recorded in additional paid-in capital. As of December 31, 2018, the noncontrolling interest of $1.02 billion associated with Elanco was reflected in noncontrolling interests in the consolidated balance sheet.</w:t>
      </w:r>
    </w:p>
    <w:p>
      <w:pPr>
        <w:spacing w:after="0" w:line="99" w:lineRule="exact"/>
        <w:rPr>
          <w:sz w:val="20"/>
          <w:szCs w:val="20"/>
          <w:color w:val="auto"/>
        </w:rPr>
      </w:pPr>
    </w:p>
    <w:p>
      <w:pPr>
        <w:ind w:right="700"/>
        <w:spacing w:after="0" w:line="254" w:lineRule="auto"/>
        <w:rPr>
          <w:sz w:val="20"/>
          <w:szCs w:val="20"/>
          <w:color w:val="auto"/>
        </w:rPr>
      </w:pPr>
      <w:r>
        <w:rPr>
          <w:rFonts w:ascii="Arial" w:cs="Arial" w:eastAsia="Arial" w:hAnsi="Arial"/>
          <w:sz w:val="18"/>
          <w:szCs w:val="18"/>
          <w:color w:val="auto"/>
        </w:rPr>
        <w:t>Through March 11, 2019, we continued to consolidate Elanco, as we retained control over Elanco. We completed the disposition of our remaining 80.2 percent ownership of Elanco common stock through a tax-free exchange offer that closed on on March 11, 2019 (the disposition date). The earnings attributable to the divested, noncontrolling interest for the period from the IPO until disposition were not material.</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a result of the disposition, in the first quarter of 2019, we recognized a gain related to the disposition of approximately $3.7 billion, and we presented Elanco, including the gain related to the disposition, as discontinued operations in our consolidated financial statements for all periods presented.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summarizes revenue and net income (loss) from discontinued operations: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70"/>
        </w:trPr>
        <w:tc>
          <w:tcPr>
            <w:tcW w:w="504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 from discontinued operations</w:t>
            </w:r>
          </w:p>
        </w:tc>
        <w:tc>
          <w:tcPr>
            <w:tcW w:w="1620" w:type="dxa"/>
            <w:vAlign w:val="bottom"/>
            <w:shd w:val="clear" w:color="auto" w:fill="DDDDDD"/>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DDDDDD"/>
          </w:tcPr>
          <w:p>
            <w:pPr>
              <w:jc w:val="right"/>
              <w:ind w:right="36"/>
              <w:spacing w:after="0"/>
              <w:rPr>
                <w:sz w:val="20"/>
                <w:szCs w:val="20"/>
                <w:color w:val="auto"/>
              </w:rPr>
            </w:pPr>
            <w:r>
              <w:rPr>
                <w:rFonts w:ascii="Arial" w:cs="Arial" w:eastAsia="Arial" w:hAnsi="Arial"/>
                <w:sz w:val="18"/>
                <w:szCs w:val="18"/>
                <w:b w:val="1"/>
                <w:bCs w:val="1"/>
                <w:color w:val="auto"/>
              </w:rPr>
              <w:t>580.0</w:t>
            </w:r>
          </w:p>
        </w:tc>
        <w:tc>
          <w:tcPr>
            <w:tcW w:w="4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DDDDD"/>
          </w:tcPr>
          <w:p>
            <w:pPr>
              <w:jc w:val="right"/>
              <w:ind w:right="56"/>
              <w:spacing w:after="0"/>
              <w:rPr>
                <w:sz w:val="20"/>
                <w:szCs w:val="20"/>
                <w:color w:val="auto"/>
              </w:rPr>
            </w:pPr>
            <w:r>
              <w:rPr>
                <w:rFonts w:ascii="Arial" w:cs="Arial" w:eastAsia="Arial" w:hAnsi="Arial"/>
                <w:sz w:val="18"/>
                <w:szCs w:val="18"/>
                <w:color w:val="auto"/>
              </w:rPr>
              <w:t>3,062.4</w:t>
            </w:r>
          </w:p>
        </w:tc>
        <w:tc>
          <w:tcPr>
            <w:tcW w:w="50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DDDDD"/>
          </w:tcPr>
          <w:p>
            <w:pPr>
              <w:jc w:val="right"/>
              <w:ind w:right="16"/>
              <w:spacing w:after="0"/>
              <w:rPr>
                <w:sz w:val="20"/>
                <w:szCs w:val="20"/>
                <w:color w:val="auto"/>
              </w:rPr>
            </w:pPr>
            <w:r>
              <w:rPr>
                <w:rFonts w:ascii="Arial" w:cs="Arial" w:eastAsia="Arial" w:hAnsi="Arial"/>
                <w:sz w:val="18"/>
                <w:szCs w:val="18"/>
                <w:color w:val="auto"/>
              </w:rPr>
              <w:t>2,897.5</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1620" w:type="dxa"/>
            <w:vAlign w:val="bottom"/>
          </w:tcPr>
          <w:p>
            <w:pPr>
              <w:spacing w:after="0"/>
              <w:rPr>
                <w:sz w:val="22"/>
                <w:szCs w:val="22"/>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b w:val="1"/>
                <w:bCs w:val="1"/>
                <w:color w:val="auto"/>
              </w:rPr>
              <w:t>3,680.5</w:t>
            </w:r>
          </w:p>
        </w:tc>
        <w:tc>
          <w:tcPr>
            <w:tcW w:w="480" w:type="dxa"/>
            <w:vAlign w:val="bottom"/>
          </w:tcPr>
          <w:p>
            <w:pPr>
              <w:spacing w:after="0"/>
              <w:rPr>
                <w:sz w:val="22"/>
                <w:szCs w:val="22"/>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81.4</w:t>
            </w:r>
          </w:p>
        </w:tc>
        <w:tc>
          <w:tcPr>
            <w:tcW w:w="5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classes of assets and liabilities from discontinued operations at December 31, 2018:</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9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1,013.7</w:t>
            </w:r>
          </w:p>
        </w:tc>
      </w:tr>
      <w:tr>
        <w:trPr>
          <w:trHeight w:val="264"/>
        </w:trPr>
        <w:tc>
          <w:tcPr>
            <w:tcW w:w="91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1,215.4</w:t>
            </w:r>
          </w:p>
        </w:tc>
      </w:tr>
      <w:tr>
        <w:trPr>
          <w:trHeight w:val="264"/>
        </w:trPr>
        <w:tc>
          <w:tcPr>
            <w:tcW w:w="9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32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2,229.1</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0"/>
        </w:trPr>
        <w:tc>
          <w:tcPr>
            <w:tcW w:w="9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2,980.9</w:t>
            </w:r>
          </w:p>
        </w:tc>
      </w:tr>
      <w:tr>
        <w:trPr>
          <w:trHeight w:val="263"/>
        </w:trPr>
        <w:tc>
          <w:tcPr>
            <w:tcW w:w="912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20" w:type="dxa"/>
            <w:vAlign w:val="bottom"/>
          </w:tcPr>
          <w:p>
            <w:pPr>
              <w:spacing w:after="0"/>
              <w:rPr>
                <w:sz w:val="22"/>
                <w:szCs w:val="22"/>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2,453.0</w:t>
            </w:r>
          </w:p>
        </w:tc>
      </w:tr>
      <w:tr>
        <w:trPr>
          <w:trHeight w:val="277"/>
        </w:trPr>
        <w:tc>
          <w:tcPr>
            <w:tcW w:w="9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D8D8D8"/>
          </w:tcPr>
          <w:p>
            <w:pPr>
              <w:spacing w:after="0"/>
              <w:rPr>
                <w:sz w:val="24"/>
                <w:szCs w:val="24"/>
                <w:color w:val="auto"/>
              </w:rPr>
            </w:pPr>
          </w:p>
        </w:tc>
        <w:tc>
          <w:tcPr>
            <w:tcW w:w="19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923.4</w:t>
            </w:r>
          </w:p>
        </w:tc>
      </w:tr>
      <w:tr>
        <w:trPr>
          <w:trHeight w:val="264"/>
        </w:trPr>
        <w:tc>
          <w:tcPr>
            <w:tcW w:w="91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126.8</w:t>
            </w:r>
          </w:p>
        </w:tc>
      </w:tr>
      <w:tr>
        <w:trPr>
          <w:trHeight w:val="264"/>
        </w:trPr>
        <w:tc>
          <w:tcPr>
            <w:tcW w:w="9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32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6,484.1</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64"/>
        </w:trPr>
        <w:tc>
          <w:tcPr>
            <w:tcW w:w="9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32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692.8</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0"/>
        </w:trPr>
        <w:tc>
          <w:tcPr>
            <w:tcW w:w="9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2,443.3</w:t>
            </w:r>
          </w:p>
        </w:tc>
      </w:tr>
      <w:tr>
        <w:trPr>
          <w:trHeight w:val="264"/>
        </w:trPr>
        <w:tc>
          <w:tcPr>
            <w:tcW w:w="91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299.0</w:t>
            </w:r>
          </w:p>
        </w:tc>
      </w:tr>
      <w:tr>
        <w:trPr>
          <w:trHeight w:val="264"/>
        </w:trPr>
        <w:tc>
          <w:tcPr>
            <w:tcW w:w="9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32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2,742.3</w:t>
            </w: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99</w:t>
      </w:r>
    </w:p>
    <w:p>
      <w:pPr>
        <w:sectPr>
          <w:pgSz w:w="11900" w:h="16838" w:orient="portrait"/>
          <w:cols w:equalWidth="0" w:num="1">
            <w:col w:w="11420"/>
          </w:cols>
          <w:pgMar w:left="240" w:top="549" w:right="239" w:bottom="1440" w:gutter="0" w:footer="0" w:header="0"/>
        </w:sectPr>
      </w:pPr>
    </w:p>
    <w:bookmarkStart w:id="99" w:name="page100"/>
    <w:bookmarkEnd w:id="99"/>
    <w:p>
      <w:pPr>
        <w:ind w:right="20"/>
        <w:spacing w:after="0" w:line="253" w:lineRule="auto"/>
        <w:rPr>
          <w:sz w:val="20"/>
          <w:szCs w:val="20"/>
          <w:color w:val="auto"/>
        </w:rPr>
      </w:pPr>
      <w:r>
        <w:rPr>
          <w:rFonts w:ascii="Arial" w:cs="Arial" w:eastAsia="Arial" w:hAnsi="Arial"/>
          <w:sz w:val="18"/>
          <w:szCs w:val="18"/>
          <w:color w:val="auto"/>
        </w:rPr>
        <w:t>The gain related to the disposition of Elanco in the consolidated statement of cash flows includes the operating results of Elanco through the disposition date, which were not material. Net cash flows of our discontinued operations for operating and investing activities for the year ended December 31, 2019 were not material. Net cash provided by operating activities related to our discontinued operations was approximately $500 million and $300 million for the years ended December 31, 2018 and 2017, respectively. Net cash used by investing activities related to our discontinued operations was approximately $130 million and $960 million for the years ended December 31, 2018 and 2017, respectively.</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entered into a transitional services agreement (TSA) with Elanco that is designed to facilitate the orderly transfer of various services to Elanco. The TSA relates primarily to administrative services, which are generally to be provided over 24 months from the disposition date. This agreement is not material and does not confer upon us the ability to influence the operating and/or financial policies of Elanco subsequent to the disposition date.</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100</w:t>
      </w:r>
    </w:p>
    <w:p>
      <w:pPr>
        <w:sectPr>
          <w:pgSz w:w="11900" w:h="16838" w:orient="portrait"/>
          <w:cols w:equalWidth="0" w:num="1">
            <w:col w:w="11420"/>
          </w:cols>
          <w:pgMar w:left="240" w:top="679"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CC0000"/>
        </w:rPr>
        <w:t>Note 20: Selected Quarterly Data (unaudited)</w:t>
      </w:r>
    </w:p>
    <w:p>
      <w:pPr>
        <w:spacing w:after="0" w:line="235" w:lineRule="exact"/>
        <w:rPr>
          <w:sz w:val="20"/>
          <w:szCs w:val="20"/>
          <w:color w:val="auto"/>
        </w:rPr>
      </w:pPr>
    </w:p>
    <w:p>
      <w:pPr>
        <w:ind w:left="40"/>
        <w:spacing w:after="0"/>
        <w:tabs>
          <w:tab w:leader="none" w:pos="6860" w:val="left"/>
          <w:tab w:leader="none" w:pos="8160" w:val="left"/>
          <w:tab w:leader="none" w:pos="9340" w:val="left"/>
          <w:tab w:leader="none" w:pos="106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Fourth</w:t>
      </w:r>
      <w:r>
        <w:rPr>
          <w:sz w:val="20"/>
          <w:szCs w:val="20"/>
          <w:color w:val="auto"/>
        </w:rPr>
        <w:tab/>
      </w:r>
      <w:r>
        <w:rPr>
          <w:rFonts w:ascii="Arial" w:cs="Arial" w:eastAsia="Arial" w:hAnsi="Arial"/>
          <w:sz w:val="14"/>
          <w:szCs w:val="14"/>
          <w:b w:val="1"/>
          <w:bCs w:val="1"/>
          <w:color w:val="auto"/>
        </w:rPr>
        <w:t>Third</w:t>
      </w:r>
      <w:r>
        <w:rPr>
          <w:sz w:val="20"/>
          <w:szCs w:val="20"/>
          <w:color w:val="auto"/>
        </w:rPr>
        <w:tab/>
      </w:r>
      <w:r>
        <w:rPr>
          <w:rFonts w:ascii="Arial" w:cs="Arial" w:eastAsia="Arial" w:hAnsi="Arial"/>
          <w:sz w:val="14"/>
          <w:szCs w:val="14"/>
          <w:b w:val="1"/>
          <w:bCs w:val="1"/>
          <w:color w:val="auto"/>
        </w:rPr>
        <w:t>Second</w:t>
      </w:r>
      <w:r>
        <w:rPr>
          <w:sz w:val="20"/>
          <w:szCs w:val="20"/>
          <w:color w:val="auto"/>
        </w:rPr>
        <w:tab/>
      </w:r>
      <w:r>
        <w:rPr>
          <w:rFonts w:ascii="Arial" w:cs="Arial" w:eastAsia="Arial" w:hAnsi="Arial"/>
          <w:sz w:val="13"/>
          <w:szCs w:val="13"/>
          <w:b w:val="1"/>
          <w:bCs w:val="1"/>
          <w:color w:val="auto"/>
        </w:rPr>
        <w:t>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sales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Acquired IPR&amp;D</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 impairment, restructuring, and other special charges</w:t>
      </w:r>
      <w:r>
        <w:rPr>
          <w:rFonts w:ascii="Arial" w:cs="Arial" w:eastAsia="Arial" w:hAnsi="Arial"/>
          <w:sz w:val="21"/>
          <w:szCs w:val="21"/>
          <w:color w:val="auto"/>
          <w:vertAlign w:val="superscript"/>
        </w:rPr>
        <w:t>(2)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from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EPS from continuing operations - basic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EPS from discontinued operations - basic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EPS—basic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EPS from continuing operations - diluted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EPS from discontinued operations - diluted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EPS—diluted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Dividends paid per share</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6,114.0</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5,476.6</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5,636.7</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5,092.2</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1,282.6</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1,175.0</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1,124.9</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1,138.7</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3,279.5</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2,793.2</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2,988.5</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2,747.6</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77.7</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25.0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136.9</w:t>
            </w:r>
          </w:p>
        </w:tc>
      </w:tr>
      <w:tr>
        <w:trPr>
          <w:trHeight w:val="257"/>
        </w:trPr>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151.7</w:t>
            </w:r>
          </w:p>
        </w:tc>
        <w:tc>
          <w:tcPr>
            <w:tcW w:w="3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423.9</w:t>
            </w:r>
          </w:p>
        </w:tc>
      </w:tr>
      <w:tr>
        <w:trPr>
          <w:trHeight w:val="284"/>
        </w:trPr>
        <w:tc>
          <w:tcPr>
            <w:tcW w:w="20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1,663.1</w:t>
            </w:r>
          </w:p>
        </w:tc>
        <w:tc>
          <w:tcPr>
            <w:tcW w:w="3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1,405.8</w:t>
            </w:r>
          </w:p>
        </w:tc>
        <w:tc>
          <w:tcPr>
            <w:tcW w:w="32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1,465.9</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731.1</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167.4</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151.9</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138.7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170.0</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1,495.7</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1,253.9</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1,327.2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561.1</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3,680.5</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1,495.7</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1,253.9</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1,327.2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4,241.6</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1.64</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1.37</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1.44</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0.57</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3.76</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1.64</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1.37</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1.44</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4.33</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1.64</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1.37</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1.44</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0.57</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3.74</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1.64</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1.37</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1.44</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4.31</w:t>
            </w:r>
          </w:p>
        </w:tc>
      </w:tr>
      <w:tr>
        <w:trPr>
          <w:trHeight w:val="270"/>
        </w:trPr>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0.6450</w:t>
            </w:r>
          </w:p>
        </w:tc>
        <w:tc>
          <w:tcPr>
            <w:tcW w:w="3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0.6450</w:t>
            </w:r>
          </w:p>
        </w:tc>
        <w:tc>
          <w:tcPr>
            <w:tcW w:w="3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0.6450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0.6450</w:t>
            </w:r>
          </w:p>
        </w:tc>
      </w:tr>
      <w:tr>
        <w:trPr>
          <w:trHeight w:val="548"/>
        </w:trPr>
        <w:tc>
          <w:tcPr>
            <w:tcW w:w="200" w:type="dxa"/>
            <w:vAlign w:val="bottom"/>
          </w:tcPr>
          <w:p>
            <w:pPr>
              <w:spacing w:after="0"/>
              <w:rPr>
                <w:sz w:val="24"/>
                <w:szCs w:val="24"/>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4"/>
                <w:szCs w:val="24"/>
                <w:color w:val="auto"/>
              </w:rPr>
            </w:pPr>
          </w:p>
        </w:tc>
        <w:tc>
          <w:tcPr>
            <w:tcW w:w="880" w:type="dxa"/>
            <w:vAlign w:val="bottom"/>
          </w:tcPr>
          <w:p>
            <w:pPr>
              <w:jc w:val="right"/>
              <w:ind w:right="319"/>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24"/>
                <w:szCs w:val="24"/>
                <w:color w:val="auto"/>
              </w:rPr>
            </w:pPr>
          </w:p>
        </w:tc>
        <w:tc>
          <w:tcPr>
            <w:tcW w:w="780" w:type="dxa"/>
            <w:vAlign w:val="bottom"/>
          </w:tcPr>
          <w:p>
            <w:pPr>
              <w:jc w:val="right"/>
              <w:ind w:right="239"/>
              <w:spacing w:after="0"/>
              <w:rPr>
                <w:sz w:val="20"/>
                <w:szCs w:val="20"/>
                <w:color w:val="auto"/>
              </w:rPr>
            </w:pPr>
            <w:r>
              <w:rPr>
                <w:rFonts w:ascii="Arial" w:cs="Arial" w:eastAsia="Arial" w:hAnsi="Arial"/>
                <w:sz w:val="14"/>
                <w:szCs w:val="14"/>
                <w:b w:val="1"/>
                <w:bCs w:val="1"/>
                <w:color w:val="auto"/>
              </w:rPr>
              <w:t>First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-2907665</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-2564765</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-2221230</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-1878330</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-1535430</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-1192530</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-849630</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-506095</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7620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5840" w:space="720"/>
            <w:col w:w="4860"/>
          </w:cols>
          <w:pgMar w:left="240" w:top="71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sales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Acquired IPR&amp;D</w:t>
      </w:r>
      <w:r>
        <w:rPr>
          <w:rFonts w:ascii="Arial" w:cs="Arial" w:eastAsia="Arial" w:hAnsi="Arial"/>
          <w:sz w:val="21"/>
          <w:szCs w:val="21"/>
          <w:color w:val="auto"/>
          <w:vertAlign w:val="superscript"/>
        </w:rPr>
        <w:t>(3)</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 impairment, restructuring, and other special charges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w:t>
      </w:r>
      <w:r>
        <w:rPr>
          <w:rFonts w:ascii="Arial" w:cs="Arial" w:eastAsia="Arial" w:hAnsi="Arial"/>
          <w:sz w:val="21"/>
          <w:szCs w:val="21"/>
          <w:color w:val="auto"/>
          <w:vertAlign w:val="superscript"/>
        </w:rPr>
        <w:t>(4)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from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(loss) per share from continuing operations - basic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(loss) per share from discontinued operations - basic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(loss) per share—basic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(loss) per share from continuing operations - diluted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(loss) per share from discontinued operations - diluted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(loss) per share—diluted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Dividends paid per share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5,637.6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5,306.9</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5,585.0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4,963.8</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1,129.9</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1,152.9</w:t>
            </w:r>
          </w:p>
        </w:tc>
        <w:tc>
          <w:tcPr>
            <w:tcW w:w="4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1,234.3</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1,164.6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3,085.5</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2,738.1</w:t>
            </w:r>
          </w:p>
        </w:tc>
        <w:tc>
          <w:tcPr>
            <w:tcW w:w="4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2,756.6</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2,446.2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329.4</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4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1,624.5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192.7</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931.6</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1,341.1</w:t>
            </w:r>
          </w:p>
        </w:tc>
        <w:tc>
          <w:tcPr>
            <w:tcW w:w="4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41.7</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1,365.7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(189.8)</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247.5</w:t>
            </w:r>
          </w:p>
        </w:tc>
        <w:tc>
          <w:tcPr>
            <w:tcW w:w="4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273.3</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1,121.4</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1,093.6</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(231.6)</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1,167.2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55.9</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1,125.1</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1,149.5</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(259.9)</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1,217.4</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1.11</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1.11</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4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0.5625</w:t>
            </w:r>
          </w:p>
        </w:tc>
        <w:tc>
          <w:tcPr>
            <w:tcW w:w="36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0.5625</w:t>
            </w:r>
          </w:p>
        </w:tc>
        <w:tc>
          <w:tcPr>
            <w:tcW w:w="40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0.5625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-2731135</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-2388235</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-2045335</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-1702435</wp:posOffset>
            </wp:positionV>
            <wp:extent cx="72466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-1358900</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-1016000</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-673100</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-330200</wp:posOffset>
            </wp:positionV>
            <wp:extent cx="72466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711" w:right="239" w:bottom="1440" w:gutter="0" w:footer="0" w:header="0"/>
          <w:type w:val="continuous"/>
        </w:sectPr>
      </w:pPr>
    </w:p>
    <w:p>
      <w:pPr>
        <w:spacing w:after="0" w:line="137" w:lineRule="exact"/>
        <w:rPr>
          <w:sz w:val="20"/>
          <w:szCs w:val="20"/>
          <w:color w:val="auto"/>
        </w:rPr>
      </w:pPr>
    </w:p>
    <w:p>
      <w:pPr>
        <w:ind w:left="140" w:hanging="132"/>
        <w:spacing w:after="0"/>
        <w:tabs>
          <w:tab w:leader="none" w:pos="140" w:val="left"/>
        </w:tabs>
        <w:numPr>
          <w:ilvl w:val="0"/>
          <w:numId w:val="63"/>
        </w:numPr>
        <w:rPr>
          <w:rFonts w:ascii="Arial" w:cs="Arial" w:eastAsia="Arial" w:hAnsi="Arial"/>
          <w:sz w:val="16"/>
          <w:szCs w:val="16"/>
          <w:color w:val="auto"/>
          <w:vertAlign w:val="superscript"/>
        </w:rPr>
      </w:pPr>
      <w:r>
        <w:rPr>
          <w:rFonts w:ascii="Arial" w:cs="Arial" w:eastAsia="Arial" w:hAnsi="Arial"/>
          <w:sz w:val="13"/>
          <w:szCs w:val="13"/>
          <w:color w:val="auto"/>
        </w:rPr>
        <w:t>Includes research and development and marketing, selling, and administrative expenses.</w:t>
      </w:r>
    </w:p>
    <w:p>
      <w:pPr>
        <w:spacing w:after="0" w:line="205" w:lineRule="exact"/>
        <w:rPr>
          <w:rFonts w:ascii="Arial" w:cs="Arial" w:eastAsia="Arial" w:hAnsi="Arial"/>
          <w:sz w:val="16"/>
          <w:szCs w:val="16"/>
          <w:color w:val="auto"/>
          <w:vertAlign w:val="superscript"/>
        </w:rPr>
      </w:pPr>
    </w:p>
    <w:p>
      <w:pPr>
        <w:ind w:left="180" w:right="80" w:hanging="172"/>
        <w:spacing w:after="0" w:line="218" w:lineRule="auto"/>
        <w:tabs>
          <w:tab w:leader="none" w:pos="167"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Asset impairment, restructuring, and other special charges in the first quarter of 2019 were primarily associated with the accelerated vesting of Loxo employee equity awards as a result of the closing of the acquisition of Loxo. See Note 5 for further discussion.</w:t>
      </w:r>
    </w:p>
    <w:p>
      <w:pPr>
        <w:spacing w:after="0" w:line="171"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Acquired IPR&amp;D charges in the second quarter of 2018 were primarily due to the ARMO acquisition. See Note 3 for further discussion.</w:t>
      </w:r>
    </w:p>
    <w:p>
      <w:pPr>
        <w:spacing w:after="0" w:line="194"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63"/>
        </w:numPr>
        <w:rPr>
          <w:rFonts w:ascii="Arial" w:cs="Arial" w:eastAsia="Arial" w:hAnsi="Arial"/>
          <w:sz w:val="16"/>
          <w:szCs w:val="16"/>
          <w:color w:val="auto"/>
          <w:vertAlign w:val="superscript"/>
        </w:rPr>
      </w:pPr>
      <w:r>
        <w:rPr>
          <w:rFonts w:ascii="Arial" w:cs="Arial" w:eastAsia="Arial" w:hAnsi="Arial"/>
          <w:sz w:val="13"/>
          <w:szCs w:val="13"/>
          <w:color w:val="auto"/>
        </w:rPr>
        <w:t>Income taxes in the fourth quarter of 2018 were a tax benefit primarily due to adjustments associated with U.S. tax reform. See Note 14 for further discussion.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ticker symbol LLY on the New York Stock Exchange (NYSE).</w:t>
      </w:r>
    </w:p>
    <w:p>
      <w:pPr>
        <w:sectPr>
          <w:pgSz w:w="11900" w:h="16838" w:orient="portrait"/>
          <w:cols w:equalWidth="0" w:num="1">
            <w:col w:w="11420"/>
          </w:cols>
          <w:pgMar w:left="240" w:top="711" w:right="2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11160"/>
        <w:spacing w:after="0"/>
        <w:rPr>
          <w:sz w:val="20"/>
          <w:szCs w:val="20"/>
          <w:color w:val="auto"/>
        </w:rPr>
      </w:pPr>
      <w:r>
        <w:rPr>
          <w:rFonts w:ascii="Arial" w:cs="Arial" w:eastAsia="Arial" w:hAnsi="Arial"/>
          <w:sz w:val="15"/>
          <w:szCs w:val="15"/>
          <w:b w:val="1"/>
          <w:bCs w:val="1"/>
          <w:i w:val="1"/>
          <w:iCs w:val="1"/>
          <w:color w:val="auto"/>
        </w:rPr>
        <w:t>101</w:t>
      </w:r>
    </w:p>
    <w:p>
      <w:pPr>
        <w:sectPr>
          <w:pgSz w:w="11900" w:h="16838" w:orient="portrait"/>
          <w:cols w:equalWidth="0" w:num="1">
            <w:col w:w="11420"/>
          </w:cols>
          <w:pgMar w:left="240" w:top="711"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32"/>
          <w:szCs w:val="32"/>
          <w:i w:val="1"/>
          <w:iCs w:val="1"/>
          <w:color w:val="CC0000"/>
        </w:rPr>
        <w:t>Management’s Reports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for Financial Statements—Eli Lilly and Company and Subsidiaries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published in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to enable employees to report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 Red Book</w:t>
      </w:r>
      <w:r>
        <w:rPr>
          <w:rFonts w:ascii="Arial" w:cs="Arial" w:eastAsia="Arial" w:hAnsi="Arial"/>
          <w:sz w:val="18"/>
          <w:szCs w:val="18"/>
          <w:color w:val="auto"/>
        </w:rPr>
        <w:t>, the chief executive officer and all financial management must sign a financial code of ethics, which further reinforces their ethical and fiduciary responsibilities.</w:t>
      </w:r>
    </w:p>
    <w:p>
      <w:pPr>
        <w:spacing w:after="0" w:line="93"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9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audit committee includes five nonemployee members of the board of directors, all of whom are independent from our company. The committee charter, which is available on our website, outlines the members’ roles and responsibilities. It is the audit committee’s responsibility to appoint an independent registered public accounting firm subject to shareholder ratification, 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and operate under a code of conduct and are subject to the highest level of ethical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on Internal Control Over Financial Reporting—Eli Lilly and Company and Subsidiaries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8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We conducted an evaluation of the effectiveness of our internal control over financial reporting based on the framework in "2013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102</w:t>
      </w:r>
    </w:p>
    <w:p>
      <w:pPr>
        <w:sectPr>
          <w:pgSz w:w="11900" w:h="16838" w:orient="portrait"/>
          <w:cols w:equalWidth="0" w:num="1">
            <w:col w:w="11360"/>
          </w:cols>
          <w:pgMar w:left="240" w:top="542" w:right="299" w:bottom="1440" w:gutter="0" w:footer="0" w:header="0"/>
        </w:sectPr>
      </w:pPr>
    </w:p>
    <w:bookmarkStart w:id="102" w:name="page103"/>
    <w:bookmarkEnd w:id="102"/>
    <w:p>
      <w:pPr>
        <w:spacing w:after="0" w:line="254"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2019.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internal control over financial reporting has been assessed by Ernst &amp; Young LLP as of December 31, 2019. Their responsibility is to evaluate whether internal control over financial reporting was designed and operating effectively.</w:t>
      </w:r>
    </w:p>
    <w:p>
      <w:pPr>
        <w:sectPr>
          <w:pgSz w:w="11900" w:h="16838" w:orient="portrait"/>
          <w:cols w:equalWidth="0" w:num="1">
            <w:col w:w="11420"/>
          </w:cols>
          <w:pgMar w:left="240" w:top="679" w:right="239" w:bottom="1440" w:gutter="0" w:footer="0" w:header="0"/>
        </w:sect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David A. Ricks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4380"/>
        <w:spacing w:after="0"/>
        <w:rPr>
          <w:sz w:val="20"/>
          <w:szCs w:val="20"/>
          <w:color w:val="auto"/>
        </w:rPr>
      </w:pPr>
      <w:r>
        <w:rPr>
          <w:rFonts w:ascii="Arial" w:cs="Arial" w:eastAsia="Arial" w:hAnsi="Arial"/>
          <w:sz w:val="18"/>
          <w:szCs w:val="18"/>
          <w:color w:val="auto"/>
        </w:rPr>
        <w:t>Joshua L. Smiley</w:t>
      </w:r>
    </w:p>
    <w:p>
      <w:pPr>
        <w:spacing w:after="0" w:line="32" w:lineRule="exact"/>
        <w:rPr>
          <w:sz w:val="20"/>
          <w:szCs w:val="20"/>
          <w:color w:val="auto"/>
        </w:rPr>
      </w:pPr>
    </w:p>
    <w:p>
      <w:pPr>
        <w:sectPr>
          <w:pgSz w:w="11900" w:h="16838" w:orient="portrait"/>
          <w:cols w:equalWidth="0" w:num="2">
            <w:col w:w="4940" w:space="720"/>
            <w:col w:w="5760"/>
          </w:cols>
          <w:pgMar w:left="240" w:top="679" w:right="239" w:bottom="1440" w:gutter="0" w:footer="0" w:header="0"/>
          <w:type w:val="continuous"/>
        </w:sectPr>
      </w:pPr>
    </w:p>
    <w:p>
      <w:pPr>
        <w:ind w:left="40"/>
        <w:spacing w:after="0"/>
        <w:rPr>
          <w:sz w:val="20"/>
          <w:szCs w:val="20"/>
          <w:color w:val="auto"/>
        </w:rPr>
      </w:pPr>
      <w:r>
        <w:rPr>
          <w:rFonts w:ascii="Arial" w:cs="Arial" w:eastAsia="Arial" w:hAnsi="Arial"/>
          <w:sz w:val="17"/>
          <w:szCs w:val="17"/>
          <w:i w:val="1"/>
          <w:iCs w:val="1"/>
          <w:color w:val="auto"/>
        </w:rPr>
        <w:t>Chairman, President and Chief Executive Officer</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7"/>
          <w:szCs w:val="17"/>
          <w:i w:val="1"/>
          <w:iCs w:val="1"/>
          <w:color w:val="auto"/>
        </w:rPr>
        <w:t>Senior Vice President and Chief Financial Officer</w:t>
      </w:r>
    </w:p>
    <w:p>
      <w:pPr>
        <w:spacing w:after="0" w:line="160" w:lineRule="exact"/>
        <w:rPr>
          <w:sz w:val="20"/>
          <w:szCs w:val="20"/>
          <w:color w:val="auto"/>
        </w:rPr>
      </w:pPr>
    </w:p>
    <w:p>
      <w:pPr>
        <w:sectPr>
          <w:pgSz w:w="11900" w:h="16838" w:orient="portrait"/>
          <w:cols w:equalWidth="0" w:num="2">
            <w:col w:w="4940" w:space="720"/>
            <w:col w:w="5760"/>
          </w:cols>
          <w:pgMar w:left="240" w:top="679" w:right="239" w:bottom="1440" w:gutter="0" w:footer="0" w:header="0"/>
          <w:type w:val="continuous"/>
        </w:sectPr>
      </w:pPr>
    </w:p>
    <w:p>
      <w:pPr>
        <w:spacing w:after="0"/>
        <w:rPr>
          <w:sz w:val="20"/>
          <w:szCs w:val="20"/>
          <w:color w:val="auto"/>
        </w:rPr>
      </w:pPr>
      <w:r>
        <w:rPr>
          <w:rFonts w:ascii="Arial" w:cs="Arial" w:eastAsia="Arial" w:hAnsi="Arial"/>
          <w:sz w:val="18"/>
          <w:szCs w:val="18"/>
          <w:color w:val="auto"/>
        </w:rPr>
        <w:t>February 19, 2020</w:t>
      </w:r>
    </w:p>
    <w:p>
      <w:pPr>
        <w:sectPr>
          <w:pgSz w:w="11900" w:h="16838" w:orient="portrait"/>
          <w:cols w:equalWidth="0" w:num="1">
            <w:col w:w="11420"/>
          </w:cols>
          <w:pgMar w:left="240" w:top="679" w:right="239" w:bottom="1440" w:gutter="0" w:footer="0" w:header="0"/>
          <w:type w:val="continuous"/>
        </w:sect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103</w:t>
      </w:r>
    </w:p>
    <w:p>
      <w:pPr>
        <w:sectPr>
          <w:pgSz w:w="11900" w:h="16838" w:orient="portrait"/>
          <w:cols w:equalWidth="0" w:num="1">
            <w:col w:w="11420"/>
          </w:cols>
          <w:pgMar w:left="240" w:top="679"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(the Company) as of December 31, 2019 and 2018, the related consolidated statements of operations, comprehensive income (loss), shareholders‘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0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19, 2020 expressed an unqualified opinion thereon.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Standards Update ("ASU") No. 2016-16</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the recognition of income tax consequences of intra-entity transfers of assets other than inventory in 2018 due to the adoption of ASU No. 2016-16, </w:t>
      </w:r>
      <w:r>
        <w:rPr>
          <w:rFonts w:ascii="Arial" w:cs="Arial" w:eastAsia="Arial" w:hAnsi="Arial"/>
          <w:sz w:val="18"/>
          <w:szCs w:val="18"/>
          <w:i w:val="1"/>
          <w:iCs w:val="1"/>
          <w:color w:val="auto"/>
        </w:rPr>
        <w:t>Intra-Entity Transfers</w:t>
      </w:r>
      <w:r>
        <w:rPr>
          <w:rFonts w:ascii="Arial" w:cs="Arial" w:eastAsia="Arial" w:hAnsi="Arial"/>
          <w:sz w:val="18"/>
          <w:szCs w:val="18"/>
          <w:color w:val="auto"/>
        </w:rPr>
        <w:t xml:space="preserve"> </w:t>
      </w:r>
      <w:r>
        <w:rPr>
          <w:rFonts w:ascii="Arial" w:cs="Arial" w:eastAsia="Arial" w:hAnsi="Arial"/>
          <w:sz w:val="18"/>
          <w:szCs w:val="18"/>
          <w:i w:val="1"/>
          <w:iCs w:val="1"/>
          <w:color w:val="auto"/>
        </w:rPr>
        <w:t>of Assets Other Than Inventory (Topic 740)</w:t>
      </w:r>
      <w:r>
        <w:rPr>
          <w:rFonts w:ascii="Arial" w:cs="Arial" w:eastAsia="Arial" w:hAnsi="Arial"/>
          <w:sz w:val="18"/>
          <w:szCs w:val="18"/>
          <w:color w:val="auto"/>
        </w:rPr>
        <w:t>, using the modified retrospective adoption method.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104</w:t>
      </w:r>
    </w:p>
    <w:p>
      <w:pPr>
        <w:sectPr>
          <w:pgSz w:w="11900" w:h="16838" w:orient="portrait"/>
          <w:cols w:equalWidth="0" w:num="1">
            <w:col w:w="11380"/>
          </w:cols>
          <w:pgMar w:left="240" w:top="541" w:right="279" w:bottom="1440" w:gutter="0" w:footer="0" w:header="0"/>
        </w:sectPr>
      </w:pPr>
    </w:p>
    <w:bookmarkStart w:id="104" w:name="page105"/>
    <w:bookmarkEnd w:id="104"/>
    <w:p>
      <w:pPr>
        <w:ind w:left="2000"/>
        <w:spacing w:after="0"/>
        <w:rPr>
          <w:sz w:val="20"/>
          <w:szCs w:val="20"/>
          <w:color w:val="auto"/>
        </w:rPr>
      </w:pPr>
      <w:r>
        <w:rPr>
          <w:rFonts w:ascii="Arial" w:cs="Arial" w:eastAsia="Arial" w:hAnsi="Arial"/>
          <w:sz w:val="18"/>
          <w:szCs w:val="18"/>
          <w:b w:val="1"/>
          <w:bCs w:val="1"/>
          <w:i w:val="1"/>
          <w:iCs w:val="1"/>
          <w:color w:val="auto"/>
        </w:rPr>
        <w:t>Medicaid, Managed Care, and Medicare sales rebate accruals</w:t>
      </w:r>
    </w:p>
    <w:p>
      <w:pPr>
        <w:spacing w:after="0" w:line="63"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auto"/>
        </w:rPr>
        <w:t>As described in Note 1 to the consolidated financial statements under the caption “Revenue Recognition,” the</w:t>
      </w:r>
    </w:p>
    <w:p>
      <w:pPr>
        <w:spacing w:after="0" w:line="14" w:lineRule="exact"/>
        <w:rPr>
          <w:sz w:val="20"/>
          <w:szCs w:val="20"/>
          <w:color w:val="auto"/>
        </w:rPr>
      </w:pPr>
    </w:p>
    <w:p>
      <w:pPr>
        <w:ind w:left="2000" w:right="320" w:hanging="1999"/>
        <w:spacing w:after="0" w:line="239" w:lineRule="auto"/>
        <w:tabs>
          <w:tab w:leader="none" w:pos="19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Company establishes provisions for sales rebate and discounts in the same period as the related sales occur. At December 31, 2019 the Company had $4,933.6 million in sales rebate and discount accruals. A large portion of these accruals are rebates associated with sales in the United States for which payment for purchase of the product is covered by Medicaid, Managed Care, and Medicare.</w:t>
      </w:r>
    </w:p>
    <w:p>
      <w:pPr>
        <w:spacing w:after="0" w:line="202" w:lineRule="exact"/>
        <w:rPr>
          <w:sz w:val="20"/>
          <w:szCs w:val="20"/>
          <w:color w:val="auto"/>
        </w:rPr>
      </w:pPr>
    </w:p>
    <w:p>
      <w:pPr>
        <w:ind w:left="2000" w:right="160"/>
        <w:spacing w:after="0" w:line="236" w:lineRule="auto"/>
        <w:rPr>
          <w:sz w:val="20"/>
          <w:szCs w:val="20"/>
          <w:color w:val="auto"/>
        </w:rPr>
      </w:pPr>
      <w:r>
        <w:rPr>
          <w:rFonts w:ascii="Arial" w:cs="Arial" w:eastAsia="Arial" w:hAnsi="Arial"/>
          <w:sz w:val="18"/>
          <w:szCs w:val="18"/>
          <w:color w:val="auto"/>
        </w:rPr>
        <w:t>Auditing the Medicaid, Managed Care, and Medicare sales rebate and discount liabilities is challenging because of the subjectivity of certain assumptions required to estimate the rebate liabilities. In calculating the appropriate accrual amount, the Company considers historical Medicaid, Managed Care, and Medicare rebate payments by product as a percentage of their historical sales as well as any significant changes in sales trends, the lag in payment timing, an evaluation of the current Medicaid and Medicare laws and interpretations, the percentage of products that are sold via Medicaid, Managed Care, and Medicare, and product pricing. For Medicaid, there is significant complexity associated with calculating the legislated Medicaid rebates. Management utilizes employees with legislative experience and knowledge in developing assumptions used to calculate Medicaid rebates. Similarly, for Managed Care and Medicare, given variability in prescription drug costs, continued historical year over year increases in enrollees and variability in prescription data, historical rebate information may not be predictive for management to estimate the rebate accrual and thus, management supplements its historical data analysis with qualitative adjustments based upon current utilization.</w:t>
      </w:r>
    </w:p>
    <w:p>
      <w:pPr>
        <w:spacing w:after="0" w:line="241"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i w:val="1"/>
          <w:iCs w:val="1"/>
          <w:color w:val="auto"/>
        </w:rPr>
        <w:t xml:space="preserve">How We Addressed </w:t>
      </w:r>
      <w:r>
        <w:rPr>
          <w:rFonts w:ascii="Arial" w:cs="Arial" w:eastAsia="Arial" w:hAnsi="Arial"/>
          <w:sz w:val="18"/>
          <w:szCs w:val="18"/>
          <w:color w:val="auto"/>
        </w:rPr>
        <w:t>We tested the Company’s controls addressing the identified risks of material misstatement related to the valuation</w:t>
      </w:r>
      <w:r>
        <w:rPr>
          <w:rFonts w:ascii="Arial" w:cs="Arial" w:eastAsia="Arial" w:hAnsi="Arial"/>
          <w:sz w:val="18"/>
          <w:szCs w:val="18"/>
          <w:i w:val="1"/>
          <w:iCs w:val="1"/>
          <w:color w:val="auto"/>
        </w:rPr>
        <w:t xml:space="preserve"> the Matter in Our Audit </w:t>
      </w:r>
      <w:r>
        <w:rPr>
          <w:rFonts w:ascii="Arial" w:cs="Arial" w:eastAsia="Arial" w:hAnsi="Arial"/>
          <w:sz w:val="18"/>
          <w:szCs w:val="18"/>
          <w:color w:val="auto"/>
        </w:rPr>
        <w:t>of the sales rebate and discount liabilities. This included testing controls over management’s review of the</w:t>
      </w:r>
    </w:p>
    <w:p>
      <w:pPr>
        <w:spacing w:after="0" w:line="1" w:lineRule="exact"/>
        <w:rPr>
          <w:sz w:val="20"/>
          <w:szCs w:val="20"/>
          <w:color w:val="auto"/>
        </w:rPr>
      </w:pPr>
    </w:p>
    <w:p>
      <w:pPr>
        <w:ind w:left="2000" w:right="280"/>
        <w:spacing w:after="0" w:line="239" w:lineRule="auto"/>
        <w:rPr>
          <w:sz w:val="20"/>
          <w:szCs w:val="20"/>
          <w:color w:val="auto"/>
        </w:rPr>
      </w:pPr>
      <w:r>
        <w:rPr>
          <w:rFonts w:ascii="Arial" w:cs="Arial" w:eastAsia="Arial" w:hAnsi="Arial"/>
          <w:sz w:val="18"/>
          <w:szCs w:val="18"/>
          <w:color w:val="auto"/>
        </w:rPr>
        <w:t>significant assumptions used to calculate the Medicaid, Managed Care, and Medicare rebate liabilities, including the significant assumptions discussed above. This testing also included management’s control to compare actual activity to forecasted activity and controls to ensure the data used to evaluate the significant assumptions was complete and accurate.</w:t>
      </w:r>
    </w:p>
    <w:p>
      <w:pPr>
        <w:spacing w:after="0" w:line="202" w:lineRule="exact"/>
        <w:rPr>
          <w:sz w:val="20"/>
          <w:szCs w:val="20"/>
          <w:color w:val="auto"/>
        </w:rPr>
      </w:pPr>
    </w:p>
    <w:p>
      <w:pPr>
        <w:ind w:left="2000" w:right="160"/>
        <w:spacing w:after="0" w:line="236" w:lineRule="auto"/>
        <w:rPr>
          <w:sz w:val="20"/>
          <w:szCs w:val="20"/>
          <w:color w:val="auto"/>
        </w:rPr>
      </w:pPr>
      <w:r>
        <w:rPr>
          <w:rFonts w:ascii="Arial" w:cs="Arial" w:eastAsia="Arial" w:hAnsi="Arial"/>
          <w:sz w:val="18"/>
          <w:szCs w:val="18"/>
          <w:color w:val="auto"/>
        </w:rPr>
        <w:t>Our audit procedures included, among others, evaluating for reasonableness the significant assumptions in light of economic trends, product profiles, and other regulatory factors. Our testing involved assessing the historical accuracy of management’s estimates by comparing actual activity to previous estimates and performing analytical procedures, based on internal and external data sources, to evaluate the completeness of the reserves. Additionally, our procedures included reviewing a sample of contracts, testing a sample of rebate payments and testing the underlying data used in management’s evaluation. For Medicaid, we involved our professional with an understanding of the statutory reimbursement requirements to assess the consistency of the Company’s calculation methodologies with the applicable government regulations and policy. For Medicare we evaluated the reasonableness of assumptions made by management in estimating the Medicare coverage gap liability.</w:t>
      </w:r>
    </w:p>
    <w:p>
      <w:pPr>
        <w:spacing w:after="0" w:line="2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i w:val="1"/>
          <w:iCs w:val="1"/>
          <w:color w:val="auto"/>
        </w:rPr>
        <w:t>Retirement Benefits - Valuation of Alternative Investments</w:t>
      </w:r>
    </w:p>
    <w:p>
      <w:pPr>
        <w:spacing w:after="0" w:line="4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auto"/>
        </w:rPr>
        <w:t>As described in Note 15 to the consolidated financial statements under the caption “Benefit Plan Investments,” the</w:t>
      </w:r>
    </w:p>
    <w:p>
      <w:pPr>
        <w:spacing w:after="0" w:line="14" w:lineRule="exact"/>
        <w:rPr>
          <w:sz w:val="20"/>
          <w:szCs w:val="20"/>
          <w:color w:val="auto"/>
        </w:rPr>
      </w:pPr>
    </w:p>
    <w:p>
      <w:pPr>
        <w:ind w:left="2000" w:right="200" w:hanging="1999"/>
        <w:spacing w:after="0" w:line="237" w:lineRule="auto"/>
        <w:tabs>
          <w:tab w:leader="none" w:pos="19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Company’s benefit plan investment policies are set with specific consideration of return and risk requirements in relationship to the respective liabilities. At December 31, 2019 the Company had $15,626.2 million in plan assets related to the defined benefit pension plans and retiree health benefit plans. Approximately 40% of the total pension and retiree assets are in hedge funds and private equity-like investment funds (“alternative investments”). These alternative investments are valued using significant unobservable inputs or are valued at net asset value (NAV) reported by the counterparty, adjusted as necessary.</w:t>
      </w:r>
    </w:p>
    <w:p>
      <w:pPr>
        <w:spacing w:after="0" w:line="205" w:lineRule="exact"/>
        <w:rPr>
          <w:sz w:val="20"/>
          <w:szCs w:val="20"/>
          <w:color w:val="auto"/>
        </w:rPr>
      </w:pPr>
    </w:p>
    <w:p>
      <w:pPr>
        <w:jc w:val="both"/>
        <w:ind w:left="2000" w:right="140"/>
        <w:spacing w:after="0" w:line="234" w:lineRule="auto"/>
        <w:rPr>
          <w:sz w:val="20"/>
          <w:szCs w:val="20"/>
          <w:color w:val="auto"/>
        </w:rPr>
      </w:pPr>
      <w:r>
        <w:rPr>
          <w:rFonts w:ascii="Arial" w:cs="Arial" w:eastAsia="Arial" w:hAnsi="Arial"/>
          <w:sz w:val="18"/>
          <w:szCs w:val="18"/>
          <w:color w:val="auto"/>
        </w:rPr>
        <w:t>Auditing the fair value of these alternative investments is challenging because of the higher estimation uncertainty of the inputs to the fair value calculations, including the underlying net asset values (“NAVs”), discounted cash flow valuations, comparable market valuations, and adjustments for currency, credit, liquidity and other risks.</w:t>
      </w:r>
    </w:p>
    <w:p>
      <w:pPr>
        <w:spacing w:after="0" w:line="2" w:lineRule="exact"/>
        <w:rPr>
          <w:sz w:val="20"/>
          <w:szCs w:val="20"/>
          <w:color w:val="auto"/>
        </w:rPr>
      </w:pPr>
    </w:p>
    <w:p>
      <w:pPr>
        <w:ind w:left="2000" w:right="480"/>
        <w:spacing w:after="0" w:line="246" w:lineRule="auto"/>
        <w:rPr>
          <w:sz w:val="20"/>
          <w:szCs w:val="20"/>
          <w:color w:val="auto"/>
        </w:rPr>
      </w:pPr>
      <w:r>
        <w:rPr>
          <w:rFonts w:ascii="Arial" w:cs="Arial" w:eastAsia="Arial" w:hAnsi="Arial"/>
          <w:sz w:val="18"/>
          <w:szCs w:val="18"/>
          <w:color w:val="auto"/>
        </w:rPr>
        <w:t>Additionally, certain information regarding the fair value of these alternative investments is based on unaudited information available to management at the time of valuation.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105</w:t>
      </w:r>
    </w:p>
    <w:p>
      <w:pPr>
        <w:sectPr>
          <w:pgSz w:w="11900" w:h="16838" w:orient="portrait"/>
          <w:cols w:equalWidth="0" w:num="1">
            <w:col w:w="11260"/>
          </w:cols>
          <w:pgMar w:left="400" w:top="711" w:right="239" w:bottom="1440" w:gutter="0" w:footer="0" w:header="0"/>
        </w:sectPr>
      </w:pPr>
    </w:p>
    <w:bookmarkStart w:id="105" w:name="page106"/>
    <w:bookmarkEnd w:id="105"/>
    <w:p>
      <w:pPr>
        <w:ind w:left="160"/>
        <w:spacing w:after="0" w:line="245" w:lineRule="auto"/>
        <w:rPr>
          <w:sz w:val="20"/>
          <w:szCs w:val="20"/>
          <w:color w:val="auto"/>
        </w:rPr>
      </w:pPr>
      <w:r>
        <w:rPr>
          <w:rFonts w:ascii="Arial" w:cs="Arial" w:eastAsia="Arial" w:hAnsi="Arial"/>
          <w:sz w:val="18"/>
          <w:szCs w:val="18"/>
          <w:i w:val="1"/>
          <w:iCs w:val="1"/>
          <w:color w:val="auto"/>
        </w:rPr>
        <w:t xml:space="preserve">How We Addressed </w:t>
      </w:r>
      <w:r>
        <w:rPr>
          <w:rFonts w:ascii="Arial" w:cs="Arial" w:eastAsia="Arial" w:hAnsi="Arial"/>
          <w:sz w:val="18"/>
          <w:szCs w:val="18"/>
          <w:color w:val="auto"/>
        </w:rPr>
        <w:t>We tested the Company’s controls addressing the risks of material misstatement relating to valuation of alternative</w:t>
      </w:r>
      <w:r>
        <w:rPr>
          <w:rFonts w:ascii="Arial" w:cs="Arial" w:eastAsia="Arial" w:hAnsi="Arial"/>
          <w:sz w:val="18"/>
          <w:szCs w:val="18"/>
          <w:i w:val="1"/>
          <w:iCs w:val="1"/>
          <w:color w:val="auto"/>
        </w:rPr>
        <w:t xml:space="preserve"> the Matter in Our Audit </w:t>
      </w:r>
      <w:r>
        <w:rPr>
          <w:rFonts w:ascii="Arial" w:cs="Arial" w:eastAsia="Arial" w:hAnsi="Arial"/>
          <w:sz w:val="18"/>
          <w:szCs w:val="18"/>
          <w:color w:val="auto"/>
        </w:rPr>
        <w:t>investments. This included testing management’s review controls over alternative investment valuation, which</w:t>
      </w:r>
    </w:p>
    <w:p>
      <w:pPr>
        <w:spacing w:after="0" w:line="1" w:lineRule="exact"/>
        <w:rPr>
          <w:sz w:val="20"/>
          <w:szCs w:val="20"/>
          <w:color w:val="auto"/>
        </w:rPr>
      </w:pPr>
    </w:p>
    <w:p>
      <w:pPr>
        <w:ind w:left="2160" w:right="300"/>
        <w:spacing w:after="0" w:line="246" w:lineRule="auto"/>
        <w:rPr>
          <w:sz w:val="20"/>
          <w:szCs w:val="20"/>
          <w:color w:val="auto"/>
        </w:rPr>
      </w:pPr>
      <w:r>
        <w:rPr>
          <w:rFonts w:ascii="Arial" w:cs="Arial" w:eastAsia="Arial" w:hAnsi="Arial"/>
          <w:sz w:val="18"/>
          <w:szCs w:val="18"/>
          <w:color w:val="auto"/>
        </w:rPr>
        <w:t>included a comparison of returns to benchmarks and in-person or telephonic meetings with investment firms to discuss valuation policies and procedures.</w:t>
      </w:r>
    </w:p>
    <w:p>
      <w:pPr>
        <w:spacing w:after="0" w:line="197" w:lineRule="exact"/>
        <w:rPr>
          <w:sz w:val="20"/>
          <w:szCs w:val="20"/>
          <w:color w:val="auto"/>
        </w:rPr>
      </w:pPr>
    </w:p>
    <w:p>
      <w:pPr>
        <w:ind w:left="2160" w:right="40"/>
        <w:spacing w:after="0" w:line="237" w:lineRule="auto"/>
        <w:rPr>
          <w:sz w:val="20"/>
          <w:szCs w:val="20"/>
          <w:color w:val="auto"/>
        </w:rPr>
      </w:pPr>
      <w:r>
        <w:rPr>
          <w:rFonts w:ascii="Arial" w:cs="Arial" w:eastAsia="Arial" w:hAnsi="Arial"/>
          <w:sz w:val="18"/>
          <w:szCs w:val="18"/>
          <w:color w:val="auto"/>
        </w:rPr>
        <w:t>Our audit procedures included, among others, comparing fund returns to selected relevant benchmarks and understanding variations, obtaining the latest audited financial statements and comparing to the Company’s estimated fair values and reconciling any differences. We also inquired of management about changes to the investment portfolio and/or related investment strategies and considerations. We assessed the historical accuracy of management’s estimates by comparing actual activity to previous estimates. We evaluated for contrary evidence by confirming the fair value of the investments and ownership interest directly with the trustees and a sample of managers at year end.</w:t>
      </w:r>
    </w:p>
    <w:p>
      <w:pPr>
        <w:spacing w:after="0" w:line="23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i w:val="1"/>
          <w:iCs w:val="1"/>
          <w:color w:val="auto"/>
        </w:rPr>
        <w:t>Valuation of intangible assets related to the Loxo Oncology (Loxo) Acquisition</w:t>
      </w:r>
    </w:p>
    <w:p>
      <w:pPr>
        <w:spacing w:after="0" w:line="63" w:lineRule="exact"/>
        <w:rPr>
          <w:sz w:val="20"/>
          <w:szCs w:val="20"/>
          <w:color w:val="auto"/>
        </w:rPr>
      </w:pPr>
    </w:p>
    <w:p>
      <w:pPr>
        <w:ind w:left="160"/>
        <w:spacing w:after="0"/>
        <w:tabs>
          <w:tab w:leader="none" w:pos="214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auto"/>
        </w:rPr>
        <w:t>As described in Note 3 to the consolidated financial statements, in February 2019, the Company completed its</w:t>
      </w:r>
    </w:p>
    <w:p>
      <w:pPr>
        <w:spacing w:after="0" w:line="14" w:lineRule="exact"/>
        <w:rPr>
          <w:sz w:val="20"/>
          <w:szCs w:val="20"/>
          <w:color w:val="auto"/>
        </w:rPr>
      </w:pPr>
    </w:p>
    <w:p>
      <w:pPr>
        <w:jc w:val="both"/>
        <w:ind w:left="2160" w:right="120" w:hanging="1999"/>
        <w:spacing w:after="0" w:line="234" w:lineRule="auto"/>
        <w:tabs>
          <w:tab w:leader="none" w:pos="214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acquisition of Loxo Oncology, Inc. (Loxo) for a purchase price of $6.92 billion, net of cash acquired. As a result of the acquisition, the Company acquired a pipeline of investigational medicines, including LOXO-292, an oral RET inhibitor that has been granted Breakthrough Therapy designation by the U.S. Food and Drug Administration.</w:t>
      </w:r>
    </w:p>
    <w:p>
      <w:pPr>
        <w:spacing w:after="0" w:line="2" w:lineRule="exact"/>
        <w:rPr>
          <w:sz w:val="20"/>
          <w:szCs w:val="20"/>
          <w:color w:val="auto"/>
        </w:rPr>
      </w:pPr>
    </w:p>
    <w:p>
      <w:pPr>
        <w:ind w:left="2160" w:right="420"/>
        <w:spacing w:after="0" w:line="246" w:lineRule="auto"/>
        <w:rPr>
          <w:sz w:val="20"/>
          <w:szCs w:val="20"/>
          <w:color w:val="auto"/>
        </w:rPr>
      </w:pPr>
      <w:r>
        <w:rPr>
          <w:rFonts w:ascii="Arial" w:cs="Arial" w:eastAsia="Arial" w:hAnsi="Arial"/>
          <w:sz w:val="18"/>
          <w:szCs w:val="18"/>
          <w:color w:val="auto"/>
        </w:rPr>
        <w:t>LOXO-292 was accounted for as an indefinite-lived in-process research and development (IPR&amp;D) asset and valued at $4.60 billion.</w:t>
      </w:r>
    </w:p>
    <w:p>
      <w:pPr>
        <w:spacing w:after="0" w:line="197" w:lineRule="exact"/>
        <w:rPr>
          <w:sz w:val="20"/>
          <w:szCs w:val="20"/>
          <w:color w:val="auto"/>
        </w:rPr>
      </w:pPr>
    </w:p>
    <w:p>
      <w:pPr>
        <w:ind w:left="2160" w:right="140"/>
        <w:spacing w:after="0" w:line="237" w:lineRule="auto"/>
        <w:rPr>
          <w:sz w:val="20"/>
          <w:szCs w:val="20"/>
          <w:color w:val="auto"/>
        </w:rPr>
      </w:pPr>
      <w:r>
        <w:rPr>
          <w:rFonts w:ascii="Arial" w:cs="Arial" w:eastAsia="Arial" w:hAnsi="Arial"/>
          <w:sz w:val="18"/>
          <w:szCs w:val="18"/>
          <w:color w:val="auto"/>
        </w:rPr>
        <w:t>Auditing the valuation of the LOXO-292 IPR&amp;D asset was complex because of the significant estimation uncertainty in determining the fair value of the asset. The fair value determination is based on a discounted cash flow model using certain assumptions for which there is high subjectivity, such as revenue growth, probability of technical success and discount rate. These significant assumptions are forward-looking and could be affected by future economic and market conditions. Further, the estimated fair value of the IPR&amp;D asset was sensitive to changes in these assumptions.</w:t>
      </w:r>
    </w:p>
    <w:p>
      <w:pPr>
        <w:spacing w:after="0" w:line="25" w:lineRule="exact"/>
        <w:rPr>
          <w:sz w:val="20"/>
          <w:szCs w:val="20"/>
          <w:color w:val="auto"/>
        </w:rPr>
      </w:pPr>
    </w:p>
    <w:p>
      <w:pPr>
        <w:ind w:left="160" w:right="60"/>
        <w:spacing w:after="0" w:line="245" w:lineRule="auto"/>
        <w:rPr>
          <w:sz w:val="20"/>
          <w:szCs w:val="20"/>
          <w:color w:val="auto"/>
        </w:rPr>
      </w:pPr>
      <w:r>
        <w:rPr>
          <w:rFonts w:ascii="Arial" w:cs="Arial" w:eastAsia="Arial" w:hAnsi="Arial"/>
          <w:sz w:val="18"/>
          <w:szCs w:val="18"/>
          <w:i w:val="1"/>
          <w:iCs w:val="1"/>
          <w:color w:val="auto"/>
        </w:rPr>
        <w:t xml:space="preserve">How We Addressed </w:t>
      </w:r>
      <w:r>
        <w:rPr>
          <w:rFonts w:ascii="Arial" w:cs="Arial" w:eastAsia="Arial" w:hAnsi="Arial"/>
          <w:sz w:val="18"/>
          <w:szCs w:val="18"/>
          <w:color w:val="auto"/>
        </w:rPr>
        <w:t>We tested the Company’s controls addressing the identified risks of material misstatement related to the valuation</w:t>
      </w:r>
      <w:r>
        <w:rPr>
          <w:rFonts w:ascii="Arial" w:cs="Arial" w:eastAsia="Arial" w:hAnsi="Arial"/>
          <w:sz w:val="18"/>
          <w:szCs w:val="18"/>
          <w:i w:val="1"/>
          <w:iCs w:val="1"/>
          <w:color w:val="auto"/>
        </w:rPr>
        <w:t xml:space="preserve"> the Matter in Our Audit </w:t>
      </w:r>
      <w:r>
        <w:rPr>
          <w:rFonts w:ascii="Arial" w:cs="Arial" w:eastAsia="Arial" w:hAnsi="Arial"/>
          <w:sz w:val="18"/>
          <w:szCs w:val="18"/>
          <w:color w:val="auto"/>
        </w:rPr>
        <w:t>of the IPR&amp;D asset. For example, we tested controls over management’s review of the significant assumptions</w:t>
      </w:r>
    </w:p>
    <w:p>
      <w:pPr>
        <w:spacing w:after="0" w:line="1" w:lineRule="exact"/>
        <w:rPr>
          <w:sz w:val="20"/>
          <w:szCs w:val="20"/>
          <w:color w:val="auto"/>
        </w:rPr>
      </w:pPr>
    </w:p>
    <w:p>
      <w:pPr>
        <w:ind w:left="2160" w:right="540"/>
        <w:spacing w:after="0" w:line="246" w:lineRule="auto"/>
        <w:rPr>
          <w:sz w:val="20"/>
          <w:szCs w:val="20"/>
          <w:color w:val="auto"/>
        </w:rPr>
      </w:pPr>
      <w:r>
        <w:rPr>
          <w:rFonts w:ascii="Arial" w:cs="Arial" w:eastAsia="Arial" w:hAnsi="Arial"/>
          <w:sz w:val="18"/>
          <w:szCs w:val="18"/>
          <w:color w:val="auto"/>
        </w:rPr>
        <w:t>used to calculate the valuation of the intangible assets acquired including forecasts of future cash flows and review of the valuation model.</w:t>
      </w:r>
    </w:p>
    <w:p>
      <w:pPr>
        <w:spacing w:after="0" w:line="197" w:lineRule="exact"/>
        <w:rPr>
          <w:sz w:val="20"/>
          <w:szCs w:val="20"/>
          <w:color w:val="auto"/>
        </w:rPr>
      </w:pPr>
    </w:p>
    <w:p>
      <w:pPr>
        <w:ind w:left="2160"/>
        <w:spacing w:after="0" w:line="236" w:lineRule="auto"/>
        <w:rPr>
          <w:sz w:val="20"/>
          <w:szCs w:val="20"/>
          <w:color w:val="auto"/>
        </w:rPr>
      </w:pPr>
      <w:r>
        <w:rPr>
          <w:rFonts w:ascii="Arial" w:cs="Arial" w:eastAsia="Arial" w:hAnsi="Arial"/>
          <w:sz w:val="18"/>
          <w:szCs w:val="18"/>
          <w:color w:val="auto"/>
        </w:rPr>
        <w:t>Our audit procedures included, among others, obtaining an understanding of management’s approach to developing the probability of technical success and evaluating the reasonableness by comparing to analyst expectations, historical results of similar products in development and industry trends, to the extent applicable. We also evaluated the reasonableness of the projected revenue growth used within the valuation against analyst expectations, industry trends, market trends, other market information and identified contrary evidence. We involved our valuation specialist to evaluate the discounted cash flow model used by the Company and to test the discount rate utilized in the Company’s valuation. Lastly, we evaluated the appropriateness of the Company’s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707390</wp:posOffset>
            </wp:positionV>
            <wp:extent cx="2169795" cy="557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106</w:t>
      </w:r>
    </w:p>
    <w:p>
      <w:pPr>
        <w:sectPr>
          <w:pgSz w:w="11900" w:h="16838" w:orient="portrait"/>
          <w:cols w:equalWidth="0" w:num="1">
            <w:col w:w="11260"/>
          </w:cols>
          <w:pgMar w:left="240" w:top="715" w:right="399" w:bottom="1440" w:gutter="0" w:footer="0" w:header="0"/>
        </w:sectPr>
      </w:pPr>
    </w:p>
    <w:bookmarkStart w:id="106" w:name="page107"/>
    <w:bookmarkEnd w:id="106"/>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2019, based on criteria established in Internal Control - Integrated Framework issued by the Committee of Sponsoring Organizations of the Treadway Commission (2013 framework) (the COSO criteria). In our opinion, Eli Lilly and Company and subsidiaries (the Company) maintained, in all material respects, effective internal control over financial reporting as of December 31, 2019, based on the COSO criteria.</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(loss), shareholders‘ equity and cash flows for each of the three years in the period ended December 31, 2019, and the related notes and our report dated February 19, 2020 expressed an unqualified opinion thereon.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107</w:t>
      </w:r>
    </w:p>
    <w:p>
      <w:pPr>
        <w:sectPr>
          <w:pgSz w:w="11900" w:h="16838" w:orient="portrait"/>
          <w:cols w:equalWidth="0" w:num="1">
            <w:col w:w="11420"/>
          </w:cols>
          <w:pgMar w:left="240" w:top="650" w:right="239" w:bottom="1440" w:gutter="0" w:footer="0" w:header="0"/>
        </w:sectPr>
      </w:pPr>
    </w:p>
    <w:bookmarkStart w:id="107" w:name="page108"/>
    <w:bookmarkEnd w:id="107"/>
    <w:p>
      <w:pPr>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412115</wp:posOffset>
            </wp:positionV>
            <wp:extent cx="2169795" cy="557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108</w:t>
      </w:r>
    </w:p>
    <w:p>
      <w:pPr>
        <w:sectPr>
          <w:pgSz w:w="11900" w:h="16838" w:orient="portrait"/>
          <w:cols w:equalWidth="0" w:num="1">
            <w:col w:w="11260"/>
          </w:cols>
          <w:pgMar w:left="240" w:top="571" w:right="399" w:bottom="1440" w:gutter="0" w:footer="0" w:header="0"/>
        </w:sectPr>
      </w:pPr>
    </w:p>
    <w:bookmarkStart w:id="108" w:name="page109"/>
    <w:bookmarkEnd w:id="108"/>
    <w:p>
      <w:pPr>
        <w:jc w:val="both"/>
        <w:ind w:left="1300" w:right="140" w:hanging="1296"/>
        <w:spacing w:after="0" w:line="286" w:lineRule="auto"/>
        <w:rPr>
          <w:sz w:val="20"/>
          <w:szCs w:val="20"/>
          <w:color w:val="auto"/>
        </w:rPr>
      </w:pPr>
      <w:r>
        <w:rPr>
          <w:rFonts w:ascii="Arial" w:cs="Arial" w:eastAsia="Arial" w:hAnsi="Arial"/>
          <w:sz w:val="32"/>
          <w:szCs w:val="32"/>
          <w:b w:val="1"/>
          <w:bCs w:val="1"/>
          <w:i w:val="1"/>
          <w:iCs w:val="1"/>
          <w:color w:val="CC0000"/>
        </w:rPr>
        <w:t>Item 9. Changes in and Disagreements with Accountants on Accounting and Financial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9A.Controls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Disclosure Controls and Procedures</w:t>
      </w:r>
    </w:p>
    <w:p>
      <w:pPr>
        <w:spacing w:after="0" w:line="139"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96"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Our management, with the participation of David A. Ricks, president and chief executive officer, and Joshua L. Smiley, senior vice president and chief financial officer, evaluated our disclosure controls and procedures as of December 31, 2019, and concluded that they were effective.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Internal Control over Financial Reporting</w:t>
      </w:r>
    </w:p>
    <w:p>
      <w:pPr>
        <w:spacing w:after="0" w:line="139"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Mr. Ricks and Mr. Smiley provided a report on behalf of management on our internal control over financial reporting, in which management concluded that the company’s internal control over financial reporting is effective at December 31, 2019. In addition, Ernst &amp; Young LLP, the company’s independent registered public accounting firm, provided an attestation report on the company’s internal control over financial reporting as of December 31, 2019. You can find the full text of management’s report and Ernst &amp; Young’s attestation report in Item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Changes in Internal Controls</w:t>
      </w:r>
    </w:p>
    <w:p>
      <w:pPr>
        <w:spacing w:after="0" w:line="139"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During the fourth quarter of 2019, there were no changes in our internal control over financial reporting that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9B.Other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109</w:t>
      </w:r>
    </w:p>
    <w:p>
      <w:pPr>
        <w:sectPr>
          <w:pgSz w:w="11900" w:h="16838" w:orient="portrait"/>
          <w:cols w:equalWidth="0" w:num="1">
            <w:col w:w="11420"/>
          </w:cols>
          <w:pgMar w:left="240" w:top="535" w:right="239" w:bottom="1440" w:gutter="0" w:footer="0" w:header="0"/>
        </w:sectPr>
      </w:pPr>
    </w:p>
    <w:bookmarkStart w:id="109" w:name="page110"/>
    <w:bookmarkEnd w:id="109"/>
    <w:p>
      <w:pPr>
        <w:spacing w:after="0"/>
        <w:rPr>
          <w:sz w:val="20"/>
          <w:szCs w:val="20"/>
          <w:color w:val="auto"/>
        </w:rPr>
      </w:pPr>
      <w:r>
        <w:rPr>
          <w:rFonts w:ascii="Arial" w:cs="Arial" w:eastAsia="Arial" w:hAnsi="Arial"/>
          <w:sz w:val="32"/>
          <w:szCs w:val="32"/>
          <w:b w:val="1"/>
          <w:bCs w:val="1"/>
          <w:color w:val="auto"/>
        </w:rPr>
        <w:t>Part III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10. Directors, Executive Officers, and Corporate Governance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Directors and Executive Officers</w:t>
      </w:r>
    </w:p>
    <w:p>
      <w:pPr>
        <w:spacing w:after="0" w:line="13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Information relating to our Board of Directors is found in our Definitive Proxy Statement to be dated on or about March 20, 2020 (the Proxy Statement) under “Board of Directors” and is incorporated in this report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executive officers is found at Item 1, "Business - Executive Officers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Code of Ethics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code of ethics is found in our Proxy Statement under “Code of Ethics” and is incorporated in this report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Corporate Governance</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“Director Qualifications and Nomination Process” and is incorporated in this report by reference.</w:t>
      </w:r>
    </w:p>
    <w:p>
      <w:pPr>
        <w:spacing w:after="0" w:line="8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board has appointed an audit committee consisting entirely of independent directors in accordance with applicable SEC and New York Stock Exchange rules for audit committees. Information about our audit committee is found in our Proxy Statement under “Audit Committee” and is incorporated in this report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Section 16(a) Reporting Compliance</w:t>
      </w:r>
    </w:p>
    <w:p>
      <w:pPr>
        <w:spacing w:after="0" w:line="13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Information about our compliance with Section 16(a) is found in our Proxy Statement under “Other Matters - Delinquent Section 16(a) Reports” and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11. Executive Compensation</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Information on director compensation, executive compensation, and compensation committee matters can be found in the Proxy Statement under “Director Compensation,” "Committees of the Board of Directors - Compensation Committee," "Compensation Discussion and Analysis," and “Executive Compensation.” That information is incorporated in this report by reference.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110</w:t>
      </w:r>
    </w:p>
    <w:p>
      <w:pPr>
        <w:sectPr>
          <w:pgSz w:w="11900" w:h="16838" w:orient="portrait"/>
          <w:cols w:equalWidth="0" w:num="1">
            <w:col w:w="11360"/>
          </w:cols>
          <w:pgMar w:left="240" w:top="535" w:right="299" w:bottom="1440" w:gutter="0" w:footer="0" w:header="0"/>
        </w:sectPr>
      </w:pPr>
    </w:p>
    <w:bookmarkStart w:id="110" w:name="page111"/>
    <w:bookmarkEnd w:id="110"/>
    <w:p>
      <w:pPr>
        <w:spacing w:after="0"/>
        <w:rPr>
          <w:sz w:val="20"/>
          <w:szCs w:val="20"/>
          <w:color w:val="auto"/>
        </w:rPr>
      </w:pPr>
      <w:r>
        <w:rPr>
          <w:rFonts w:ascii="Arial" w:cs="Arial" w:eastAsia="Arial" w:hAnsi="Arial"/>
          <w:sz w:val="32"/>
          <w:szCs w:val="32"/>
          <w:b w:val="1"/>
          <w:bCs w:val="1"/>
          <w:i w:val="1"/>
          <w:iCs w:val="1"/>
          <w:color w:val="CC0000"/>
        </w:rPr>
        <w:t>Item 12. Security Ownership of Certain Beneficial Owners and</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CC0000"/>
        </w:rPr>
        <w:t>Management and Related Stockholder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Security Ownership of Certain Beneficial Owners and Management</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That information is incorporated in this report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Securities Authorized for Issuance Under Equity Compensation Plans</w:t>
      </w:r>
    </w:p>
    <w:p>
      <w:pPr>
        <w:spacing w:after="0" w:line="139" w:lineRule="exact"/>
        <w:rPr>
          <w:sz w:val="20"/>
          <w:szCs w:val="20"/>
          <w:color w:val="auto"/>
        </w:rPr>
      </w:pPr>
    </w:p>
    <w:p>
      <w:pPr>
        <w:ind w:right="2820"/>
        <w:spacing w:after="0" w:line="262" w:lineRule="auto"/>
        <w:rPr>
          <w:sz w:val="20"/>
          <w:szCs w:val="20"/>
          <w:color w:val="auto"/>
        </w:rPr>
      </w:pPr>
      <w:r>
        <w:rPr>
          <w:rFonts w:ascii="Arial" w:cs="Arial" w:eastAsia="Arial" w:hAnsi="Arial"/>
          <w:sz w:val="18"/>
          <w:szCs w:val="18"/>
          <w:color w:val="auto"/>
        </w:rPr>
        <w:t>The following table presents information as of December 31, 2019, regarding our compensation plans under which shares of Lilly common stock have been authorized for issuance.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(a) Number of securities</w:t>
            </w: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 under</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exercise of outstanding</w:t>
            </w:r>
          </w:p>
        </w:tc>
        <w:tc>
          <w:tcPr>
            <w:tcW w:w="1820" w:type="dxa"/>
            <w:vAlign w:val="bottom"/>
          </w:tcPr>
          <w:p>
            <w:pPr>
              <w:jc w:val="center"/>
              <w:ind w:left="244"/>
              <w:spacing w:after="0"/>
              <w:rPr>
                <w:sz w:val="20"/>
                <w:szCs w:val="20"/>
                <w:color w:val="auto"/>
              </w:rPr>
            </w:pPr>
            <w:r>
              <w:rPr>
                <w:rFonts w:ascii="Arial" w:cs="Arial" w:eastAsia="Arial" w:hAnsi="Arial"/>
                <w:sz w:val="14"/>
                <w:szCs w:val="14"/>
                <w:b w:val="1"/>
                <w:bCs w:val="1"/>
                <w:color w:val="auto"/>
              </w:rPr>
              <w:t>(b) Weighted-average</w:t>
            </w:r>
          </w:p>
        </w:tc>
        <w:tc>
          <w:tcPr>
            <w:tcW w:w="30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 plans</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options, warrants, and</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 of outstanding</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(excluding securities reflected in</w:t>
            </w:r>
          </w:p>
        </w:tc>
      </w:tr>
      <w:tr>
        <w:trPr>
          <w:trHeight w:val="202"/>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rights </w:t>
            </w:r>
            <w:r>
              <w:rPr>
                <w:rFonts w:ascii="Arial" w:cs="Arial" w:eastAsia="Arial" w:hAnsi="Arial"/>
                <w:sz w:val="17"/>
                <w:szCs w:val="17"/>
                <w:b w:val="1"/>
                <w:bCs w:val="1"/>
                <w:color w:val="auto"/>
                <w:w w:val="98"/>
                <w:vertAlign w:val="superscript"/>
              </w:rPr>
              <w:t>(1)</w:t>
            </w: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options, warrants, and rights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r>
      <w:tr>
        <w:trPr>
          <w:trHeight w:val="250"/>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780" w:type="dxa"/>
            <w:vAlign w:val="bottom"/>
            <w:shd w:val="clear" w:color="auto" w:fill="D8D8D8"/>
          </w:tcPr>
          <w:p>
            <w:pPr>
              <w:ind w:left="15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D8D8D8"/>
          </w:tcPr>
          <w:p>
            <w:pPr>
              <w:jc w:val="right"/>
              <w:ind w:right="1284"/>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D8D8D8"/>
          </w:tcPr>
          <w:p>
            <w:pPr>
              <w:jc w:val="right"/>
              <w:ind w:right="21"/>
              <w:spacing w:after="0"/>
              <w:rPr>
                <w:sz w:val="20"/>
                <w:szCs w:val="20"/>
                <w:color w:val="auto"/>
              </w:rPr>
            </w:pPr>
            <w:r>
              <w:rPr>
                <w:rFonts w:ascii="Arial" w:cs="Arial" w:eastAsia="Arial" w:hAnsi="Arial"/>
                <w:sz w:val="18"/>
                <w:szCs w:val="18"/>
                <w:color w:val="auto"/>
              </w:rPr>
              <w:t>54,639,336</w:t>
            </w:r>
          </w:p>
        </w:tc>
      </w:tr>
      <w:tr>
        <w:trPr>
          <w:trHeight w:val="250"/>
        </w:trPr>
        <w:tc>
          <w:tcPr>
            <w:tcW w:w="4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Equity compensation plan not approved by security holders</w:t>
            </w:r>
          </w:p>
        </w:tc>
        <w:tc>
          <w:tcPr>
            <w:tcW w:w="17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D8D8D8"/>
            </w:tcBorders>
          </w:tcPr>
          <w:p>
            <w:pPr>
              <w:spacing w:after="0"/>
              <w:rPr>
                <w:sz w:val="21"/>
                <w:szCs w:val="21"/>
                <w:color w:val="auto"/>
              </w:rPr>
            </w:pPr>
          </w:p>
        </w:tc>
        <w:tc>
          <w:tcPr>
            <w:tcW w:w="3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r>
      <w:tr>
        <w:trPr>
          <w:trHeight w:val="264"/>
        </w:trPr>
        <w:tc>
          <w:tcPr>
            <w:tcW w:w="4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D8D8D8"/>
          </w:tcPr>
          <w:p>
            <w:pPr>
              <w:ind w:left="15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shd w:val="clear" w:color="auto" w:fill="D8D8D8"/>
          </w:tcPr>
          <w:p>
            <w:pPr>
              <w:jc w:val="right"/>
              <w:ind w:right="21"/>
              <w:spacing w:after="0"/>
              <w:rPr>
                <w:sz w:val="20"/>
                <w:szCs w:val="20"/>
                <w:color w:val="auto"/>
              </w:rPr>
            </w:pPr>
            <w:r>
              <w:rPr>
                <w:rFonts w:ascii="Arial" w:cs="Arial" w:eastAsia="Arial" w:hAnsi="Arial"/>
                <w:sz w:val="18"/>
                <w:szCs w:val="18"/>
                <w:color w:val="auto"/>
              </w:rPr>
              <w:t>54,639,336</w:t>
            </w:r>
          </w:p>
        </w:tc>
      </w:tr>
    </w:tbl>
    <w:p>
      <w:pPr>
        <w:spacing w:after="0" w:line="78"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6,711,231 shares are underlying outstanding equity awards other than options.</w:t>
      </w:r>
    </w:p>
    <w:p>
      <w:pPr>
        <w:spacing w:after="0" w:line="165" w:lineRule="exact"/>
        <w:rPr>
          <w:sz w:val="20"/>
          <w:szCs w:val="20"/>
          <w:color w:val="auto"/>
        </w:rPr>
      </w:pPr>
    </w:p>
    <w:p>
      <w:pPr>
        <w:ind w:left="1300" w:right="660" w:hanging="1296"/>
        <w:spacing w:after="0" w:line="286" w:lineRule="auto"/>
        <w:rPr>
          <w:sz w:val="20"/>
          <w:szCs w:val="20"/>
          <w:color w:val="auto"/>
        </w:rPr>
      </w:pPr>
      <w:r>
        <w:rPr>
          <w:rFonts w:ascii="Arial" w:cs="Arial" w:eastAsia="Arial" w:hAnsi="Arial"/>
          <w:sz w:val="32"/>
          <w:szCs w:val="32"/>
          <w:b w:val="1"/>
          <w:bCs w:val="1"/>
          <w:i w:val="1"/>
          <w:iCs w:val="1"/>
          <w:color w:val="CC0000"/>
        </w:rPr>
        <w:t>Item 13. Certain Relationships and Related Transactions, and Director Independence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Related Person Transactions</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Information relating to the board’s policies and procedures for approval of related person transactions can be found in the Proxy Statement under “Highlights of the Company’s Corporate Governance - Conflicts of Interest and Transactions with Related Persons.” That information is incorporated in this report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 Independence</w:t>
      </w:r>
    </w:p>
    <w:p>
      <w:pPr>
        <w:spacing w:after="0" w:line="13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Information relating to director independence can be found in the Proxy Statement under “Director Independence” and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14. Principal Accountant Fees and Services</w:t>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“Item 3. Proposal to Ratify the Appointment of Principal Independent Auditor - Audit Committee Report - Services Performed by the Independent Auditor” and “Independent Auditor Fees.” That information is incorporated in this report by reference.</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111</w:t>
      </w:r>
    </w:p>
    <w:p>
      <w:pPr>
        <w:sectPr>
          <w:pgSz w:w="11900" w:h="16838" w:orient="portrait"/>
          <w:cols w:equalWidth="0" w:num="1">
            <w:col w:w="11420"/>
          </w:cols>
          <w:pgMar w:left="240" w:top="535" w:right="239" w:bottom="1440" w:gutter="0" w:footer="0" w:header="0"/>
        </w:sectPr>
      </w:pPr>
    </w:p>
    <w:bookmarkStart w:id="111" w:name="page112"/>
    <w:bookmarkEnd w:id="111"/>
    <w:p>
      <w:pPr>
        <w:spacing w:after="0"/>
        <w:rPr>
          <w:sz w:val="20"/>
          <w:szCs w:val="20"/>
          <w:color w:val="auto"/>
        </w:rPr>
      </w:pPr>
      <w:r>
        <w:rPr>
          <w:rFonts w:ascii="Arial" w:cs="Arial" w:eastAsia="Arial" w:hAnsi="Arial"/>
          <w:sz w:val="32"/>
          <w:szCs w:val="32"/>
          <w:b w:val="1"/>
          <w:bCs w:val="1"/>
          <w:i w:val="1"/>
          <w:iCs w:val="1"/>
          <w:color w:val="CC0000"/>
        </w:rPr>
        <w:t>Item 15. Exhibits and Financial Statement Schedules</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(a)1.</w:t>
      </w:r>
      <w:r>
        <w:rPr>
          <w:sz w:val="20"/>
          <w:szCs w:val="20"/>
          <w:color w:val="auto"/>
        </w:rPr>
        <w:tab/>
      </w:r>
      <w:r>
        <w:rPr>
          <w:rFonts w:ascii="Arial" w:cs="Arial" w:eastAsia="Arial" w:hAnsi="Arial"/>
          <w:sz w:val="17"/>
          <w:szCs w:val="17"/>
          <w:b w:val="1"/>
          <w:bCs w:val="1"/>
          <w:color w:val="CC0000"/>
        </w:rPr>
        <w:t>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2019, 2018, and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(Loss)—Years Ended December 31, 2019, 2018, and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Consolidated Balance Sheets—December 31, 2019 and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2019, 2018, and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2019, 2018, and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(a)2.</w:t>
      </w:r>
      <w:r>
        <w:rPr>
          <w:sz w:val="20"/>
          <w:szCs w:val="20"/>
          <w:color w:val="auto"/>
        </w:rPr>
        <w:tab/>
      </w:r>
      <w:r>
        <w:rPr>
          <w:rFonts w:ascii="Arial" w:cs="Arial" w:eastAsia="Arial" w:hAnsi="Arial"/>
          <w:sz w:val="17"/>
          <w:szCs w:val="17"/>
          <w:b w:val="1"/>
          <w:bCs w:val="1"/>
          <w:color w:val="CC0000"/>
        </w:rPr>
        <w:t>Financial Statement Schedules</w:t>
      </w:r>
    </w:p>
    <w:p>
      <w:pPr>
        <w:spacing w:after="0" w:line="13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w:t>
      </w:r>
    </w:p>
    <w:p>
      <w:pPr>
        <w:sectPr>
          <w:pgSz w:w="11900" w:h="16838" w:orient="portrait"/>
          <w:cols w:equalWidth="0" w:num="1">
            <w:col w:w="11300"/>
          </w:cols>
          <w:pgMar w:left="240" w:top="535"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r>
              <w:rPr>
                <w:rFonts w:ascii="Arial" w:cs="Arial" w:eastAsia="Arial" w:hAnsi="Arial"/>
                <w:sz w:val="18"/>
                <w:szCs w:val="18"/>
                <w:b w:val="1"/>
                <w:bCs w:val="1"/>
                <w:color w:val="CC0000"/>
              </w:rPr>
              <w:t>(a)3.</w:t>
            </w:r>
          </w:p>
        </w:tc>
        <w:tc>
          <w:tcPr>
            <w:tcW w:w="10680" w:type="dxa"/>
            <w:vAlign w:val="bottom"/>
          </w:tcPr>
          <w:p>
            <w:pPr>
              <w:ind w:left="40"/>
              <w:spacing w:after="0"/>
              <w:rPr>
                <w:sz w:val="20"/>
                <w:szCs w:val="20"/>
                <w:color w:val="auto"/>
              </w:rPr>
            </w:pPr>
            <w:r>
              <w:rPr>
                <w:rFonts w:ascii="Arial" w:cs="Arial" w:eastAsia="Arial" w:hAnsi="Arial"/>
                <w:sz w:val="18"/>
                <w:szCs w:val="18"/>
                <w:b w:val="1"/>
                <w:bCs w:val="1"/>
                <w:color w:val="CC0000"/>
              </w:rPr>
              <w:t>Exhibits</w:t>
            </w:r>
          </w:p>
        </w:tc>
      </w:tr>
      <w:tr>
        <w:trPr>
          <w:trHeight w:val="364"/>
        </w:trPr>
        <w:tc>
          <w:tcPr>
            <w:tcW w:w="540" w:type="dxa"/>
            <w:vAlign w:val="bottom"/>
          </w:tcPr>
          <w:p>
            <w:pPr>
              <w:ind w:left="40"/>
              <w:spacing w:after="0"/>
              <w:rPr>
                <w:sz w:val="20"/>
                <w:szCs w:val="20"/>
                <w:color w:val="auto"/>
              </w:rPr>
            </w:pPr>
            <w:r>
              <w:rPr>
                <w:rFonts w:ascii="Arial" w:cs="Arial" w:eastAsia="Arial" w:hAnsi="Arial"/>
                <w:sz w:val="18"/>
                <w:szCs w:val="18"/>
                <w:color w:val="auto"/>
              </w:rPr>
              <w:t>2.1</w:t>
            </w:r>
          </w:p>
        </w:tc>
        <w:tc>
          <w:tcPr>
            <w:tcW w:w="10680" w:type="dxa"/>
            <w:vAlign w:val="bottom"/>
          </w:tcPr>
          <w:p>
            <w:pPr>
              <w:ind w:left="440"/>
              <w:spacing w:after="0"/>
              <w:rPr>
                <w:sz w:val="20"/>
                <w:szCs w:val="20"/>
                <w:color w:val="auto"/>
              </w:rPr>
            </w:pPr>
            <w:r>
              <w:rPr>
                <w:rFonts w:ascii="Arial" w:cs="Arial" w:eastAsia="Arial" w:hAnsi="Arial"/>
                <w:sz w:val="18"/>
                <w:szCs w:val="18"/>
                <w:color w:val="auto"/>
              </w:rPr>
              <w:t>Agreement and Plan of Merger, dated January 5, 2019, among Eli Lilly and Company, Bowfin Acquisition Corporation and Loxo</w:t>
            </w:r>
          </w:p>
        </w:tc>
      </w:tr>
      <w:tr>
        <w:trPr>
          <w:trHeight w:val="217"/>
        </w:trPr>
        <w:tc>
          <w:tcPr>
            <w:tcW w:w="540" w:type="dxa"/>
            <w:vAlign w:val="bottom"/>
          </w:tcPr>
          <w:p>
            <w:pPr>
              <w:spacing w:after="0"/>
              <w:rPr>
                <w:sz w:val="18"/>
                <w:szCs w:val="18"/>
                <w:color w:val="auto"/>
              </w:rPr>
            </w:pPr>
          </w:p>
        </w:tc>
        <w:tc>
          <w:tcPr>
            <w:tcW w:w="10680" w:type="dxa"/>
            <w:vAlign w:val="bottom"/>
          </w:tcPr>
          <w:p>
            <w:pPr>
              <w:ind w:left="440"/>
              <w:spacing w:after="0"/>
              <w:rPr>
                <w:sz w:val="20"/>
                <w:szCs w:val="20"/>
                <w:color w:val="auto"/>
              </w:rPr>
            </w:pPr>
            <w:r>
              <w:rPr>
                <w:rFonts w:ascii="Arial" w:cs="Arial" w:eastAsia="Arial" w:hAnsi="Arial"/>
                <w:sz w:val="18"/>
                <w:szCs w:val="18"/>
                <w:color w:val="auto"/>
              </w:rPr>
              <w:t>Oncology, Inc.</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3.1</w:t>
            </w:r>
          </w:p>
        </w:tc>
        <w:tc>
          <w:tcPr>
            <w:tcW w:w="10680" w:type="dxa"/>
            <w:vAlign w:val="bottom"/>
          </w:tcPr>
          <w:p>
            <w:pPr>
              <w:ind w:left="440"/>
              <w:spacing w:after="0"/>
              <w:rPr>
                <w:sz w:val="20"/>
                <w:szCs w:val="20"/>
                <w:color w:val="auto"/>
              </w:rPr>
            </w:pPr>
            <w:r>
              <w:rPr>
                <w:rFonts w:ascii="Arial" w:cs="Arial" w:eastAsia="Arial" w:hAnsi="Arial"/>
                <w:sz w:val="18"/>
                <w:szCs w:val="18"/>
                <w:color w:val="auto"/>
              </w:rPr>
              <w:t>Amended Articles of Incorporation</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3.2</w:t>
            </w:r>
          </w:p>
        </w:tc>
        <w:tc>
          <w:tcPr>
            <w:tcW w:w="10680" w:type="dxa"/>
            <w:vAlign w:val="bottom"/>
          </w:tcPr>
          <w:p>
            <w:pPr>
              <w:ind w:left="440"/>
              <w:spacing w:after="0"/>
              <w:rPr>
                <w:sz w:val="20"/>
                <w:szCs w:val="20"/>
                <w:color w:val="auto"/>
              </w:rPr>
            </w:pPr>
            <w:r>
              <w:rPr>
                <w:rFonts w:ascii="Arial" w:cs="Arial" w:eastAsia="Arial" w:hAnsi="Arial"/>
                <w:sz w:val="18"/>
                <w:szCs w:val="18"/>
                <w:color w:val="auto"/>
              </w:rPr>
              <w:t>Bylaws, as amended</w:t>
            </w:r>
          </w:p>
        </w:tc>
      </w:tr>
      <w:tr>
        <w:trPr>
          <w:trHeight w:val="364"/>
        </w:trPr>
        <w:tc>
          <w:tcPr>
            <w:tcW w:w="540" w:type="dxa"/>
            <w:vAlign w:val="bottom"/>
          </w:tcPr>
          <w:p>
            <w:pPr>
              <w:ind w:left="40"/>
              <w:spacing w:after="0"/>
              <w:rPr>
                <w:sz w:val="20"/>
                <w:szCs w:val="20"/>
                <w:color w:val="auto"/>
              </w:rPr>
            </w:pPr>
            <w:r>
              <w:rPr>
                <w:rFonts w:ascii="Arial" w:cs="Arial" w:eastAsia="Arial" w:hAnsi="Arial"/>
                <w:sz w:val="18"/>
                <w:szCs w:val="18"/>
                <w:color w:val="auto"/>
              </w:rPr>
              <w:t>4.1</w:t>
            </w:r>
          </w:p>
        </w:tc>
        <w:tc>
          <w:tcPr>
            <w:tcW w:w="10680" w:type="dxa"/>
            <w:vAlign w:val="bottom"/>
          </w:tcPr>
          <w:p>
            <w:pPr>
              <w:ind w:left="440"/>
              <w:spacing w:after="0"/>
              <w:rPr>
                <w:sz w:val="20"/>
                <w:szCs w:val="20"/>
                <w:color w:val="auto"/>
              </w:rPr>
            </w:pPr>
            <w:r>
              <w:rPr>
                <w:rFonts w:ascii="Arial" w:cs="Arial" w:eastAsia="Arial" w:hAnsi="Arial"/>
                <w:sz w:val="18"/>
                <w:szCs w:val="18"/>
                <w:color w:val="auto"/>
                <w:w w:val="99"/>
              </w:rPr>
              <w:t>Indenture with respect to Debt Securities dated as of February 1, 1991, between Eli Lilly and Company and Deutsche Bank Trust</w:t>
            </w:r>
          </w:p>
        </w:tc>
      </w:tr>
      <w:tr>
        <w:trPr>
          <w:trHeight w:val="217"/>
        </w:trPr>
        <w:tc>
          <w:tcPr>
            <w:tcW w:w="540" w:type="dxa"/>
            <w:vAlign w:val="bottom"/>
          </w:tcPr>
          <w:p>
            <w:pPr>
              <w:spacing w:after="0"/>
              <w:rPr>
                <w:sz w:val="18"/>
                <w:szCs w:val="18"/>
                <w:color w:val="auto"/>
              </w:rPr>
            </w:pPr>
          </w:p>
        </w:tc>
        <w:tc>
          <w:tcPr>
            <w:tcW w:w="10680" w:type="dxa"/>
            <w:vAlign w:val="bottom"/>
          </w:tcPr>
          <w:p>
            <w:pPr>
              <w:ind w:left="440"/>
              <w:spacing w:after="0"/>
              <w:rPr>
                <w:sz w:val="20"/>
                <w:szCs w:val="20"/>
                <w:color w:val="auto"/>
              </w:rPr>
            </w:pPr>
            <w:r>
              <w:rPr>
                <w:rFonts w:ascii="Arial" w:cs="Arial" w:eastAsia="Arial" w:hAnsi="Arial"/>
                <w:sz w:val="18"/>
                <w:szCs w:val="18"/>
                <w:color w:val="auto"/>
              </w:rPr>
              <w:t>Company Americas, as successor trustee to Citibank, N.A., Trustee</w:t>
            </w:r>
          </w:p>
        </w:tc>
      </w:tr>
      <w:tr>
        <w:trPr>
          <w:trHeight w:val="364"/>
        </w:trPr>
        <w:tc>
          <w:tcPr>
            <w:tcW w:w="540" w:type="dxa"/>
            <w:vAlign w:val="bottom"/>
          </w:tcPr>
          <w:p>
            <w:pPr>
              <w:ind w:left="40"/>
              <w:spacing w:after="0"/>
              <w:rPr>
                <w:sz w:val="20"/>
                <w:szCs w:val="20"/>
                <w:color w:val="auto"/>
              </w:rPr>
            </w:pPr>
            <w:r>
              <w:rPr>
                <w:rFonts w:ascii="Arial" w:cs="Arial" w:eastAsia="Arial" w:hAnsi="Arial"/>
                <w:sz w:val="18"/>
                <w:szCs w:val="18"/>
                <w:color w:val="auto"/>
              </w:rPr>
              <w:t>4.2</w:t>
            </w:r>
          </w:p>
        </w:tc>
        <w:tc>
          <w:tcPr>
            <w:tcW w:w="10680" w:type="dxa"/>
            <w:vAlign w:val="bottom"/>
          </w:tcPr>
          <w:p>
            <w:pPr>
              <w:ind w:left="440"/>
              <w:spacing w:after="0"/>
              <w:rPr>
                <w:sz w:val="20"/>
                <w:szCs w:val="20"/>
                <w:color w:val="auto"/>
              </w:rPr>
            </w:pPr>
            <w:r>
              <w:rPr>
                <w:rFonts w:ascii="Arial" w:cs="Arial" w:eastAsia="Arial" w:hAnsi="Arial"/>
                <w:sz w:val="18"/>
                <w:szCs w:val="18"/>
                <w:color w:val="auto"/>
              </w:rPr>
              <w:t>Agreement dated September 13, 2007 appointing Deutsche Bank Trust Company Americas as Successor Trustee under the</w:t>
            </w:r>
          </w:p>
        </w:tc>
      </w:tr>
      <w:tr>
        <w:trPr>
          <w:trHeight w:val="217"/>
        </w:trPr>
        <w:tc>
          <w:tcPr>
            <w:tcW w:w="540" w:type="dxa"/>
            <w:vAlign w:val="bottom"/>
          </w:tcPr>
          <w:p>
            <w:pPr>
              <w:spacing w:after="0"/>
              <w:rPr>
                <w:sz w:val="18"/>
                <w:szCs w:val="18"/>
                <w:color w:val="auto"/>
              </w:rPr>
            </w:pPr>
          </w:p>
        </w:tc>
        <w:tc>
          <w:tcPr>
            <w:tcW w:w="10680" w:type="dxa"/>
            <w:vAlign w:val="bottom"/>
          </w:tcPr>
          <w:p>
            <w:pPr>
              <w:ind w:left="440"/>
              <w:spacing w:after="0"/>
              <w:rPr>
                <w:sz w:val="20"/>
                <w:szCs w:val="20"/>
                <w:color w:val="auto"/>
              </w:rPr>
            </w:pPr>
            <w:r>
              <w:rPr>
                <w:rFonts w:ascii="Arial" w:cs="Arial" w:eastAsia="Arial" w:hAnsi="Arial"/>
                <w:sz w:val="18"/>
                <w:szCs w:val="18"/>
                <w:color w:val="auto"/>
              </w:rPr>
              <w:t>Indenture listed above</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4.3</w:t>
            </w:r>
          </w:p>
        </w:tc>
        <w:tc>
          <w:tcPr>
            <w:tcW w:w="10680" w:type="dxa"/>
            <w:vAlign w:val="bottom"/>
          </w:tcPr>
          <w:p>
            <w:pPr>
              <w:ind w:left="440"/>
              <w:spacing w:after="0"/>
              <w:rPr>
                <w:sz w:val="20"/>
                <w:szCs w:val="20"/>
                <w:color w:val="auto"/>
              </w:rPr>
            </w:pPr>
            <w:r>
              <w:rPr>
                <w:rFonts w:ascii="Arial" w:cs="Arial" w:eastAsia="Arial" w:hAnsi="Arial"/>
                <w:sz w:val="18"/>
                <w:szCs w:val="18"/>
                <w:color w:val="auto"/>
              </w:rPr>
              <w:t>Description of Common Stock</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4.4</w:t>
            </w:r>
          </w:p>
        </w:tc>
        <w:tc>
          <w:tcPr>
            <w:tcW w:w="10680" w:type="dxa"/>
            <w:vAlign w:val="bottom"/>
          </w:tcPr>
          <w:p>
            <w:pPr>
              <w:ind w:left="440"/>
              <w:spacing w:after="0"/>
              <w:rPr>
                <w:sz w:val="20"/>
                <w:szCs w:val="20"/>
                <w:color w:val="auto"/>
              </w:rPr>
            </w:pPr>
            <w:r>
              <w:rPr>
                <w:rFonts w:ascii="Arial" w:cs="Arial" w:eastAsia="Arial" w:hAnsi="Arial"/>
                <w:sz w:val="18"/>
                <w:szCs w:val="18"/>
                <w:color w:val="auto"/>
              </w:rPr>
              <w:t>Description of the Company's 1.000% EUR Notes due 2022, 1.625% EUR Notes due 2026, and 2.125% EUR Notes due 2030</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4.5</w:t>
            </w:r>
          </w:p>
        </w:tc>
        <w:tc>
          <w:tcPr>
            <w:tcW w:w="10680" w:type="dxa"/>
            <w:vAlign w:val="bottom"/>
          </w:tcPr>
          <w:p>
            <w:pPr>
              <w:ind w:left="440"/>
              <w:spacing w:after="0"/>
              <w:rPr>
                <w:sz w:val="20"/>
                <w:szCs w:val="20"/>
                <w:color w:val="auto"/>
              </w:rPr>
            </w:pPr>
            <w:r>
              <w:rPr>
                <w:rFonts w:ascii="Arial" w:cs="Arial" w:eastAsia="Arial" w:hAnsi="Arial"/>
                <w:sz w:val="18"/>
                <w:szCs w:val="18"/>
                <w:color w:val="auto"/>
              </w:rPr>
              <w:t>Description of the Company's 6.77% Notes due 2036</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4.6</w:t>
            </w:r>
          </w:p>
        </w:tc>
        <w:tc>
          <w:tcPr>
            <w:tcW w:w="10680" w:type="dxa"/>
            <w:vAlign w:val="bottom"/>
          </w:tcPr>
          <w:p>
            <w:pPr>
              <w:ind w:left="440"/>
              <w:spacing w:after="0"/>
              <w:rPr>
                <w:sz w:val="20"/>
                <w:szCs w:val="20"/>
                <w:color w:val="auto"/>
              </w:rPr>
            </w:pPr>
            <w:r>
              <w:rPr>
                <w:rFonts w:ascii="Arial" w:cs="Arial" w:eastAsia="Arial" w:hAnsi="Arial"/>
                <w:sz w:val="18"/>
                <w:szCs w:val="18"/>
                <w:color w:val="auto"/>
              </w:rPr>
              <w:t>Description of the Company's 7 1/8% Notes due 2025</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4.7</w:t>
            </w:r>
          </w:p>
        </w:tc>
        <w:tc>
          <w:tcPr>
            <w:tcW w:w="10680" w:type="dxa"/>
            <w:vAlign w:val="bottom"/>
          </w:tcPr>
          <w:p>
            <w:pPr>
              <w:ind w:left="440"/>
              <w:spacing w:after="0"/>
              <w:rPr>
                <w:sz w:val="20"/>
                <w:szCs w:val="20"/>
                <w:color w:val="auto"/>
              </w:rPr>
            </w:pPr>
            <w:r>
              <w:rPr>
                <w:rFonts w:ascii="Arial" w:cs="Arial" w:eastAsia="Arial" w:hAnsi="Arial"/>
                <w:sz w:val="18"/>
                <w:szCs w:val="18"/>
                <w:color w:val="auto"/>
              </w:rPr>
              <w:t>Description of the Company's 0.625% EUR Notes due 2031 and 1.700% EUR Notes due 2049</w:t>
            </w:r>
          </w:p>
        </w:tc>
      </w:tr>
      <w:tr>
        <w:trPr>
          <w:trHeight w:val="435"/>
        </w:trPr>
        <w:tc>
          <w:tcPr>
            <w:tcW w:w="540" w:type="dxa"/>
            <w:vAlign w:val="bottom"/>
          </w:tcPr>
          <w:p>
            <w:pPr>
              <w:ind w:left="40"/>
              <w:spacing w:after="0"/>
              <w:rPr>
                <w:sz w:val="20"/>
                <w:szCs w:val="20"/>
                <w:color w:val="auto"/>
              </w:rPr>
            </w:pPr>
            <w:r>
              <w:rPr>
                <w:rFonts w:ascii="Arial" w:cs="Arial" w:eastAsia="Arial" w:hAnsi="Arial"/>
                <w:sz w:val="18"/>
                <w:szCs w:val="18"/>
                <w:color w:val="auto"/>
              </w:rPr>
              <w:t>10.1</w:t>
            </w:r>
          </w:p>
        </w:tc>
        <w:tc>
          <w:tcPr>
            <w:tcW w:w="10680" w:type="dxa"/>
            <w:vAlign w:val="bottom"/>
          </w:tcPr>
          <w:p>
            <w:pPr>
              <w:ind w:left="440"/>
              <w:spacing w:after="0"/>
              <w:rPr>
                <w:sz w:val="20"/>
                <w:szCs w:val="20"/>
                <w:color w:val="auto"/>
              </w:rPr>
            </w:pPr>
            <w:r>
              <w:rPr>
                <w:rFonts w:ascii="Arial" w:cs="Arial" w:eastAsia="Arial" w:hAnsi="Arial"/>
                <w:sz w:val="18"/>
                <w:szCs w:val="18"/>
                <w:color w:val="auto"/>
              </w:rPr>
              <w:t>Amended and Restated 2002 Lilly Stock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10.2</w:t>
            </w:r>
          </w:p>
        </w:tc>
        <w:tc>
          <w:tcPr>
            <w:tcW w:w="10680" w:type="dxa"/>
            <w:vAlign w:val="bottom"/>
          </w:tcPr>
          <w:p>
            <w:pPr>
              <w:ind w:left="440"/>
              <w:spacing w:after="0"/>
              <w:rPr>
                <w:sz w:val="20"/>
                <w:szCs w:val="20"/>
                <w:color w:val="auto"/>
              </w:rPr>
            </w:pPr>
            <w:r>
              <w:rPr>
                <w:rFonts w:ascii="Arial" w:cs="Arial" w:eastAsia="Arial" w:hAnsi="Arial"/>
                <w:sz w:val="18"/>
                <w:szCs w:val="18"/>
                <w:color w:val="auto"/>
              </w:rPr>
              <w:t>Form of Performance Award under the 2002 Lilly Stock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10.3</w:t>
            </w:r>
          </w:p>
        </w:tc>
        <w:tc>
          <w:tcPr>
            <w:tcW w:w="10680" w:type="dxa"/>
            <w:vAlign w:val="bottom"/>
          </w:tcPr>
          <w:p>
            <w:pPr>
              <w:ind w:left="440"/>
              <w:spacing w:after="0"/>
              <w:rPr>
                <w:sz w:val="20"/>
                <w:szCs w:val="20"/>
                <w:color w:val="auto"/>
              </w:rPr>
            </w:pPr>
            <w:r>
              <w:rPr>
                <w:rFonts w:ascii="Arial" w:cs="Arial" w:eastAsia="Arial" w:hAnsi="Arial"/>
                <w:sz w:val="18"/>
                <w:szCs w:val="18"/>
                <w:color w:val="auto"/>
              </w:rPr>
              <w:t>Form of Shareholder Value Award under the 2002 Lilly Stock Plan</w:t>
            </w:r>
            <w:r>
              <w:rPr>
                <w:rFonts w:ascii="Arial" w:cs="Arial" w:eastAsia="Arial" w:hAnsi="Arial"/>
                <w:sz w:val="21"/>
                <w:szCs w:val="21"/>
                <w:color w:val="auto"/>
                <w:vertAlign w:val="superscript"/>
              </w:rPr>
              <w:t>(1)</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10.4</w:t>
            </w:r>
          </w:p>
        </w:tc>
        <w:tc>
          <w:tcPr>
            <w:tcW w:w="10680" w:type="dxa"/>
            <w:vAlign w:val="bottom"/>
          </w:tcPr>
          <w:p>
            <w:pPr>
              <w:ind w:left="440"/>
              <w:spacing w:after="0"/>
              <w:rPr>
                <w:sz w:val="20"/>
                <w:szCs w:val="20"/>
                <w:color w:val="auto"/>
              </w:rPr>
            </w:pPr>
            <w:r>
              <w:rPr>
                <w:rFonts w:ascii="Arial" w:cs="Arial" w:eastAsia="Arial" w:hAnsi="Arial"/>
                <w:sz w:val="18"/>
                <w:szCs w:val="18"/>
                <w:color w:val="auto"/>
              </w:rPr>
              <w:t>Form of Relative Value Award under the 2002 Lilly Stock Plan</w:t>
            </w:r>
            <w:r>
              <w:rPr>
                <w:rFonts w:ascii="Arial" w:cs="Arial" w:eastAsia="Arial" w:hAnsi="Arial"/>
                <w:sz w:val="21"/>
                <w:szCs w:val="21"/>
                <w:color w:val="auto"/>
                <w:vertAlign w:val="superscript"/>
              </w:rPr>
              <w:t>(1)</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10.5</w:t>
            </w:r>
          </w:p>
        </w:tc>
        <w:tc>
          <w:tcPr>
            <w:tcW w:w="10680" w:type="dxa"/>
            <w:vAlign w:val="bottom"/>
          </w:tcPr>
          <w:p>
            <w:pPr>
              <w:ind w:left="440"/>
              <w:spacing w:after="0"/>
              <w:rPr>
                <w:sz w:val="20"/>
                <w:szCs w:val="20"/>
                <w:color w:val="auto"/>
              </w:rPr>
            </w:pPr>
            <w:r>
              <w:rPr>
                <w:rFonts w:ascii="Arial" w:cs="Arial" w:eastAsia="Arial" w:hAnsi="Arial"/>
                <w:sz w:val="18"/>
                <w:szCs w:val="18"/>
                <w:color w:val="auto"/>
              </w:rPr>
              <w:t>Restricted Stock Unit Award to Michael Harrington under the 2002 Lilly Stock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10.6</w:t>
            </w:r>
          </w:p>
        </w:tc>
        <w:tc>
          <w:tcPr>
            <w:tcW w:w="10680" w:type="dxa"/>
            <w:vAlign w:val="bottom"/>
          </w:tcPr>
          <w:p>
            <w:pPr>
              <w:ind w:left="440"/>
              <w:spacing w:after="0"/>
              <w:rPr>
                <w:sz w:val="20"/>
                <w:szCs w:val="20"/>
                <w:color w:val="auto"/>
              </w:rPr>
            </w:pPr>
            <w:r>
              <w:rPr>
                <w:rFonts w:ascii="Arial" w:cs="Arial" w:eastAsia="Arial" w:hAnsi="Arial"/>
                <w:sz w:val="18"/>
                <w:szCs w:val="18"/>
                <w:color w:val="auto"/>
              </w:rPr>
              <w:t>The Lilly Deferred Compensation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10.7</w:t>
            </w:r>
          </w:p>
        </w:tc>
        <w:tc>
          <w:tcPr>
            <w:tcW w:w="10680" w:type="dxa"/>
            <w:vAlign w:val="bottom"/>
          </w:tcPr>
          <w:p>
            <w:pPr>
              <w:ind w:left="440"/>
              <w:spacing w:after="0"/>
              <w:rPr>
                <w:sz w:val="20"/>
                <w:szCs w:val="20"/>
                <w:color w:val="auto"/>
              </w:rPr>
            </w:pPr>
            <w:r>
              <w:rPr>
                <w:rFonts w:ascii="Arial" w:cs="Arial" w:eastAsia="Arial" w:hAnsi="Arial"/>
                <w:sz w:val="18"/>
                <w:szCs w:val="18"/>
                <w:color w:val="auto"/>
              </w:rPr>
              <w:t>The Lilly Directors’ Deferral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10.8</w:t>
            </w:r>
          </w:p>
        </w:tc>
        <w:tc>
          <w:tcPr>
            <w:tcW w:w="10680" w:type="dxa"/>
            <w:vAlign w:val="bottom"/>
          </w:tcPr>
          <w:p>
            <w:pPr>
              <w:ind w:left="440"/>
              <w:spacing w:after="0"/>
              <w:rPr>
                <w:sz w:val="20"/>
                <w:szCs w:val="20"/>
                <w:color w:val="auto"/>
              </w:rPr>
            </w:pPr>
            <w:r>
              <w:rPr>
                <w:rFonts w:ascii="Arial" w:cs="Arial" w:eastAsia="Arial" w:hAnsi="Arial"/>
                <w:sz w:val="18"/>
                <w:szCs w:val="18"/>
                <w:color w:val="auto"/>
              </w:rPr>
              <w:t>The Eli Lilly and Company Bonus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10.9</w:t>
            </w:r>
          </w:p>
        </w:tc>
        <w:tc>
          <w:tcPr>
            <w:tcW w:w="10680" w:type="dxa"/>
            <w:vAlign w:val="bottom"/>
          </w:tcPr>
          <w:p>
            <w:pPr>
              <w:ind w:left="440"/>
              <w:spacing w:after="0"/>
              <w:rPr>
                <w:sz w:val="20"/>
                <w:szCs w:val="20"/>
                <w:color w:val="auto"/>
              </w:rPr>
            </w:pPr>
            <w:r>
              <w:rPr>
                <w:rFonts w:ascii="Arial" w:cs="Arial" w:eastAsia="Arial" w:hAnsi="Arial"/>
                <w:sz w:val="18"/>
                <w:szCs w:val="18"/>
                <w:color w:val="auto"/>
              </w:rPr>
              <w:t>The Eli Lilly and Company Executive Officer Incentive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10.10</w:t>
            </w:r>
          </w:p>
        </w:tc>
        <w:tc>
          <w:tcPr>
            <w:tcW w:w="10680" w:type="dxa"/>
            <w:vAlign w:val="bottom"/>
          </w:tcPr>
          <w:p>
            <w:pPr>
              <w:ind w:left="440"/>
              <w:spacing w:after="0"/>
              <w:rPr>
                <w:sz w:val="20"/>
                <w:szCs w:val="20"/>
                <w:color w:val="auto"/>
              </w:rPr>
            </w:pPr>
            <w:r>
              <w:rPr>
                <w:rFonts w:ascii="Arial" w:cs="Arial" w:eastAsia="Arial" w:hAnsi="Arial"/>
                <w:sz w:val="18"/>
                <w:szCs w:val="18"/>
                <w:color w:val="auto"/>
              </w:rPr>
              <w:t>2007 Change in Control Severance Pay Plan for Select Employees, as amended</w:t>
            </w:r>
            <w:r>
              <w:rPr>
                <w:rFonts w:ascii="Arial" w:cs="Arial" w:eastAsia="Arial" w:hAnsi="Arial"/>
                <w:sz w:val="21"/>
                <w:szCs w:val="21"/>
                <w:color w:val="auto"/>
                <w:vertAlign w:val="superscript"/>
              </w:rPr>
              <w:t>(1)</w:t>
            </w:r>
          </w:p>
        </w:tc>
      </w:tr>
      <w:tr>
        <w:trPr>
          <w:trHeight w:val="321"/>
        </w:trPr>
        <w:tc>
          <w:tcPr>
            <w:tcW w:w="540" w:type="dxa"/>
            <w:vAlign w:val="bottom"/>
          </w:tcPr>
          <w:p>
            <w:pPr>
              <w:ind w:left="40"/>
              <w:spacing w:after="0"/>
              <w:rPr>
                <w:sz w:val="20"/>
                <w:szCs w:val="20"/>
                <w:color w:val="auto"/>
              </w:rPr>
            </w:pPr>
            <w:r>
              <w:rPr>
                <w:rFonts w:ascii="Arial" w:cs="Arial" w:eastAsia="Arial" w:hAnsi="Arial"/>
                <w:sz w:val="18"/>
                <w:szCs w:val="18"/>
                <w:color w:val="auto"/>
              </w:rPr>
              <w:t>21</w:t>
            </w:r>
          </w:p>
        </w:tc>
        <w:tc>
          <w:tcPr>
            <w:tcW w:w="10680" w:type="dxa"/>
            <w:vAlign w:val="bottom"/>
          </w:tcPr>
          <w:p>
            <w:pPr>
              <w:ind w:left="440"/>
              <w:spacing w:after="0"/>
              <w:rPr>
                <w:sz w:val="20"/>
                <w:szCs w:val="20"/>
                <w:color w:val="auto"/>
              </w:rPr>
            </w:pPr>
            <w:r>
              <w:rPr>
                <w:rFonts w:ascii="Arial" w:cs="Arial" w:eastAsia="Arial" w:hAnsi="Arial"/>
                <w:sz w:val="18"/>
                <w:szCs w:val="18"/>
                <w:color w:val="auto"/>
              </w:rPr>
              <w:t>List of Subsidiaries</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23</w:t>
            </w:r>
          </w:p>
        </w:tc>
        <w:tc>
          <w:tcPr>
            <w:tcW w:w="10680" w:type="dxa"/>
            <w:vAlign w:val="bottom"/>
          </w:tcPr>
          <w:p>
            <w:pPr>
              <w:ind w:left="4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31.1</w:t>
            </w:r>
          </w:p>
        </w:tc>
        <w:tc>
          <w:tcPr>
            <w:tcW w:w="10680" w:type="dxa"/>
            <w:vAlign w:val="bottom"/>
          </w:tcPr>
          <w:p>
            <w:pPr>
              <w:ind w:left="440"/>
              <w:spacing w:after="0"/>
              <w:rPr>
                <w:sz w:val="20"/>
                <w:szCs w:val="20"/>
                <w:color w:val="auto"/>
              </w:rPr>
            </w:pPr>
            <w:r>
              <w:rPr>
                <w:rFonts w:ascii="Arial" w:cs="Arial" w:eastAsia="Arial" w:hAnsi="Arial"/>
                <w:sz w:val="18"/>
                <w:szCs w:val="18"/>
                <w:color w:val="auto"/>
              </w:rPr>
              <w:t>Rule 13a-14(a) Certification of David A. Ricks, Chairman, President, and Chief Executive Officer</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31.2</w:t>
            </w:r>
          </w:p>
        </w:tc>
        <w:tc>
          <w:tcPr>
            <w:tcW w:w="10680" w:type="dxa"/>
            <w:vAlign w:val="bottom"/>
          </w:tcPr>
          <w:p>
            <w:pPr>
              <w:ind w:left="440"/>
              <w:spacing w:after="0"/>
              <w:rPr>
                <w:sz w:val="20"/>
                <w:szCs w:val="20"/>
                <w:color w:val="auto"/>
              </w:rPr>
            </w:pPr>
            <w:r>
              <w:rPr>
                <w:rFonts w:ascii="Arial" w:cs="Arial" w:eastAsia="Arial" w:hAnsi="Arial"/>
                <w:sz w:val="18"/>
                <w:szCs w:val="18"/>
                <w:color w:val="auto"/>
              </w:rPr>
              <w:t>Rule 13a-14(a) Certification of Joshua L. Smiley, Senior Vice President and Chief Financial Officer</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32</w:t>
            </w:r>
          </w:p>
        </w:tc>
        <w:tc>
          <w:tcPr>
            <w:tcW w:w="10680" w:type="dxa"/>
            <w:vAlign w:val="bottom"/>
          </w:tcPr>
          <w:p>
            <w:pPr>
              <w:ind w:left="440"/>
              <w:spacing w:after="0"/>
              <w:rPr>
                <w:sz w:val="20"/>
                <w:szCs w:val="20"/>
                <w:color w:val="auto"/>
              </w:rPr>
            </w:pPr>
            <w:r>
              <w:rPr>
                <w:rFonts w:ascii="Arial" w:cs="Arial" w:eastAsia="Arial" w:hAnsi="Arial"/>
                <w:sz w:val="18"/>
                <w:szCs w:val="18"/>
                <w:color w:val="auto"/>
              </w:rPr>
              <w:t>Section 1350 Certification</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101</w:t>
            </w:r>
          </w:p>
        </w:tc>
        <w:tc>
          <w:tcPr>
            <w:tcW w:w="10680" w:type="dxa"/>
            <w:vAlign w:val="bottom"/>
          </w:tcPr>
          <w:p>
            <w:pPr>
              <w:ind w:left="440"/>
              <w:spacing w:after="0"/>
              <w:rPr>
                <w:sz w:val="20"/>
                <w:szCs w:val="20"/>
                <w:color w:val="auto"/>
              </w:rPr>
            </w:pPr>
            <w:r>
              <w:rPr>
                <w:rFonts w:ascii="Arial" w:cs="Arial" w:eastAsia="Arial" w:hAnsi="Arial"/>
                <w:sz w:val="18"/>
                <w:szCs w:val="18"/>
                <w:color w:val="auto"/>
              </w:rPr>
              <w:t>Interactive Data File</w:t>
            </w:r>
          </w:p>
        </w:tc>
      </w:tr>
    </w:tbl>
    <w:p>
      <w:pPr>
        <w:spacing w:after="0" w:line="175" w:lineRule="exact"/>
        <w:rPr>
          <w:sz w:val="20"/>
          <w:szCs w:val="20"/>
          <w:color w:val="auto"/>
        </w:rPr>
      </w:pPr>
    </w:p>
    <w:p>
      <w:pPr>
        <w:ind w:left="980" w:hanging="945"/>
        <w:spacing w:after="0"/>
        <w:tabs>
          <w:tab w:leader="none" w:pos="9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Cover Page Interactive Data File (formatted Inline XBRL and contained in Exhibit 101)</w:t>
      </w:r>
    </w:p>
    <w:p>
      <w:pPr>
        <w:spacing w:after="0" w:line="101" w:lineRule="exact"/>
        <w:rPr>
          <w:rFonts w:ascii="Arial" w:cs="Arial" w:eastAsia="Arial" w:hAnsi="Arial"/>
          <w:sz w:val="18"/>
          <w:szCs w:val="18"/>
          <w:color w:val="auto"/>
        </w:rPr>
      </w:pPr>
    </w:p>
    <w:p>
      <w:pPr>
        <w:ind w:left="160" w:hanging="152"/>
        <w:spacing w:after="0"/>
        <w:tabs>
          <w:tab w:leader="none" w:pos="16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16. Form 10-K Summary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765"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1160"/>
        <w:spacing w:after="0"/>
        <w:rPr>
          <w:sz w:val="20"/>
          <w:szCs w:val="20"/>
          <w:color w:val="auto"/>
        </w:rPr>
      </w:pPr>
      <w:r>
        <w:rPr>
          <w:rFonts w:ascii="Arial" w:cs="Arial" w:eastAsia="Arial" w:hAnsi="Arial"/>
          <w:sz w:val="15"/>
          <w:szCs w:val="15"/>
          <w:b w:val="1"/>
          <w:bCs w:val="1"/>
          <w:i w:val="1"/>
          <w:iCs w:val="1"/>
          <w:color w:val="auto"/>
        </w:rPr>
        <w:t>113</w:t>
      </w:r>
    </w:p>
    <w:p>
      <w:pPr>
        <w:sectPr>
          <w:pgSz w:w="11900" w:h="16838" w:orient="portrait"/>
          <w:cols w:equalWidth="0" w:num="1">
            <w:col w:w="11420"/>
          </w:cols>
          <w:pgMar w:left="240" w:top="765"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Index to Exhibits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5"/>
        </w:trPr>
        <w:tc>
          <w:tcPr>
            <w:tcW w:w="240" w:type="dxa"/>
            <w:vAlign w:val="bottom"/>
            <w:tcBorders>
              <w:top w:val="single" w:sz="8" w:color="auto"/>
              <w:bottom w:val="single" w:sz="8" w:color="0000FF"/>
            </w:tcBorders>
          </w:tcPr>
          <w:p>
            <w:pPr>
              <w:spacing w:after="0"/>
              <w:rPr>
                <w:rFonts w:ascii="Arial" w:cs="Arial" w:eastAsia="Arial" w:hAnsi="Arial"/>
                <w:sz w:val="18"/>
                <w:szCs w:val="18"/>
                <w:color w:val="0000FF"/>
                <w:w w:val="87"/>
              </w:rPr>
            </w:pPr>
            <w:hyperlink r:id="rId152">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2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Borders>
              <w:bottom w:val="single" w:sz="8" w:color="0000FF"/>
            </w:tcBorders>
            <w:gridSpan w:val="5"/>
          </w:tcPr>
          <w:p>
            <w:pPr>
              <w:spacing w:after="0"/>
              <w:rPr>
                <w:rFonts w:ascii="Arial" w:cs="Arial" w:eastAsia="Arial" w:hAnsi="Arial"/>
                <w:sz w:val="18"/>
                <w:szCs w:val="18"/>
                <w:color w:val="0000FF"/>
                <w:w w:val="99"/>
              </w:rPr>
            </w:pPr>
            <w:hyperlink r:id="rId152">
              <w:r>
                <w:rPr>
                  <w:rFonts w:ascii="Arial" w:cs="Arial" w:eastAsia="Arial" w:hAnsi="Arial"/>
                  <w:sz w:val="18"/>
                  <w:szCs w:val="18"/>
                  <w:color w:val="0000FF"/>
                  <w:w w:val="99"/>
                </w:rPr>
                <w:t>Agreement and Plan of Merger, dated January 5, 2019, among Eli</w:t>
              </w:r>
            </w:hyperlink>
          </w:p>
        </w:tc>
      </w:tr>
      <w:tr>
        <w:trPr>
          <w:trHeight w:val="183"/>
        </w:trPr>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40" w:type="dxa"/>
            <w:vAlign w:val="bottom"/>
            <w:gridSpan w:val="5"/>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Lilly and Company, Bowfin Acquisition Corporation and Loxo</w:t>
              </w:r>
            </w:hyperlink>
          </w:p>
        </w:tc>
      </w:tr>
      <w:tr>
        <w:trPr>
          <w:trHeight w:val="183"/>
        </w:trPr>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152">
              <w:r>
                <w:rPr>
                  <w:rFonts w:ascii="Arial" w:cs="Arial" w:eastAsia="Arial" w:hAnsi="Arial"/>
                  <w:sz w:val="18"/>
                  <w:szCs w:val="18"/>
                  <w:color w:val="0000FF"/>
                  <w:w w:val="97"/>
                </w:rPr>
                <w:t>Oncology, Inc.</w:t>
              </w:r>
            </w:hyperlink>
          </w:p>
        </w:tc>
        <w:tc>
          <w:tcPr>
            <w:tcW w:w="3660" w:type="dxa"/>
            <w:vAlign w:val="bottom"/>
            <w:tcBorders>
              <w:top w:val="single" w:sz="8" w:color="0000FF"/>
            </w:tcBorders>
            <w:gridSpan w:val="3"/>
          </w:tcPr>
          <w:p>
            <w:pPr>
              <w:spacing w:after="0"/>
              <w:rPr>
                <w:sz w:val="15"/>
                <w:szCs w:val="15"/>
                <w:color w:val="auto"/>
              </w:rPr>
            </w:pPr>
          </w:p>
        </w:tc>
        <w:tc>
          <w:tcPr>
            <w:tcW w:w="440" w:type="dxa"/>
            <w:vAlign w:val="bottom"/>
          </w:tcPr>
          <w:p>
            <w:pPr>
              <w:spacing w:after="0"/>
              <w:rPr>
                <w:sz w:val="15"/>
                <w:szCs w:val="15"/>
                <w:color w:val="auto"/>
              </w:rPr>
            </w:pPr>
          </w:p>
        </w:tc>
      </w:tr>
      <w:tr>
        <w:trPr>
          <w:trHeight w:val="358"/>
        </w:trPr>
        <w:tc>
          <w:tcPr>
            <w:tcW w:w="240" w:type="dxa"/>
            <w:vAlign w:val="bottom"/>
          </w:tcPr>
          <w:p>
            <w:pPr>
              <w:spacing w:after="0"/>
              <w:rPr>
                <w:rFonts w:ascii="Arial" w:cs="Arial" w:eastAsia="Arial" w:hAnsi="Arial"/>
                <w:sz w:val="18"/>
                <w:szCs w:val="18"/>
                <w:color w:val="0000FF"/>
                <w:w w:val="87"/>
              </w:rPr>
            </w:pPr>
            <w:hyperlink r:id="rId15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5"/>
          </w:tcPr>
          <w:p>
            <w:pPr>
              <w:spacing w:after="0"/>
              <w:rPr>
                <w:rFonts w:ascii="Arial" w:cs="Arial" w:eastAsia="Arial" w:hAnsi="Arial"/>
                <w:sz w:val="18"/>
                <w:szCs w:val="18"/>
                <w:color w:val="0000FF"/>
              </w:rPr>
            </w:pPr>
            <w:hyperlink r:id="rId153">
              <w:r>
                <w:rPr>
                  <w:rFonts w:ascii="Arial" w:cs="Arial" w:eastAsia="Arial" w:hAnsi="Arial"/>
                  <w:sz w:val="18"/>
                  <w:szCs w:val="18"/>
                  <w:color w:val="0000FF"/>
                </w:rPr>
                <w:t>Amended Articles of Incorporation</w:t>
              </w:r>
            </w:hyperlink>
          </w:p>
        </w:tc>
      </w:tr>
      <w:tr>
        <w:trPr>
          <w:trHeight w:val="561"/>
        </w:trPr>
        <w:tc>
          <w:tcPr>
            <w:tcW w:w="240" w:type="dxa"/>
            <w:vAlign w:val="bottom"/>
            <w:tcBorders>
              <w:top w:val="single" w:sz="8" w:color="0000FF"/>
              <w:bottom w:val="single" w:sz="8" w:color="0000FF"/>
            </w:tcBorders>
          </w:tcPr>
          <w:p>
            <w:pPr>
              <w:spacing w:after="0"/>
              <w:rPr>
                <w:rFonts w:ascii="Arial" w:cs="Arial" w:eastAsia="Arial" w:hAnsi="Arial"/>
                <w:sz w:val="18"/>
                <w:szCs w:val="18"/>
                <w:color w:val="0000FF"/>
                <w:w w:val="87"/>
              </w:rPr>
            </w:pPr>
            <w:hyperlink r:id="rId15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8"/>
              </w:rPr>
            </w:pPr>
            <w:hyperlink r:id="rId154">
              <w:r>
                <w:rPr>
                  <w:rFonts w:ascii="Arial" w:cs="Arial" w:eastAsia="Arial" w:hAnsi="Arial"/>
                  <w:sz w:val="18"/>
                  <w:szCs w:val="18"/>
                  <w:color w:val="0000FF"/>
                  <w:w w:val="98"/>
                </w:rPr>
                <w:t>Bylaws, as amended</w:t>
              </w:r>
            </w:hyperlink>
          </w:p>
        </w:tc>
        <w:tc>
          <w:tcPr>
            <w:tcW w:w="1040" w:type="dxa"/>
            <w:vAlign w:val="bottom"/>
            <w:tcBorders>
              <w:top w:val="single" w:sz="8" w:color="0000FF"/>
            </w:tcBorders>
          </w:tcPr>
          <w:p>
            <w:pPr>
              <w:spacing w:after="0"/>
              <w:rPr>
                <w:sz w:val="24"/>
                <w:szCs w:val="24"/>
                <w:color w:val="auto"/>
              </w:rPr>
            </w:pPr>
          </w:p>
        </w:tc>
        <w:tc>
          <w:tcPr>
            <w:tcW w:w="254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189" w:lineRule="exact"/>
        <w:rPr>
          <w:sz w:val="20"/>
          <w:szCs w:val="20"/>
          <w:color w:val="auto"/>
        </w:rPr>
      </w:pPr>
    </w:p>
    <w:p>
      <w:pPr>
        <w:ind w:right="220"/>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Incorporated by reference to Exhibit 2.1 to the Current</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Report on Form 8-K filed by Loxo Oncology on January 7,</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2019</w:t>
        </w:r>
      </w:hyperlink>
    </w:p>
    <w:p>
      <w:pPr>
        <w:spacing w:after="0" w:line="162" w:lineRule="exact"/>
        <w:rPr>
          <w:rFonts w:ascii="Arial" w:cs="Arial" w:eastAsia="Arial" w:hAnsi="Arial"/>
          <w:sz w:val="18"/>
          <w:szCs w:val="18"/>
          <w:u w:val="single" w:color="auto"/>
          <w:color w:val="0000FF"/>
        </w:rPr>
      </w:pPr>
    </w:p>
    <w:p>
      <w:pPr>
        <w:spacing w:after="0" w:line="275" w:lineRule="auto"/>
        <w:rPr>
          <w:rFonts w:ascii="Arial" w:cs="Arial" w:eastAsia="Arial" w:hAnsi="Arial"/>
          <w:sz w:val="17"/>
          <w:szCs w:val="17"/>
          <w:u w:val="single" w:color="auto"/>
          <w:color w:val="0000FF"/>
        </w:rPr>
      </w:pPr>
      <w:hyperlink r:id="rId153">
        <w:r>
          <w:rPr>
            <w:rFonts w:ascii="Arial" w:cs="Arial" w:eastAsia="Arial" w:hAnsi="Arial"/>
            <w:sz w:val="17"/>
            <w:szCs w:val="17"/>
            <w:u w:val="single" w:color="auto"/>
            <w:color w:val="0000FF"/>
          </w:rPr>
          <w:t>Incorporated by reference to Exhibit 3.1 to the Company's</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Report on Form 10-K for the year ended December 31, 2013</w:t>
        </w:r>
      </w:hyperlink>
    </w:p>
    <w:p>
      <w:pPr>
        <w:spacing w:after="0" w:line="133" w:lineRule="exact"/>
        <w:rPr>
          <w:sz w:val="20"/>
          <w:szCs w:val="20"/>
          <w:color w:val="auto"/>
        </w:rPr>
      </w:pPr>
    </w:p>
    <w:p>
      <w:pPr>
        <w:ind w:right="6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Bylaws, as amended, are incorporated by reference to</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Exhibit 99.1 to the Company's Report on Form 8-K dated on</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December, 20, 2019</w:t>
        </w:r>
      </w:hyperlink>
    </w:p>
    <w:p>
      <w:pPr>
        <w:spacing w:after="0" w:line="132" w:lineRule="exact"/>
        <w:rPr>
          <w:rFonts w:ascii="Arial" w:cs="Arial" w:eastAsia="Arial" w:hAnsi="Arial"/>
          <w:sz w:val="18"/>
          <w:szCs w:val="18"/>
          <w:u w:val="single" w:color="auto"/>
          <w:color w:val="0000FF"/>
        </w:rPr>
      </w:pPr>
    </w:p>
    <w:p>
      <w:pPr>
        <w:sectPr>
          <w:pgSz w:w="11900" w:h="16838" w:orient="portrait"/>
          <w:cols w:equalWidth="0" w:num="2">
            <w:col w:w="6200" w:space="340"/>
            <w:col w:w="4820"/>
          </w:cols>
          <w:pgMar w:left="240" w:top="549" w:right="299" w:bottom="1440" w:gutter="0" w:footer="0" w:header="0"/>
        </w:sectPr>
      </w:pPr>
    </w:p>
    <w:tbl>
      <w:tblPr>
        <w:tblLayout w:type="fixed"/>
        <w:tblInd w:w="40" w:type="dxa"/>
        <w:tblCellMar>
          <w:top w:w="0" w:type="dxa"/>
          <w:left w:w="0" w:type="dxa"/>
          <w:bottom w:w="0" w:type="dxa"/>
          <w:right w:w="0" w:type="dxa"/>
        </w:tblCellMar>
      </w:tblPr>
      <w:tr>
        <w:trPr>
          <w:trHeight w:val="207"/>
        </w:trPr>
        <w:tc>
          <w:tcPr>
            <w:tcW w:w="920" w:type="dxa"/>
            <w:vAlign w:val="bottom"/>
            <w:gridSpan w:val="2"/>
          </w:tcPr>
          <w:p>
            <w:pPr>
              <w:jc w:val="right"/>
              <w:ind w:right="680"/>
              <w:spacing w:after="0"/>
              <w:rPr>
                <w:rFonts w:ascii="Arial" w:cs="Arial" w:eastAsia="Arial" w:hAnsi="Arial"/>
                <w:sz w:val="18"/>
                <w:szCs w:val="18"/>
                <w:color w:val="0000FF"/>
                <w:w w:val="87"/>
              </w:rPr>
            </w:pPr>
            <w:hyperlink r:id="rId15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5360" w:type="dxa"/>
            <w:vAlign w:val="bottom"/>
            <w:gridSpan w:val="6"/>
          </w:tcPr>
          <w:p>
            <w:pPr>
              <w:spacing w:after="0"/>
              <w:rPr>
                <w:rFonts w:ascii="Arial" w:cs="Arial" w:eastAsia="Arial" w:hAnsi="Arial"/>
                <w:sz w:val="18"/>
                <w:szCs w:val="18"/>
                <w:color w:val="0000FF"/>
              </w:rPr>
            </w:pPr>
            <w:hyperlink r:id="rId155">
              <w:r>
                <w:rPr>
                  <w:rFonts w:ascii="Arial" w:cs="Arial" w:eastAsia="Arial" w:hAnsi="Arial"/>
                  <w:sz w:val="18"/>
                  <w:szCs w:val="18"/>
                  <w:color w:val="0000FF"/>
                </w:rPr>
                <w:t>Indenture with respect to Debt Securities dated as of February 1,</w:t>
              </w:r>
            </w:hyperlink>
          </w:p>
        </w:tc>
      </w:tr>
      <w:tr>
        <w:trPr>
          <w:trHeight w:val="183"/>
        </w:trPr>
        <w:tc>
          <w:tcPr>
            <w:tcW w:w="24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514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1991, between Eli Lilly and Company and Deutsche Bank Trust</w:t>
              </w:r>
            </w:hyperlink>
          </w:p>
        </w:tc>
        <w:tc>
          <w:tcPr>
            <w:tcW w:w="220" w:type="dxa"/>
            <w:vAlign w:val="bottom"/>
            <w:gridSpan w:val="2"/>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36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Company Americas, as successor trustee to Citibank, N.A., Trustee</w:t>
              </w:r>
            </w:hyperlink>
          </w:p>
        </w:tc>
      </w:tr>
      <w:tr>
        <w:trPr>
          <w:trHeight w:val="358"/>
        </w:trPr>
        <w:tc>
          <w:tcPr>
            <w:tcW w:w="920" w:type="dxa"/>
            <w:vAlign w:val="bottom"/>
            <w:gridSpan w:val="2"/>
          </w:tcPr>
          <w:p>
            <w:pPr>
              <w:jc w:val="right"/>
              <w:ind w:right="680"/>
              <w:spacing w:after="0"/>
              <w:rPr>
                <w:rFonts w:ascii="Arial" w:cs="Arial" w:eastAsia="Arial" w:hAnsi="Arial"/>
                <w:sz w:val="18"/>
                <w:szCs w:val="18"/>
                <w:color w:val="0000FF"/>
                <w:w w:val="87"/>
              </w:rPr>
            </w:pPr>
            <w:hyperlink r:id="rId15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5360" w:type="dxa"/>
            <w:vAlign w:val="bottom"/>
            <w:gridSpan w:val="6"/>
          </w:tcPr>
          <w:p>
            <w:pPr>
              <w:spacing w:after="0"/>
              <w:rPr>
                <w:rFonts w:ascii="Arial" w:cs="Arial" w:eastAsia="Arial" w:hAnsi="Arial"/>
                <w:sz w:val="18"/>
                <w:szCs w:val="18"/>
                <w:color w:val="0000FF"/>
              </w:rPr>
            </w:pPr>
            <w:hyperlink r:id="rId156">
              <w:r>
                <w:rPr>
                  <w:rFonts w:ascii="Arial" w:cs="Arial" w:eastAsia="Arial" w:hAnsi="Arial"/>
                  <w:sz w:val="18"/>
                  <w:szCs w:val="18"/>
                  <w:color w:val="0000FF"/>
                </w:rPr>
                <w:t>Agreement dated September 13, 2007 appointing Deutsche Bank</w:t>
              </w:r>
            </w:hyperlink>
          </w:p>
        </w:tc>
      </w:tr>
      <w:tr>
        <w:trPr>
          <w:trHeight w:val="183"/>
        </w:trPr>
        <w:tc>
          <w:tcPr>
            <w:tcW w:w="24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Trust Company Americas as Successor Trustee under the</w:t>
              </w:r>
            </w:hyperlink>
          </w:p>
        </w:tc>
        <w:tc>
          <w:tcPr>
            <w:tcW w:w="580" w:type="dxa"/>
            <w:vAlign w:val="bottom"/>
            <w:tcBorders>
              <w:top w:val="single" w:sz="8" w:color="0000FF"/>
            </w:tcBorders>
            <w:gridSpan w:val="3"/>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360" w:type="dxa"/>
            <w:vAlign w:val="bottom"/>
            <w:gridSpan w:val="6"/>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Indenture listed above</w:t>
              </w:r>
            </w:hyperlink>
          </w:p>
        </w:tc>
      </w:tr>
      <w:tr>
        <w:trPr>
          <w:trHeight w:val="20"/>
        </w:trPr>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ind w:right="14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Incorporated by reference to Exhibit 4.1 to the Company’s</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Registration Statement on Form S-3, Registration No. 333-</w:t>
        </w:r>
      </w:hyperlink>
      <w:hyperlink r:id="rId155">
        <w:r>
          <w:rPr>
            <w:rFonts w:ascii="Arial" w:cs="Arial" w:eastAsia="Arial" w:hAnsi="Arial"/>
            <w:sz w:val="18"/>
            <w:szCs w:val="18"/>
            <w:u w:val="single" w:color="auto"/>
            <w:color w:val="0000FF"/>
          </w:rPr>
          <w:t>186979</w:t>
        </w:r>
      </w:hyperlink>
    </w:p>
    <w:p>
      <w:pPr>
        <w:spacing w:after="0" w:line="162" w:lineRule="exact"/>
        <w:rPr>
          <w:rFonts w:ascii="Arial" w:cs="Arial" w:eastAsia="Arial" w:hAnsi="Arial"/>
          <w:sz w:val="18"/>
          <w:szCs w:val="18"/>
          <w:u w:val="single" w:color="auto"/>
          <w:color w:val="0000FF"/>
        </w:rPr>
      </w:pPr>
    </w:p>
    <w:p>
      <w:pPr>
        <w:spacing w:after="0" w:line="275" w:lineRule="auto"/>
        <w:rPr>
          <w:rFonts w:ascii="Arial" w:cs="Arial" w:eastAsia="Arial" w:hAnsi="Arial"/>
          <w:sz w:val="17"/>
          <w:szCs w:val="17"/>
          <w:u w:val="single" w:color="auto"/>
          <w:color w:val="0000FF"/>
        </w:rPr>
      </w:pPr>
      <w:hyperlink r:id="rId156">
        <w:r>
          <w:rPr>
            <w:rFonts w:ascii="Arial" w:cs="Arial" w:eastAsia="Arial" w:hAnsi="Arial"/>
            <w:sz w:val="17"/>
            <w:szCs w:val="17"/>
            <w:u w:val="single" w:color="auto"/>
            <w:color w:val="0000FF"/>
          </w:rPr>
          <w:t>Incorporated by reference to Exhibit 4.2 to the Company’s</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Report on Form 10-K for the year ended December 31, 2008</w:t>
        </w:r>
      </w:hyperlink>
    </w:p>
    <w:p>
      <w:pPr>
        <w:spacing w:after="0" w:line="305" w:lineRule="exact"/>
        <w:rPr>
          <w:sz w:val="20"/>
          <w:szCs w:val="20"/>
          <w:color w:val="auto"/>
        </w:rPr>
      </w:pPr>
    </w:p>
    <w:p>
      <w:pPr>
        <w:sectPr>
          <w:pgSz w:w="11900" w:h="16838" w:orient="portrait"/>
          <w:cols w:equalWidth="0" w:num="2">
            <w:col w:w="6320" w:space="220"/>
            <w:col w:w="4820"/>
          </w:cols>
          <w:pgMar w:left="240" w:top="549" w:right="2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80" w:type="dxa"/>
            <w:vAlign w:val="bottom"/>
            <w:gridSpan w:val="2"/>
          </w:tcPr>
          <w:p>
            <w:pPr>
              <w:ind w:left="40"/>
              <w:spacing w:after="0"/>
              <w:rPr>
                <w:rFonts w:ascii="Arial" w:cs="Arial" w:eastAsia="Arial" w:hAnsi="Arial"/>
                <w:sz w:val="18"/>
                <w:szCs w:val="18"/>
                <w:color w:val="0000FF"/>
                <w:w w:val="87"/>
              </w:rPr>
            </w:pPr>
            <w:hyperlink w:anchor="page11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80" w:type="dxa"/>
            <w:vAlign w:val="bottom"/>
            <w:gridSpan w:val="13"/>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Description of the Company's Common Stock</w:t>
              </w:r>
            </w:hyperlink>
          </w:p>
        </w:tc>
        <w:tc>
          <w:tcPr>
            <w:tcW w:w="4820" w:type="dxa"/>
            <w:vAlign w:val="bottom"/>
            <w:gridSpan w:val="5"/>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Attached</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280" w:type="dxa"/>
            <w:vAlign w:val="bottom"/>
            <w:gridSpan w:val="2"/>
          </w:tcPr>
          <w:p>
            <w:pPr>
              <w:ind w:left="40"/>
              <w:spacing w:after="0"/>
              <w:rPr>
                <w:rFonts w:ascii="Arial" w:cs="Arial" w:eastAsia="Arial" w:hAnsi="Arial"/>
                <w:sz w:val="18"/>
                <w:szCs w:val="18"/>
                <w:color w:val="0000FF"/>
                <w:w w:val="87"/>
              </w:rPr>
            </w:pPr>
            <w:hyperlink w:anchor="page12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Description of the Company's 1.000% EUR Notes due 2022,</w:t>
              </w:r>
            </w:hyperlink>
          </w:p>
        </w:tc>
        <w:tc>
          <w:tcPr>
            <w:tcW w:w="4820" w:type="dxa"/>
            <w:vAlign w:val="bottom"/>
            <w:gridSpan w:val="5"/>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Attached</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80" w:type="dxa"/>
            <w:vAlign w:val="bottom"/>
            <w:gridSpan w:val="13"/>
          </w:tcPr>
          <w:p>
            <w:pPr>
              <w:spacing w:after="0" w:line="182" w:lineRule="exact"/>
              <w:rPr>
                <w:rFonts w:ascii="Arial" w:cs="Arial" w:eastAsia="Arial" w:hAnsi="Arial"/>
                <w:sz w:val="18"/>
                <w:szCs w:val="18"/>
                <w:color w:val="0000FF"/>
              </w:rPr>
            </w:pPr>
            <w:hyperlink w:anchor="page122">
              <w:r>
                <w:rPr>
                  <w:rFonts w:ascii="Arial" w:cs="Arial" w:eastAsia="Arial" w:hAnsi="Arial"/>
                  <w:sz w:val="18"/>
                  <w:szCs w:val="18"/>
                  <w:color w:val="0000FF"/>
                </w:rPr>
                <w:t>1.</w:t>
              </w:r>
              <w:r>
                <w:rPr>
                  <w:rFonts w:ascii="Arial" w:cs="Arial" w:eastAsia="Arial" w:hAnsi="Arial"/>
                  <w:sz w:val="18"/>
                  <w:szCs w:val="18"/>
                  <w:u w:val="single" w:color="auto"/>
                  <w:color w:val="0000FF"/>
                </w:rPr>
                <w:t>625%</w:t>
              </w:r>
              <w:r>
                <w:rPr>
                  <w:rFonts w:ascii="Arial" w:cs="Arial" w:eastAsia="Arial" w:hAnsi="Arial"/>
                  <w:sz w:val="18"/>
                  <w:szCs w:val="18"/>
                  <w:color w:val="0000FF"/>
                </w:rPr>
                <w:t xml:space="preserve"> EUR Notes due 2026, and 2.125% EUR Notes due 2030</w:t>
              </w:r>
            </w:hyperlink>
          </w:p>
        </w:tc>
        <w:tc>
          <w:tcPr>
            <w:tcW w:w="7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58"/>
        </w:trPr>
        <w:tc>
          <w:tcPr>
            <w:tcW w:w="280" w:type="dxa"/>
            <w:vAlign w:val="bottom"/>
            <w:gridSpan w:val="2"/>
          </w:tcPr>
          <w:p>
            <w:pPr>
              <w:ind w:left="40"/>
              <w:spacing w:after="0"/>
              <w:rPr>
                <w:rFonts w:ascii="Arial" w:cs="Arial" w:eastAsia="Arial" w:hAnsi="Arial"/>
                <w:sz w:val="18"/>
                <w:szCs w:val="18"/>
                <w:color w:val="0000FF"/>
                <w:w w:val="87"/>
              </w:rPr>
            </w:pPr>
            <w:hyperlink w:anchor="page13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60" w:type="dxa"/>
            <w:vAlign w:val="bottom"/>
            <w:tcBorders>
              <w:top w:val="single" w:sz="8" w:color="0000FF"/>
            </w:tcBorders>
            <w:gridSpan w:val="10"/>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Description of the Company's 6.77% Notes due 2036</w:t>
              </w:r>
            </w:hyperlink>
          </w:p>
        </w:tc>
        <w:tc>
          <w:tcPr>
            <w:tcW w:w="420" w:type="dxa"/>
            <w:vAlign w:val="bottom"/>
            <w:gridSpan w:val="3"/>
          </w:tcPr>
          <w:p>
            <w:pPr>
              <w:spacing w:after="0"/>
              <w:rPr>
                <w:sz w:val="24"/>
                <w:szCs w:val="24"/>
                <w:color w:val="auto"/>
              </w:rPr>
            </w:pPr>
          </w:p>
        </w:tc>
        <w:tc>
          <w:tcPr>
            <w:tcW w:w="4820" w:type="dxa"/>
            <w:vAlign w:val="bottom"/>
            <w:gridSpan w:val="5"/>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Attached</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280" w:type="dxa"/>
            <w:vAlign w:val="bottom"/>
            <w:gridSpan w:val="2"/>
          </w:tcPr>
          <w:p>
            <w:pPr>
              <w:ind w:left="40"/>
              <w:spacing w:after="0"/>
              <w:rPr>
                <w:rFonts w:ascii="Arial" w:cs="Arial" w:eastAsia="Arial" w:hAnsi="Arial"/>
                <w:sz w:val="18"/>
                <w:szCs w:val="18"/>
                <w:color w:val="0000FF"/>
                <w:w w:val="87"/>
              </w:rPr>
            </w:pPr>
            <w:hyperlink w:anchor="page13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Description of the Company's 7 1/8% Notes due 2025</w:t>
              </w:r>
            </w:hyperlink>
          </w:p>
        </w:tc>
        <w:tc>
          <w:tcPr>
            <w:tcW w:w="4820" w:type="dxa"/>
            <w:vAlign w:val="bottom"/>
            <w:gridSpan w:val="5"/>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Attached</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280" w:type="dxa"/>
            <w:vAlign w:val="bottom"/>
            <w:gridSpan w:val="2"/>
          </w:tcPr>
          <w:p>
            <w:pPr>
              <w:ind w:left="40"/>
              <w:spacing w:after="0"/>
              <w:rPr>
                <w:rFonts w:ascii="Arial" w:cs="Arial" w:eastAsia="Arial" w:hAnsi="Arial"/>
                <w:sz w:val="18"/>
                <w:szCs w:val="18"/>
                <w:color w:val="0000FF"/>
                <w:w w:val="87"/>
              </w:rPr>
            </w:pPr>
            <w:hyperlink w:anchor="page14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Description of the Company's 0.625% EUR Notes due 2031 and</w:t>
              </w:r>
            </w:hyperlink>
          </w:p>
        </w:tc>
        <w:tc>
          <w:tcPr>
            <w:tcW w:w="4820" w:type="dxa"/>
            <w:vAlign w:val="bottom"/>
            <w:gridSpan w:val="5"/>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Attached</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140">
              <w:r>
                <w:rPr>
                  <w:rFonts w:ascii="Arial" w:cs="Arial" w:eastAsia="Arial" w:hAnsi="Arial"/>
                  <w:sz w:val="18"/>
                  <w:szCs w:val="18"/>
                  <w:color w:val="0000FF"/>
                  <w:w w:val="99"/>
                </w:rPr>
                <w:t>1.</w:t>
              </w:r>
              <w:r>
                <w:rPr>
                  <w:rFonts w:ascii="Arial" w:cs="Arial" w:eastAsia="Arial" w:hAnsi="Arial"/>
                  <w:sz w:val="18"/>
                  <w:szCs w:val="18"/>
                  <w:u w:val="single" w:color="auto"/>
                  <w:color w:val="0000FF"/>
                  <w:w w:val="99"/>
                </w:rPr>
                <w:t>700%</w:t>
              </w:r>
              <w:r>
                <w:rPr>
                  <w:rFonts w:ascii="Arial" w:cs="Arial" w:eastAsia="Arial" w:hAnsi="Arial"/>
                  <w:sz w:val="18"/>
                  <w:szCs w:val="18"/>
                  <w:color w:val="0000FF"/>
                  <w:w w:val="99"/>
                </w:rPr>
                <w:t xml:space="preserve"> EUR Notes due 2049</w:t>
              </w:r>
            </w:hyperlink>
          </w:p>
        </w:tc>
        <w:tc>
          <w:tcPr>
            <w:tcW w:w="2740" w:type="dxa"/>
            <w:vAlign w:val="bottom"/>
            <w:tcBorders>
              <w:top w:val="single" w:sz="8" w:color="0000FF"/>
            </w:tcBorders>
            <w:gridSpan w:val="7"/>
          </w:tcPr>
          <w:p>
            <w:pPr>
              <w:spacing w:after="0"/>
              <w:rPr>
                <w:sz w:val="15"/>
                <w:szCs w:val="15"/>
                <w:color w:val="auto"/>
              </w:rPr>
            </w:pPr>
          </w:p>
        </w:tc>
        <w:tc>
          <w:tcPr>
            <w:tcW w:w="480" w:type="dxa"/>
            <w:vAlign w:val="bottom"/>
            <w:gridSpan w:val="4"/>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58"/>
        </w:trPr>
        <w:tc>
          <w:tcPr>
            <w:tcW w:w="380" w:type="dxa"/>
            <w:vAlign w:val="bottom"/>
            <w:gridSpan w:val="3"/>
          </w:tcPr>
          <w:p>
            <w:pPr>
              <w:ind w:left="40"/>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r:id="rId157">
              <w:r>
                <w:rPr>
                  <w:rFonts w:ascii="Arial" w:cs="Arial" w:eastAsia="Arial" w:hAnsi="Arial"/>
                  <w:sz w:val="18"/>
                  <w:szCs w:val="18"/>
                  <w:color w:val="0000FF"/>
                </w:rPr>
                <w:t>Amended and Restated 2002 Lilly Stock Plan</w:t>
              </w:r>
            </w:hyperlink>
          </w:p>
        </w:tc>
        <w:tc>
          <w:tcPr>
            <w:tcW w:w="4820" w:type="dxa"/>
            <w:vAlign w:val="bottom"/>
            <w:gridSpan w:val="5"/>
          </w:tcPr>
          <w:p>
            <w:pPr>
              <w:spacing w:after="0"/>
              <w:rPr>
                <w:rFonts w:ascii="Arial" w:cs="Arial" w:eastAsia="Arial" w:hAnsi="Arial"/>
                <w:sz w:val="18"/>
                <w:szCs w:val="18"/>
                <w:color w:val="0000FF"/>
              </w:rPr>
            </w:pPr>
            <w:hyperlink r:id="rId157">
              <w:r>
                <w:rPr>
                  <w:rFonts w:ascii="Arial" w:cs="Arial" w:eastAsia="Arial" w:hAnsi="Arial"/>
                  <w:sz w:val="18"/>
                  <w:szCs w:val="18"/>
                  <w:color w:val="0000FF"/>
                </w:rPr>
                <w:t>Incorporated by reference to Exhibit 10.1 to the Company’s</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70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Report on Form 10-Q for the quarter ended June 30, 2018</w:t>
              </w:r>
            </w:hyperlink>
          </w:p>
        </w:tc>
        <w:tc>
          <w:tcPr>
            <w:tcW w:w="120" w:type="dxa"/>
            <w:vAlign w:val="bottom"/>
          </w:tcPr>
          <w:p>
            <w:pPr>
              <w:spacing w:after="0"/>
              <w:rPr>
                <w:sz w:val="15"/>
                <w:szCs w:val="15"/>
                <w:color w:val="auto"/>
              </w:rPr>
            </w:pPr>
          </w:p>
        </w:tc>
      </w:tr>
      <w:tr>
        <w:trPr>
          <w:trHeight w:val="358"/>
        </w:trPr>
        <w:tc>
          <w:tcPr>
            <w:tcW w:w="380" w:type="dxa"/>
            <w:vAlign w:val="bottom"/>
            <w:gridSpan w:val="3"/>
          </w:tcPr>
          <w:p>
            <w:pPr>
              <w:ind w:left="40"/>
              <w:spacing w:after="0"/>
              <w:rPr>
                <w:rFonts w:ascii="Arial" w:cs="Arial" w:eastAsia="Arial" w:hAnsi="Arial"/>
                <w:sz w:val="18"/>
                <w:szCs w:val="18"/>
                <w:color w:val="0000FF"/>
                <w:w w:val="91"/>
              </w:rPr>
            </w:pPr>
            <w:hyperlink w:anchor="page14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Form of Performance Award under the 2002 Lilly Stock Plan</w:t>
              </w:r>
            </w:hyperlink>
          </w:p>
        </w:tc>
        <w:tc>
          <w:tcPr>
            <w:tcW w:w="4620" w:type="dxa"/>
            <w:vAlign w:val="bottom"/>
            <w:tcBorders>
              <w:top w:val="single" w:sz="8" w:color="0000FF"/>
            </w:tcBorders>
            <w:gridSpan w:val="3"/>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Attached</w:t>
              </w:r>
            </w:hyperlink>
          </w:p>
        </w:tc>
        <w:tc>
          <w:tcPr>
            <w:tcW w:w="200" w:type="dxa"/>
            <w:vAlign w:val="bottom"/>
            <w:gridSpan w:val="2"/>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58"/>
        </w:trPr>
        <w:tc>
          <w:tcPr>
            <w:tcW w:w="380" w:type="dxa"/>
            <w:vAlign w:val="bottom"/>
            <w:gridSpan w:val="3"/>
          </w:tcPr>
          <w:p>
            <w:pPr>
              <w:ind w:left="40"/>
              <w:spacing w:after="0"/>
              <w:rPr>
                <w:rFonts w:ascii="Arial" w:cs="Arial" w:eastAsia="Arial" w:hAnsi="Arial"/>
                <w:sz w:val="18"/>
                <w:szCs w:val="18"/>
                <w:color w:val="0000FF"/>
                <w:w w:val="91"/>
              </w:rPr>
            </w:pPr>
            <w:hyperlink w:anchor="page15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Form of Shareholder Value Award under the 2002 Lilly Stock Plan</w:t>
              </w:r>
            </w:hyperlink>
          </w:p>
        </w:tc>
        <w:tc>
          <w:tcPr>
            <w:tcW w:w="4820" w:type="dxa"/>
            <w:vAlign w:val="bottom"/>
            <w:gridSpan w:val="5"/>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Attached</w:t>
              </w:r>
            </w:hyperlink>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58"/>
        </w:trPr>
        <w:tc>
          <w:tcPr>
            <w:tcW w:w="380" w:type="dxa"/>
            <w:vAlign w:val="bottom"/>
            <w:gridSpan w:val="3"/>
          </w:tcPr>
          <w:p>
            <w:pPr>
              <w:ind w:left="40"/>
              <w:spacing w:after="0"/>
              <w:rPr>
                <w:rFonts w:ascii="Arial" w:cs="Arial" w:eastAsia="Arial" w:hAnsi="Arial"/>
                <w:sz w:val="18"/>
                <w:szCs w:val="18"/>
                <w:color w:val="0000FF"/>
                <w:w w:val="91"/>
              </w:rPr>
            </w:pPr>
            <w:hyperlink w:anchor="page16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Form of Relative Value Award under the 2002 Lilly Stock Plan</w:t>
              </w:r>
            </w:hyperlink>
          </w:p>
        </w:tc>
        <w:tc>
          <w:tcPr>
            <w:tcW w:w="4820" w:type="dxa"/>
            <w:vAlign w:val="bottom"/>
            <w:gridSpan w:val="5"/>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Attached</w:t>
              </w:r>
            </w:hyperlink>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72"/>
        </w:trPr>
        <w:tc>
          <w:tcPr>
            <w:tcW w:w="380" w:type="dxa"/>
            <w:vAlign w:val="bottom"/>
            <w:gridSpan w:val="3"/>
          </w:tcPr>
          <w:p>
            <w:pPr>
              <w:ind w:left="40"/>
              <w:spacing w:after="0"/>
              <w:rPr>
                <w:rFonts w:ascii="Arial" w:cs="Arial" w:eastAsia="Arial" w:hAnsi="Arial"/>
                <w:sz w:val="18"/>
                <w:szCs w:val="18"/>
                <w:color w:val="0000FF"/>
                <w:w w:val="91"/>
              </w:rPr>
            </w:pPr>
            <w:hyperlink w:anchor="page19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w:anchor="page190">
              <w:r>
                <w:rPr>
                  <w:rFonts w:ascii="Arial" w:cs="Arial" w:eastAsia="Arial" w:hAnsi="Arial"/>
                  <w:sz w:val="18"/>
                  <w:szCs w:val="18"/>
                  <w:color w:val="0000FF"/>
                </w:rPr>
                <w:t>Restricted Stock Unit Award to Michael Harrington under the 2002</w:t>
              </w:r>
            </w:hyperlink>
          </w:p>
        </w:tc>
        <w:tc>
          <w:tcPr>
            <w:tcW w:w="4820" w:type="dxa"/>
            <w:vAlign w:val="bottom"/>
            <w:gridSpan w:val="5"/>
          </w:tcPr>
          <w:p>
            <w:pPr>
              <w:spacing w:after="0"/>
              <w:rPr>
                <w:rFonts w:ascii="Arial" w:cs="Arial" w:eastAsia="Arial" w:hAnsi="Arial"/>
                <w:sz w:val="18"/>
                <w:szCs w:val="18"/>
                <w:color w:val="0000FF"/>
              </w:rPr>
            </w:pPr>
            <w:hyperlink w:anchor="page190">
              <w:r>
                <w:rPr>
                  <w:rFonts w:ascii="Arial" w:cs="Arial" w:eastAsia="Arial" w:hAnsi="Arial"/>
                  <w:sz w:val="18"/>
                  <w:szCs w:val="18"/>
                  <w:color w:val="0000FF"/>
                </w:rPr>
                <w:t>Attached</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w:anchor="page190">
              <w:r>
                <w:rPr>
                  <w:rFonts w:ascii="Arial" w:cs="Arial" w:eastAsia="Arial" w:hAnsi="Arial"/>
                  <w:sz w:val="18"/>
                  <w:szCs w:val="18"/>
                  <w:color w:val="0000FF"/>
                  <w:w w:val="98"/>
                </w:rPr>
                <w:t>Lilly Stock Plan</w:t>
              </w:r>
            </w:hyperlink>
          </w:p>
        </w:tc>
        <w:tc>
          <w:tcPr>
            <w:tcW w:w="4040" w:type="dxa"/>
            <w:vAlign w:val="bottom"/>
            <w:tcBorders>
              <w:top w:val="single" w:sz="8" w:color="0000FF"/>
            </w:tcBorders>
            <w:gridSpan w:val="11"/>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58"/>
        </w:trPr>
        <w:tc>
          <w:tcPr>
            <w:tcW w:w="380" w:type="dxa"/>
            <w:vAlign w:val="bottom"/>
            <w:gridSpan w:val="3"/>
          </w:tcPr>
          <w:p>
            <w:pPr>
              <w:ind w:left="40"/>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r:id="rId158">
              <w:r>
                <w:rPr>
                  <w:rFonts w:ascii="Arial" w:cs="Arial" w:eastAsia="Arial" w:hAnsi="Arial"/>
                  <w:sz w:val="18"/>
                  <w:szCs w:val="18"/>
                  <w:color w:val="0000FF"/>
                </w:rPr>
                <w:t>The Lilly Deferred Compensation Plan, as amended</w:t>
              </w:r>
            </w:hyperlink>
          </w:p>
        </w:tc>
        <w:tc>
          <w:tcPr>
            <w:tcW w:w="4820" w:type="dxa"/>
            <w:vAlign w:val="bottom"/>
            <w:gridSpan w:val="5"/>
          </w:tcPr>
          <w:p>
            <w:pPr>
              <w:spacing w:after="0"/>
              <w:rPr>
                <w:rFonts w:ascii="Arial" w:cs="Arial" w:eastAsia="Arial" w:hAnsi="Arial"/>
                <w:sz w:val="18"/>
                <w:szCs w:val="18"/>
                <w:color w:val="0000FF"/>
              </w:rPr>
            </w:pPr>
            <w:hyperlink r:id="rId158">
              <w:r>
                <w:rPr>
                  <w:rFonts w:ascii="Arial" w:cs="Arial" w:eastAsia="Arial" w:hAnsi="Arial"/>
                  <w:sz w:val="18"/>
                  <w:szCs w:val="18"/>
                  <w:color w:val="0000FF"/>
                </w:rPr>
                <w:t>Incorporated by reference to Exhibit 10.5 to the Company's</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Report on Form 10-K for the year ended December 31, 2013</w:t>
              </w:r>
            </w:hyperlink>
          </w:p>
        </w:tc>
      </w:tr>
      <w:tr>
        <w:trPr>
          <w:trHeight w:val="358"/>
        </w:trPr>
        <w:tc>
          <w:tcPr>
            <w:tcW w:w="380" w:type="dxa"/>
            <w:vAlign w:val="bottom"/>
            <w:gridSpan w:val="3"/>
          </w:tcPr>
          <w:p>
            <w:pPr>
              <w:ind w:left="40"/>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r:id="rId159">
              <w:r>
                <w:rPr>
                  <w:rFonts w:ascii="Arial" w:cs="Arial" w:eastAsia="Arial" w:hAnsi="Arial"/>
                  <w:sz w:val="18"/>
                  <w:szCs w:val="18"/>
                  <w:color w:val="0000FF"/>
                </w:rPr>
                <w:t>The Lilly Directors’ Deferral Plan, as amended</w:t>
              </w:r>
            </w:hyperlink>
          </w:p>
        </w:tc>
        <w:tc>
          <w:tcPr>
            <w:tcW w:w="4820" w:type="dxa"/>
            <w:vAlign w:val="bottom"/>
            <w:gridSpan w:val="5"/>
          </w:tcPr>
          <w:p>
            <w:pPr>
              <w:spacing w:after="0"/>
              <w:rPr>
                <w:rFonts w:ascii="Arial" w:cs="Arial" w:eastAsia="Arial" w:hAnsi="Arial"/>
                <w:sz w:val="18"/>
                <w:szCs w:val="18"/>
                <w:color w:val="0000FF"/>
              </w:rPr>
            </w:pPr>
            <w:hyperlink r:id="rId159">
              <w:r>
                <w:rPr>
                  <w:rFonts w:ascii="Arial" w:cs="Arial" w:eastAsia="Arial" w:hAnsi="Arial"/>
                  <w:sz w:val="18"/>
                  <w:szCs w:val="18"/>
                  <w:color w:val="0000FF"/>
                </w:rPr>
                <w:t>Incorporated by reference to Exhibit 10 to the Company’s</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20" w:type="dxa"/>
            <w:vAlign w:val="bottom"/>
            <w:gridSpan w:val="5"/>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Report on Form 10-Q for the quarter ended June 30, 2017</w:t>
              </w:r>
            </w:hyperlink>
          </w:p>
        </w:tc>
      </w:tr>
      <w:tr>
        <w:trPr>
          <w:trHeight w:val="20"/>
        </w:trPr>
        <w:tc>
          <w:tcPr>
            <w:tcW w:w="3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58"/>
        </w:trPr>
        <w:tc>
          <w:tcPr>
            <w:tcW w:w="380" w:type="dxa"/>
            <w:vAlign w:val="bottom"/>
            <w:gridSpan w:val="3"/>
          </w:tcPr>
          <w:p>
            <w:pPr>
              <w:ind w:left="40"/>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580" w:type="dxa"/>
            <w:vAlign w:val="bottom"/>
          </w:tcPr>
          <w:p>
            <w:pPr>
              <w:spacing w:after="0"/>
              <w:rPr>
                <w:sz w:val="24"/>
                <w:szCs w:val="24"/>
                <w:color w:val="auto"/>
              </w:rPr>
            </w:pPr>
          </w:p>
        </w:tc>
        <w:tc>
          <w:tcPr>
            <w:tcW w:w="5580" w:type="dxa"/>
            <w:vAlign w:val="bottom"/>
            <w:gridSpan w:val="13"/>
          </w:tcPr>
          <w:p>
            <w:pPr>
              <w:spacing w:after="0"/>
              <w:rPr>
                <w:rFonts w:ascii="Arial" w:cs="Arial" w:eastAsia="Arial" w:hAnsi="Arial"/>
                <w:sz w:val="18"/>
                <w:szCs w:val="18"/>
                <w:color w:val="0000FF"/>
              </w:rPr>
            </w:pPr>
            <w:hyperlink r:id="rId160">
              <w:r>
                <w:rPr>
                  <w:rFonts w:ascii="Arial" w:cs="Arial" w:eastAsia="Arial" w:hAnsi="Arial"/>
                  <w:sz w:val="18"/>
                  <w:szCs w:val="18"/>
                  <w:color w:val="0000FF"/>
                </w:rPr>
                <w:t>The Eli Lilly and Company Bonus Plan, as amended</w:t>
              </w:r>
            </w:hyperlink>
          </w:p>
        </w:tc>
        <w:tc>
          <w:tcPr>
            <w:tcW w:w="4820" w:type="dxa"/>
            <w:vAlign w:val="bottom"/>
            <w:gridSpan w:val="5"/>
          </w:tcPr>
          <w:p>
            <w:pPr>
              <w:spacing w:after="0"/>
              <w:rPr>
                <w:rFonts w:ascii="Arial" w:cs="Arial" w:eastAsia="Arial" w:hAnsi="Arial"/>
                <w:sz w:val="18"/>
                <w:szCs w:val="18"/>
                <w:color w:val="0000FF"/>
              </w:rPr>
            </w:pPr>
            <w:hyperlink r:id="rId160">
              <w:r>
                <w:rPr>
                  <w:rFonts w:ascii="Arial" w:cs="Arial" w:eastAsia="Arial" w:hAnsi="Arial"/>
                  <w:sz w:val="18"/>
                  <w:szCs w:val="18"/>
                  <w:color w:val="0000FF"/>
                </w:rPr>
                <w:t>Incorporated by reference to Exhibit 10.7 to the Company's</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Report on Form 10-K for the year ended December 31, 2013</w:t>
              </w:r>
            </w:hyperlink>
          </w:p>
        </w:tc>
      </w:tr>
      <w:tr>
        <w:trPr>
          <w:trHeight w:val="466"/>
        </w:trPr>
        <w:tc>
          <w:tcPr>
            <w:tcW w:w="2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6"/>
              </w:rPr>
              <w:t>114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60"/>
          </w:cols>
          <w:pgMar w:left="240" w:top="549" w:right="299" w:bottom="1440" w:gutter="0" w:footer="0" w:header="0"/>
          <w:type w:val="continuous"/>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3"/>
          </w:tcPr>
          <w:p>
            <w:pPr>
              <w:spacing w:after="0"/>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480" w:type="dxa"/>
            <w:vAlign w:val="bottom"/>
          </w:tcPr>
          <w:p>
            <w:pPr>
              <w:spacing w:after="0"/>
              <w:rPr>
                <w:sz w:val="17"/>
                <w:szCs w:val="17"/>
                <w:color w:val="auto"/>
              </w:rPr>
            </w:pPr>
          </w:p>
        </w:tc>
        <w:tc>
          <w:tcPr>
            <w:tcW w:w="5580" w:type="dxa"/>
            <w:vAlign w:val="bottom"/>
            <w:gridSpan w:val="11"/>
          </w:tcPr>
          <w:p>
            <w:pPr>
              <w:spacing w:after="0"/>
              <w:rPr>
                <w:rFonts w:ascii="Arial" w:cs="Arial" w:eastAsia="Arial" w:hAnsi="Arial"/>
                <w:sz w:val="18"/>
                <w:szCs w:val="18"/>
                <w:color w:val="0000FF"/>
              </w:rPr>
            </w:pPr>
            <w:hyperlink r:id="rId161">
              <w:r>
                <w:rPr>
                  <w:rFonts w:ascii="Arial" w:cs="Arial" w:eastAsia="Arial" w:hAnsi="Arial"/>
                  <w:sz w:val="18"/>
                  <w:szCs w:val="18"/>
                  <w:color w:val="0000FF"/>
                </w:rPr>
                <w:t>The Eli Lilly and Company Executive Officer Incentive Plan</w:t>
              </w:r>
            </w:hyperlink>
          </w:p>
        </w:tc>
        <w:tc>
          <w:tcPr>
            <w:tcW w:w="4680" w:type="dxa"/>
            <w:vAlign w:val="bottom"/>
            <w:gridSpan w:val="6"/>
          </w:tcPr>
          <w:p>
            <w:pPr>
              <w:spacing w:after="0"/>
              <w:rPr>
                <w:rFonts w:ascii="Arial" w:cs="Arial" w:eastAsia="Arial" w:hAnsi="Arial"/>
                <w:sz w:val="18"/>
                <w:szCs w:val="18"/>
                <w:color w:val="0000FF"/>
                <w:w w:val="99"/>
              </w:rPr>
            </w:pPr>
            <w:hyperlink r:id="rId161">
              <w:r>
                <w:rPr>
                  <w:rFonts w:ascii="Arial" w:cs="Arial" w:eastAsia="Arial" w:hAnsi="Arial"/>
                  <w:sz w:val="18"/>
                  <w:szCs w:val="18"/>
                  <w:color w:val="0000FF"/>
                  <w:w w:val="99"/>
                </w:rPr>
                <w:t>Incorporated by reference to Appendix B to the Company’s</w:t>
              </w:r>
            </w:hyperlink>
          </w:p>
        </w:tc>
      </w:tr>
      <w:tr>
        <w:trPr>
          <w:trHeight w:val="183"/>
        </w:trPr>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161">
              <w:r>
                <w:rPr>
                  <w:rFonts w:ascii="Arial" w:cs="Arial" w:eastAsia="Arial" w:hAnsi="Arial"/>
                  <w:sz w:val="18"/>
                  <w:szCs w:val="18"/>
                  <w:color w:val="0000FF"/>
                  <w:w w:val="99"/>
                </w:rPr>
                <w:t>proxy statement on Schedule 14A filed March 7, 2011</w:t>
              </w:r>
            </w:hyperlink>
          </w:p>
        </w:tc>
        <w:tc>
          <w:tcPr>
            <w:tcW w:w="400" w:type="dxa"/>
            <w:vAlign w:val="bottom"/>
            <w:tcBorders>
              <w:top w:val="single" w:sz="8" w:color="0000FF"/>
            </w:tcBorders>
            <w:gridSpan w:val="3"/>
          </w:tcPr>
          <w:p>
            <w:pPr>
              <w:spacing w:after="0"/>
              <w:rPr>
                <w:sz w:val="15"/>
                <w:szCs w:val="15"/>
                <w:color w:val="auto"/>
              </w:rPr>
            </w:pPr>
          </w:p>
        </w:tc>
      </w:tr>
      <w:tr>
        <w:trPr>
          <w:trHeight w:val="358"/>
        </w:trPr>
        <w:tc>
          <w:tcPr>
            <w:tcW w:w="920" w:type="dxa"/>
            <w:vAlign w:val="bottom"/>
            <w:gridSpan w:val="4"/>
          </w:tcPr>
          <w:p>
            <w:pPr>
              <w:spacing w:after="0"/>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5580" w:type="dxa"/>
            <w:vAlign w:val="bottom"/>
            <w:gridSpan w:val="11"/>
          </w:tcPr>
          <w:p>
            <w:pPr>
              <w:spacing w:after="0"/>
              <w:rPr>
                <w:rFonts w:ascii="Arial" w:cs="Arial" w:eastAsia="Arial" w:hAnsi="Arial"/>
                <w:sz w:val="18"/>
                <w:szCs w:val="18"/>
                <w:color w:val="0000FF"/>
              </w:rPr>
            </w:pPr>
            <w:hyperlink r:id="rId162">
              <w:r>
                <w:rPr>
                  <w:rFonts w:ascii="Arial" w:cs="Arial" w:eastAsia="Arial" w:hAnsi="Arial"/>
                  <w:sz w:val="18"/>
                  <w:szCs w:val="18"/>
                  <w:color w:val="0000FF"/>
                </w:rPr>
                <w:t>2007 Change in Control Severance Pay Plan for Select Employees,</w:t>
              </w:r>
            </w:hyperlink>
          </w:p>
        </w:tc>
        <w:tc>
          <w:tcPr>
            <w:tcW w:w="4680" w:type="dxa"/>
            <w:vAlign w:val="bottom"/>
            <w:gridSpan w:val="6"/>
          </w:tcPr>
          <w:p>
            <w:pPr>
              <w:spacing w:after="0"/>
              <w:rPr>
                <w:rFonts w:ascii="Arial" w:cs="Arial" w:eastAsia="Arial" w:hAnsi="Arial"/>
                <w:sz w:val="18"/>
                <w:szCs w:val="18"/>
                <w:color w:val="0000FF"/>
              </w:rPr>
            </w:pPr>
            <w:hyperlink r:id="rId162">
              <w:r>
                <w:rPr>
                  <w:rFonts w:ascii="Arial" w:cs="Arial" w:eastAsia="Arial" w:hAnsi="Arial"/>
                  <w:sz w:val="18"/>
                  <w:szCs w:val="18"/>
                  <w:color w:val="0000FF"/>
                </w:rPr>
                <w:t>Incorporated by reference to Exhibit 10 to the Company's</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80" w:type="dxa"/>
            <w:vAlign w:val="bottom"/>
            <w:gridSpan w:val="10"/>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as amended</w:t>
              </w:r>
            </w:hyperlink>
          </w:p>
        </w:tc>
        <w:tc>
          <w:tcPr>
            <w:tcW w:w="200" w:type="dxa"/>
            <w:vAlign w:val="bottom"/>
          </w:tcPr>
          <w:p>
            <w:pPr>
              <w:spacing w:after="0"/>
              <w:rPr>
                <w:sz w:val="15"/>
                <w:szCs w:val="15"/>
                <w:color w:val="auto"/>
              </w:rPr>
            </w:pPr>
          </w:p>
        </w:tc>
        <w:tc>
          <w:tcPr>
            <w:tcW w:w="4680" w:type="dxa"/>
            <w:vAlign w:val="bottom"/>
            <w:gridSpan w:val="6"/>
          </w:tcPr>
          <w:p>
            <w:pPr>
              <w:spacing w:after="0" w:line="182" w:lineRule="exact"/>
              <w:rPr>
                <w:rFonts w:ascii="Arial" w:cs="Arial" w:eastAsia="Arial" w:hAnsi="Arial"/>
                <w:sz w:val="18"/>
                <w:szCs w:val="18"/>
                <w:color w:val="0000FF"/>
                <w:w w:val="99"/>
              </w:rPr>
            </w:pPr>
            <w:hyperlink r:id="rId162">
              <w:r>
                <w:rPr>
                  <w:rFonts w:ascii="Arial" w:cs="Arial" w:eastAsia="Arial" w:hAnsi="Arial"/>
                  <w:sz w:val="18"/>
                  <w:szCs w:val="18"/>
                  <w:color w:val="0000FF"/>
                  <w:w w:val="99"/>
                </w:rPr>
                <w:t>Report on Form 10-Q for the quarter ended September 30,</w:t>
              </w:r>
            </w:hyperlink>
          </w:p>
        </w:tc>
      </w:tr>
      <w:tr>
        <w:trPr>
          <w:trHeight w:val="183"/>
        </w:trPr>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2010</w:t>
              </w:r>
            </w:hyperlink>
          </w:p>
        </w:tc>
        <w:tc>
          <w:tcPr>
            <w:tcW w:w="300" w:type="dxa"/>
            <w:vAlign w:val="bottom"/>
            <w:tcBorders>
              <w:top w:val="single" w:sz="8" w:color="0000FF"/>
            </w:tcBorders>
          </w:tcPr>
          <w:p>
            <w:pPr>
              <w:spacing w:after="0"/>
              <w:rPr>
                <w:sz w:val="15"/>
                <w:szCs w:val="15"/>
                <w:color w:val="auto"/>
              </w:rPr>
            </w:pPr>
          </w:p>
        </w:tc>
        <w:tc>
          <w:tcPr>
            <w:tcW w:w="35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200" w:type="dxa"/>
            <w:vAlign w:val="bottom"/>
          </w:tcPr>
          <w:p>
            <w:pPr>
              <w:spacing w:after="0"/>
              <w:rPr>
                <w:rFonts w:ascii="Arial" w:cs="Arial" w:eastAsia="Arial" w:hAnsi="Arial"/>
                <w:sz w:val="18"/>
                <w:szCs w:val="18"/>
                <w:color w:val="0000FF"/>
                <w:w w:val="89"/>
              </w:rPr>
            </w:pPr>
            <w:hyperlink w:anchor="page200">
              <w:r>
                <w:rPr>
                  <w:rFonts w:ascii="Arial" w:cs="Arial" w:eastAsia="Arial" w:hAnsi="Arial"/>
                  <w:sz w:val="18"/>
                  <w:szCs w:val="18"/>
                  <w:color w:val="0000FF"/>
                  <w:w w:val="89"/>
                </w:rPr>
                <w:t>21</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80" w:type="dxa"/>
            <w:vAlign w:val="bottom"/>
            <w:gridSpan w:val="11"/>
          </w:tcPr>
          <w:p>
            <w:pPr>
              <w:spacing w:after="0"/>
              <w:rPr>
                <w:rFonts w:ascii="Arial" w:cs="Arial" w:eastAsia="Arial" w:hAnsi="Arial"/>
                <w:sz w:val="18"/>
                <w:szCs w:val="18"/>
                <w:color w:val="0000FF"/>
              </w:rPr>
            </w:pPr>
            <w:hyperlink w:anchor="page200">
              <w:r>
                <w:rPr>
                  <w:rFonts w:ascii="Arial" w:cs="Arial" w:eastAsia="Arial" w:hAnsi="Arial"/>
                  <w:sz w:val="18"/>
                  <w:szCs w:val="18"/>
                  <w:color w:val="0000FF"/>
                </w:rPr>
                <w:t>List of Subsidiaries</w:t>
              </w:r>
            </w:hyperlink>
          </w:p>
        </w:tc>
        <w:tc>
          <w:tcPr>
            <w:tcW w:w="4680" w:type="dxa"/>
            <w:vAlign w:val="bottom"/>
            <w:gridSpan w:val="6"/>
          </w:tcPr>
          <w:p>
            <w:pPr>
              <w:spacing w:after="0"/>
              <w:rPr>
                <w:rFonts w:ascii="Arial" w:cs="Arial" w:eastAsia="Arial" w:hAnsi="Arial"/>
                <w:sz w:val="18"/>
                <w:szCs w:val="18"/>
                <w:color w:val="0000FF"/>
              </w:rPr>
            </w:pPr>
            <w:hyperlink w:anchor="page200">
              <w:r>
                <w:rPr>
                  <w:rFonts w:ascii="Arial" w:cs="Arial" w:eastAsia="Arial" w:hAnsi="Arial"/>
                  <w:sz w:val="18"/>
                  <w:szCs w:val="18"/>
                  <w:color w:val="0000FF"/>
                </w:rPr>
                <w:t>Attached</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r>
      <w:tr>
        <w:trPr>
          <w:trHeight w:val="358"/>
        </w:trPr>
        <w:tc>
          <w:tcPr>
            <w:tcW w:w="200" w:type="dxa"/>
            <w:vAlign w:val="bottom"/>
          </w:tcPr>
          <w:p>
            <w:pPr>
              <w:spacing w:after="0"/>
              <w:rPr>
                <w:rFonts w:ascii="Arial" w:cs="Arial" w:eastAsia="Arial" w:hAnsi="Arial"/>
                <w:sz w:val="18"/>
                <w:szCs w:val="18"/>
                <w:color w:val="0000FF"/>
                <w:w w:val="89"/>
              </w:rPr>
            </w:pPr>
            <w:hyperlink w:anchor="page203">
              <w:r>
                <w:rPr>
                  <w:rFonts w:ascii="Arial" w:cs="Arial" w:eastAsia="Arial" w:hAnsi="Arial"/>
                  <w:sz w:val="18"/>
                  <w:szCs w:val="18"/>
                  <w:color w:val="0000FF"/>
                  <w:w w:val="89"/>
                </w:rPr>
                <w:t>23</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80" w:type="dxa"/>
            <w:vAlign w:val="bottom"/>
            <w:gridSpan w:val="11"/>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Consent of Registered Independent Public Accounting Firm</w:t>
              </w:r>
            </w:hyperlink>
          </w:p>
        </w:tc>
        <w:tc>
          <w:tcPr>
            <w:tcW w:w="4680" w:type="dxa"/>
            <w:vAlign w:val="bottom"/>
            <w:gridSpan w:val="6"/>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Attached</w:t>
              </w:r>
            </w:hyperlink>
          </w:p>
        </w:tc>
      </w:tr>
      <w:tr>
        <w:trPr>
          <w:trHeight w:val="20"/>
        </w:trPr>
        <w:tc>
          <w:tcPr>
            <w:tcW w:w="2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r>
      <w:tr>
        <w:trPr>
          <w:trHeight w:val="358"/>
        </w:trPr>
        <w:tc>
          <w:tcPr>
            <w:tcW w:w="440" w:type="dxa"/>
            <w:vAlign w:val="bottom"/>
            <w:gridSpan w:val="3"/>
          </w:tcPr>
          <w:p>
            <w:pPr>
              <w:spacing w:after="0"/>
              <w:rPr>
                <w:rFonts w:ascii="Arial" w:cs="Arial" w:eastAsia="Arial" w:hAnsi="Arial"/>
                <w:sz w:val="18"/>
                <w:szCs w:val="18"/>
                <w:color w:val="0000FF"/>
              </w:rPr>
            </w:pPr>
            <w:hyperlink w:anchor="page20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80" w:type="dxa"/>
            <w:vAlign w:val="bottom"/>
          </w:tcPr>
          <w:p>
            <w:pPr>
              <w:spacing w:after="0"/>
              <w:rPr>
                <w:sz w:val="24"/>
                <w:szCs w:val="24"/>
                <w:color w:val="auto"/>
              </w:rPr>
            </w:pPr>
          </w:p>
        </w:tc>
        <w:tc>
          <w:tcPr>
            <w:tcW w:w="5580" w:type="dxa"/>
            <w:vAlign w:val="bottom"/>
            <w:gridSpan w:val="11"/>
          </w:tcPr>
          <w:p>
            <w:pPr>
              <w:spacing w:after="0"/>
              <w:rPr>
                <w:rFonts w:ascii="Arial" w:cs="Arial" w:eastAsia="Arial" w:hAnsi="Arial"/>
                <w:sz w:val="18"/>
                <w:szCs w:val="18"/>
                <w:color w:val="0000FF"/>
              </w:rPr>
            </w:pPr>
            <w:hyperlink w:anchor="page204">
              <w:r>
                <w:rPr>
                  <w:rFonts w:ascii="Arial" w:cs="Arial" w:eastAsia="Arial" w:hAnsi="Arial"/>
                  <w:sz w:val="18"/>
                  <w:szCs w:val="18"/>
                  <w:color w:val="0000FF"/>
                </w:rPr>
                <w:t>Rule 13a-14(a) Certification of David A. Ricks, Chairman,</w:t>
              </w:r>
            </w:hyperlink>
          </w:p>
        </w:tc>
        <w:tc>
          <w:tcPr>
            <w:tcW w:w="4680" w:type="dxa"/>
            <w:vAlign w:val="bottom"/>
            <w:gridSpan w:val="6"/>
          </w:tcPr>
          <w:p>
            <w:pPr>
              <w:spacing w:after="0"/>
              <w:rPr>
                <w:rFonts w:ascii="Arial" w:cs="Arial" w:eastAsia="Arial" w:hAnsi="Arial"/>
                <w:sz w:val="18"/>
                <w:szCs w:val="18"/>
                <w:color w:val="0000FF"/>
              </w:rPr>
            </w:pPr>
            <w:hyperlink w:anchor="page204">
              <w:r>
                <w:rPr>
                  <w:rFonts w:ascii="Arial" w:cs="Arial" w:eastAsia="Arial" w:hAnsi="Arial"/>
                  <w:sz w:val="18"/>
                  <w:szCs w:val="18"/>
                  <w:color w:val="0000FF"/>
                </w:rPr>
                <w:t>Attached</w:t>
              </w:r>
            </w:hyperlink>
          </w:p>
        </w:tc>
      </w:tr>
      <w:tr>
        <w:trPr>
          <w:trHeight w:val="183"/>
        </w:trPr>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w:anchor="page204">
              <w:r>
                <w:rPr>
                  <w:rFonts w:ascii="Arial" w:cs="Arial" w:eastAsia="Arial" w:hAnsi="Arial"/>
                  <w:sz w:val="18"/>
                  <w:szCs w:val="18"/>
                  <w:color w:val="0000FF"/>
                  <w:w w:val="99"/>
                </w:rPr>
                <w:t>President, and Chief Executive Officer</w:t>
              </w:r>
            </w:hyperlink>
          </w:p>
        </w:tc>
        <w:tc>
          <w:tcPr>
            <w:tcW w:w="1500" w:type="dxa"/>
            <w:vAlign w:val="bottom"/>
            <w:tcBorders>
              <w:top w:val="single" w:sz="8" w:color="0000FF"/>
            </w:tcBorders>
          </w:tcPr>
          <w:p>
            <w:pPr>
              <w:spacing w:after="0"/>
              <w:rPr>
                <w:sz w:val="15"/>
                <w:szCs w:val="15"/>
                <w:color w:val="auto"/>
              </w:rPr>
            </w:pPr>
          </w:p>
        </w:tc>
        <w:tc>
          <w:tcPr>
            <w:tcW w:w="1040" w:type="dxa"/>
            <w:vAlign w:val="bottom"/>
            <w:gridSpan w:val="5"/>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440" w:type="dxa"/>
            <w:vAlign w:val="bottom"/>
            <w:gridSpan w:val="3"/>
          </w:tcPr>
          <w:p>
            <w:pPr>
              <w:spacing w:after="0"/>
              <w:rPr>
                <w:rFonts w:ascii="Arial" w:cs="Arial" w:eastAsia="Arial" w:hAnsi="Arial"/>
                <w:sz w:val="18"/>
                <w:szCs w:val="18"/>
                <w:color w:val="0000FF"/>
              </w:rPr>
            </w:pPr>
            <w:hyperlink w:anchor="page205">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80" w:type="dxa"/>
            <w:vAlign w:val="bottom"/>
          </w:tcPr>
          <w:p>
            <w:pPr>
              <w:spacing w:after="0"/>
              <w:rPr>
                <w:sz w:val="24"/>
                <w:szCs w:val="24"/>
                <w:color w:val="auto"/>
              </w:rPr>
            </w:pPr>
          </w:p>
        </w:tc>
        <w:tc>
          <w:tcPr>
            <w:tcW w:w="5580" w:type="dxa"/>
            <w:vAlign w:val="bottom"/>
            <w:gridSpan w:val="11"/>
          </w:tcPr>
          <w:p>
            <w:pPr>
              <w:spacing w:after="0"/>
              <w:rPr>
                <w:rFonts w:ascii="Arial" w:cs="Arial" w:eastAsia="Arial" w:hAnsi="Arial"/>
                <w:sz w:val="18"/>
                <w:szCs w:val="18"/>
                <w:color w:val="0000FF"/>
              </w:rPr>
            </w:pPr>
            <w:hyperlink w:anchor="page205">
              <w:r>
                <w:rPr>
                  <w:rFonts w:ascii="Arial" w:cs="Arial" w:eastAsia="Arial" w:hAnsi="Arial"/>
                  <w:sz w:val="18"/>
                  <w:szCs w:val="18"/>
                  <w:color w:val="0000FF"/>
                </w:rPr>
                <w:t>Rule 13a-14(a) Certification of Joshua L. Smiley, Senior Vice</w:t>
              </w:r>
            </w:hyperlink>
          </w:p>
        </w:tc>
        <w:tc>
          <w:tcPr>
            <w:tcW w:w="4680" w:type="dxa"/>
            <w:vAlign w:val="bottom"/>
            <w:gridSpan w:val="6"/>
          </w:tcPr>
          <w:p>
            <w:pPr>
              <w:spacing w:after="0"/>
              <w:rPr>
                <w:rFonts w:ascii="Arial" w:cs="Arial" w:eastAsia="Arial" w:hAnsi="Arial"/>
                <w:sz w:val="18"/>
                <w:szCs w:val="18"/>
                <w:color w:val="0000FF"/>
              </w:rPr>
            </w:pPr>
            <w:hyperlink w:anchor="page205">
              <w:r>
                <w:rPr>
                  <w:rFonts w:ascii="Arial" w:cs="Arial" w:eastAsia="Arial" w:hAnsi="Arial"/>
                  <w:sz w:val="18"/>
                  <w:szCs w:val="18"/>
                  <w:color w:val="0000FF"/>
                </w:rPr>
                <w:t>Attached</w:t>
              </w:r>
            </w:hyperlink>
          </w:p>
        </w:tc>
      </w:tr>
      <w:tr>
        <w:trPr>
          <w:trHeight w:val="183"/>
        </w:trPr>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205">
              <w:r>
                <w:rPr>
                  <w:rFonts w:ascii="Arial" w:cs="Arial" w:eastAsia="Arial" w:hAnsi="Arial"/>
                  <w:sz w:val="18"/>
                  <w:szCs w:val="18"/>
                  <w:color w:val="0000FF"/>
                </w:rPr>
                <w:t>President and Chief Financial Officer</w:t>
              </w:r>
            </w:hyperlink>
          </w:p>
        </w:tc>
        <w:tc>
          <w:tcPr>
            <w:tcW w:w="760" w:type="dxa"/>
            <w:vAlign w:val="bottom"/>
            <w:gridSpan w:val="2"/>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200" w:type="dxa"/>
            <w:vAlign w:val="bottom"/>
          </w:tcPr>
          <w:p>
            <w:pPr>
              <w:spacing w:after="0"/>
              <w:rPr>
                <w:rFonts w:ascii="Arial" w:cs="Arial" w:eastAsia="Arial" w:hAnsi="Arial"/>
                <w:sz w:val="18"/>
                <w:szCs w:val="18"/>
                <w:color w:val="0000FF"/>
                <w:w w:val="89"/>
              </w:rPr>
            </w:pPr>
            <w:hyperlink w:anchor="page206">
              <w:r>
                <w:rPr>
                  <w:rFonts w:ascii="Arial" w:cs="Arial" w:eastAsia="Arial" w:hAnsi="Arial"/>
                  <w:sz w:val="18"/>
                  <w:szCs w:val="18"/>
                  <w:color w:val="0000FF"/>
                  <w:w w:val="89"/>
                </w:rPr>
                <w:t>32</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20" w:type="dxa"/>
            <w:vAlign w:val="bottom"/>
            <w:tcBorders>
              <w:top w:val="single" w:sz="8" w:color="0000FF"/>
            </w:tcBorders>
            <w:gridSpan w:val="4"/>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Section 1350 Certification</w:t>
              </w:r>
            </w:hyperlink>
          </w:p>
        </w:tc>
        <w:tc>
          <w:tcPr>
            <w:tcW w:w="2660" w:type="dxa"/>
            <w:vAlign w:val="bottom"/>
            <w:gridSpan w:val="7"/>
          </w:tcPr>
          <w:p>
            <w:pPr>
              <w:spacing w:after="0"/>
              <w:rPr>
                <w:sz w:val="24"/>
                <w:szCs w:val="24"/>
                <w:color w:val="auto"/>
              </w:rPr>
            </w:pPr>
          </w:p>
        </w:tc>
        <w:tc>
          <w:tcPr>
            <w:tcW w:w="4680" w:type="dxa"/>
            <w:vAlign w:val="bottom"/>
            <w:gridSpan w:val="6"/>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Attached</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r>
      <w:tr>
        <w:trPr>
          <w:trHeight w:val="399"/>
        </w:trPr>
        <w:tc>
          <w:tcPr>
            <w:tcW w:w="34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80" w:type="dxa"/>
            <w:vAlign w:val="bottom"/>
            <w:gridSpan w:val="11"/>
          </w:tcPr>
          <w:p>
            <w:pPr>
              <w:spacing w:after="0"/>
              <w:rPr>
                <w:sz w:val="20"/>
                <w:szCs w:val="20"/>
                <w:color w:val="auto"/>
              </w:rPr>
            </w:pPr>
            <w:r>
              <w:rPr>
                <w:rFonts w:ascii="Arial" w:cs="Arial" w:eastAsia="Arial" w:hAnsi="Arial"/>
                <w:sz w:val="18"/>
                <w:szCs w:val="18"/>
                <w:color w:val="auto"/>
              </w:rPr>
              <w:t>Interactive Data File</w:t>
            </w:r>
          </w:p>
        </w:tc>
        <w:tc>
          <w:tcPr>
            <w:tcW w:w="4680" w:type="dxa"/>
            <w:vAlign w:val="bottom"/>
            <w:gridSpan w:val="6"/>
          </w:tcPr>
          <w:p>
            <w:pPr>
              <w:spacing w:after="0"/>
              <w:rPr>
                <w:sz w:val="20"/>
                <w:szCs w:val="20"/>
                <w:color w:val="auto"/>
              </w:rPr>
            </w:pPr>
            <w:r>
              <w:rPr>
                <w:rFonts w:ascii="Arial" w:cs="Arial" w:eastAsia="Arial" w:hAnsi="Arial"/>
                <w:sz w:val="18"/>
                <w:szCs w:val="18"/>
                <w:color w:val="auto"/>
              </w:rPr>
              <w:t>Attached</w:t>
            </w:r>
          </w:p>
        </w:tc>
      </w:tr>
      <w:tr>
        <w:trPr>
          <w:trHeight w:val="364"/>
        </w:trPr>
        <w:tc>
          <w:tcPr>
            <w:tcW w:w="340" w:type="dxa"/>
            <w:vAlign w:val="bottom"/>
            <w:gridSpan w:val="2"/>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8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Inline XBRL and</w:t>
            </w:r>
          </w:p>
        </w:tc>
        <w:tc>
          <w:tcPr>
            <w:tcW w:w="4680" w:type="dxa"/>
            <w:vAlign w:val="bottom"/>
            <w:gridSpan w:val="6"/>
          </w:tcPr>
          <w:p>
            <w:pPr>
              <w:spacing w:after="0"/>
              <w:rPr>
                <w:sz w:val="20"/>
                <w:szCs w:val="20"/>
                <w:color w:val="auto"/>
              </w:rPr>
            </w:pPr>
            <w:r>
              <w:rPr>
                <w:rFonts w:ascii="Arial" w:cs="Arial" w:eastAsia="Arial" w:hAnsi="Arial"/>
                <w:sz w:val="18"/>
                <w:szCs w:val="18"/>
                <w:color w:val="auto"/>
              </w:rPr>
              <w:t>Attached</w:t>
            </w:r>
          </w:p>
        </w:tc>
      </w:tr>
      <w:tr>
        <w:trPr>
          <w:trHeight w:val="217"/>
        </w:trPr>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80" w:type="dxa"/>
            <w:vAlign w:val="bottom"/>
            <w:gridSpan w:val="11"/>
          </w:tcPr>
          <w:p>
            <w:pPr>
              <w:spacing w:after="0"/>
              <w:rPr>
                <w:sz w:val="20"/>
                <w:szCs w:val="20"/>
                <w:color w:val="auto"/>
              </w:rPr>
            </w:pPr>
            <w:r>
              <w:rPr>
                <w:rFonts w:ascii="Arial" w:cs="Arial" w:eastAsia="Arial" w:hAnsi="Arial"/>
                <w:sz w:val="18"/>
                <w:szCs w:val="18"/>
                <w:color w:val="auto"/>
              </w:rPr>
              <w:t>contained in Exhibit 101)</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115</w:t>
      </w:r>
    </w:p>
    <w:p>
      <w:pPr>
        <w:sectPr>
          <w:pgSz w:w="11900" w:h="16838" w:orient="portrait"/>
          <w:cols w:equalWidth="0" w:num="1">
            <w:col w:w="11380"/>
          </w:cols>
          <w:pgMar w:left="280" w:top="905"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CC0000"/>
        </w:rPr>
        <w:drawing>
          <wp:anchor simplePos="0" relativeHeight="251657728" behindDoc="1" locked="0" layoutInCell="0" allowOverlap="1">
            <wp:simplePos x="0" y="0"/>
            <wp:positionH relativeFrom="page">
              <wp:posOffset>144780</wp:posOffset>
            </wp:positionH>
            <wp:positionV relativeFrom="page">
              <wp:posOffset>410845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CC0000"/>
        </w:rPr>
        <w:t>Eli Lilly and Company</w:t>
      </w:r>
    </w:p>
    <w:p>
      <w:pPr>
        <w:spacing w:after="0" w:line="279" w:lineRule="exact"/>
        <w:rPr>
          <w:sz w:val="20"/>
          <w:szCs w:val="20"/>
          <w:color w:val="auto"/>
        </w:rPr>
      </w:pPr>
    </w:p>
    <w:p>
      <w:pPr>
        <w:ind w:left="40"/>
        <w:spacing w:after="0"/>
        <w:tabs>
          <w:tab w:leader="none" w:pos="560" w:val="left"/>
          <w:tab w:leader="none" w:pos="96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26035</wp:posOffset>
            </wp:positionV>
            <wp:extent cx="39706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David A. Ricks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116</w:t>
      </w:r>
    </w:p>
    <w:p>
      <w:pPr>
        <w:sectPr>
          <w:pgSz w:w="11900" w:h="16838" w:orient="portrait"/>
          <w:cols w:equalWidth="0" w:num="1">
            <w:col w:w="11140"/>
          </w:cols>
          <w:pgMar w:left="240" w:top="967" w:right="519" w:bottom="1440" w:gutter="0" w:footer="0" w:header="0"/>
        </w:sectPr>
      </w:pPr>
    </w:p>
    <w:bookmarkStart w:id="116" w:name="page117"/>
    <w:bookmarkEnd w:id="116"/>
    <w:p>
      <w:pPr>
        <w:ind w:right="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19, 2020 by the following persons on behalf of the Registrant and in the capacities indicated.</w:t>
      </w:r>
    </w:p>
    <w:p>
      <w:pPr>
        <w:spacing w:after="0" w:line="130" w:lineRule="exact"/>
        <w:rPr>
          <w:sz w:val="20"/>
          <w:szCs w:val="20"/>
          <w:color w:val="auto"/>
        </w:rPr>
      </w:pPr>
    </w:p>
    <w:p>
      <w:pPr>
        <w:ind w:left="2580"/>
        <w:spacing w:after="0"/>
        <w:tabs>
          <w:tab w:leader="none" w:pos="85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8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rPr>
              <w:t>David A. Ricks</w:t>
            </w:r>
          </w:p>
        </w:tc>
      </w:tr>
      <w:tr>
        <w:trPr>
          <w:trHeight w:val="243"/>
        </w:trPr>
        <w:tc>
          <w:tcPr>
            <w:tcW w:w="5820" w:type="dxa"/>
            <w:vAlign w:val="bottom"/>
            <w:gridSpan w:val="2"/>
          </w:tcPr>
          <w:p>
            <w:pPr>
              <w:ind w:left="2240"/>
              <w:spacing w:after="0"/>
              <w:rPr>
                <w:sz w:val="20"/>
                <w:szCs w:val="20"/>
                <w:color w:val="auto"/>
              </w:rPr>
            </w:pPr>
            <w:r>
              <w:rPr>
                <w:rFonts w:ascii="Arial" w:cs="Arial" w:eastAsia="Arial" w:hAnsi="Arial"/>
                <w:sz w:val="18"/>
                <w:szCs w:val="18"/>
                <w:color w:val="auto"/>
              </w:rPr>
              <w:t>DAVID A. RICKS</w:t>
            </w:r>
          </w:p>
        </w:tc>
      </w:tr>
      <w:tr>
        <w:trPr>
          <w:trHeight w:val="378"/>
        </w:trPr>
        <w:tc>
          <w:tcPr>
            <w:tcW w:w="2380" w:type="dxa"/>
            <w:vAlign w:val="bottom"/>
          </w:tcPr>
          <w:p>
            <w:pPr>
              <w:ind w:left="204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rPr>
              <w:t>Joshua L. Smiley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874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JOSHUA L. SMILEY</w:t>
      </w:r>
    </w:p>
    <w:p>
      <w:pPr>
        <w:spacing w:after="0" w:line="171" w:lineRule="exact"/>
        <w:rPr>
          <w:sz w:val="20"/>
          <w:szCs w:val="20"/>
          <w:color w:val="auto"/>
        </w:rPr>
      </w:pPr>
    </w:p>
    <w:p>
      <w:pPr>
        <w:ind w:left="1900"/>
        <w:spacing w:after="0"/>
        <w:tabs>
          <w:tab w:leader="none" w:pos="2260" w:val="left"/>
        </w:tabs>
        <w:rPr>
          <w:sz w:val="20"/>
          <w:szCs w:val="20"/>
          <w:color w:val="auto"/>
        </w:rPr>
      </w:pPr>
      <w:r>
        <w:rPr>
          <w:rFonts w:ascii="Arial" w:cs="Arial" w:eastAsia="Arial" w:hAnsi="Arial"/>
          <w:sz w:val="18"/>
          <w:szCs w:val="18"/>
          <w:color w:val="auto"/>
        </w:rPr>
        <w:t>/s/</w:t>
        <w:tab/>
        <w:t>Donald A.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74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DONALD A. ZAKROWSKI</w:t>
      </w:r>
    </w:p>
    <w:p>
      <w:pPr>
        <w:spacing w:after="0" w:line="171" w:lineRule="exact"/>
        <w:rPr>
          <w:sz w:val="20"/>
          <w:szCs w:val="20"/>
          <w:color w:val="auto"/>
        </w:rPr>
      </w:pPr>
    </w:p>
    <w:p>
      <w:pPr>
        <w:ind w:left="2160"/>
        <w:spacing w:after="0"/>
        <w:tabs>
          <w:tab w:leader="none" w:pos="2520" w:val="left"/>
        </w:tabs>
        <w:rPr>
          <w:sz w:val="20"/>
          <w:szCs w:val="20"/>
          <w:color w:val="auto"/>
        </w:rPr>
      </w:pPr>
      <w:r>
        <w:rPr>
          <w:rFonts w:ascii="Arial" w:cs="Arial" w:eastAsia="Arial" w:hAnsi="Arial"/>
          <w:sz w:val="18"/>
          <w:szCs w:val="18"/>
          <w:color w:val="auto"/>
        </w:rPr>
        <w:t>/s/</w:t>
        <w:tab/>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74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RALPH ALVAREZ</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Chairman, President, and Chief Executive Officer (principal executive officer)</w:t>
      </w:r>
    </w:p>
    <w:p>
      <w:pPr>
        <w:spacing w:after="0" w:line="22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Senior Vice President and Chief Financial Officer (principal financial officer)</w:t>
      </w:r>
    </w:p>
    <w:p>
      <w:pPr>
        <w:spacing w:after="0" w:line="22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Vice President, Finance and Chief Accounting Officer (principal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41" w:lineRule="exact"/>
        <w:rPr>
          <w:sz w:val="20"/>
          <w:szCs w:val="20"/>
          <w:color w:val="auto"/>
        </w:rPr>
      </w:pPr>
    </w:p>
    <w:p>
      <w:pPr>
        <w:sectPr>
          <w:pgSz w:w="11900" w:h="16838" w:orient="portrait"/>
          <w:cols w:equalWidth="0" w:num="2">
            <w:col w:w="5820" w:space="160"/>
            <w:col w:w="5440"/>
          </w:cols>
          <w:pgMar w:left="240" w:top="625"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198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Katherine Baicker,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KATHERINE BAICKER, Ph.D.</w:t>
            </w:r>
          </w:p>
        </w:tc>
        <w:tc>
          <w:tcPr>
            <w:tcW w:w="780" w:type="dxa"/>
            <w:vAlign w:val="bottom"/>
          </w:tcPr>
          <w:p>
            <w:pPr>
              <w:spacing w:after="0"/>
              <w:rPr>
                <w:sz w:val="21"/>
                <w:szCs w:val="21"/>
                <w:color w:val="auto"/>
              </w:rPr>
            </w:pPr>
          </w:p>
        </w:tc>
      </w:tr>
      <w:tr>
        <w:trPr>
          <w:trHeight w:val="385"/>
        </w:trPr>
        <w:tc>
          <w:tcPr>
            <w:tcW w:w="19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490"/>
              <w:spacing w:after="0"/>
              <w:rPr>
                <w:sz w:val="20"/>
                <w:szCs w:val="20"/>
                <w:color w:val="auto"/>
              </w:rPr>
            </w:pPr>
            <w:r>
              <w:rPr>
                <w:rFonts w:ascii="Arial" w:cs="Arial" w:eastAsia="Arial" w:hAnsi="Arial"/>
                <w:sz w:val="18"/>
                <w:szCs w:val="18"/>
                <w:color w:val="auto"/>
                <w:w w:val="99"/>
              </w:rPr>
              <w:t>Carolyn R. Bertozzi,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CAROLYN R. BERTOZZI, Ph.D.</w:t>
            </w:r>
          </w:p>
        </w:tc>
        <w:tc>
          <w:tcPr>
            <w:tcW w:w="780" w:type="dxa"/>
            <w:vAlign w:val="bottom"/>
          </w:tcPr>
          <w:p>
            <w:pPr>
              <w:spacing w:after="0"/>
              <w:rPr>
                <w:sz w:val="21"/>
                <w:szCs w:val="21"/>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spacing w:after="0"/>
              <w:rPr>
                <w:sz w:val="21"/>
                <w:szCs w:val="21"/>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spacing w:after="0"/>
              <w:rPr>
                <w:sz w:val="21"/>
                <w:szCs w:val="21"/>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Jamere Jackson</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JAMERE JACKSON</w:t>
            </w:r>
          </w:p>
        </w:tc>
        <w:tc>
          <w:tcPr>
            <w:tcW w:w="780" w:type="dxa"/>
            <w:vAlign w:val="bottom"/>
          </w:tcPr>
          <w:p>
            <w:pPr>
              <w:spacing w:after="0"/>
              <w:rPr>
                <w:sz w:val="21"/>
                <w:szCs w:val="21"/>
                <w:color w:val="auto"/>
              </w:rPr>
            </w:pPr>
          </w:p>
        </w:tc>
      </w:tr>
      <w:tr>
        <w:trPr>
          <w:trHeight w:val="399"/>
        </w:trPr>
        <w:tc>
          <w:tcPr>
            <w:tcW w:w="198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jc w:val="center"/>
              <w:ind w:right="1490"/>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spacing w:after="0"/>
              <w:rPr>
                <w:sz w:val="21"/>
                <w:szCs w:val="21"/>
                <w:color w:val="auto"/>
              </w:rPr>
            </w:pPr>
          </w:p>
        </w:tc>
      </w:tr>
      <w:tr>
        <w:trPr>
          <w:trHeight w:val="378"/>
        </w:trPr>
        <w:tc>
          <w:tcPr>
            <w:tcW w:w="198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spacing w:after="0"/>
              <w:rPr>
                <w:sz w:val="20"/>
                <w:szCs w:val="20"/>
                <w:color w:val="auto"/>
              </w:rPr>
            </w:pPr>
          </w:p>
        </w:tc>
      </w:tr>
      <w:tr>
        <w:trPr>
          <w:trHeight w:val="378"/>
        </w:trPr>
        <w:tc>
          <w:tcPr>
            <w:tcW w:w="5820" w:type="dxa"/>
            <w:vAlign w:val="bottom"/>
            <w:gridSpan w:val="3"/>
          </w:tcPr>
          <w:p>
            <w:pPr>
              <w:jc w:val="center"/>
              <w:spacing w:after="0"/>
              <w:rPr>
                <w:sz w:val="20"/>
                <w:szCs w:val="20"/>
                <w:color w:val="auto"/>
              </w:rPr>
            </w:pPr>
            <w:r>
              <w:rPr>
                <w:rFonts w:ascii="Arial" w:cs="Arial" w:eastAsia="Arial" w:hAnsi="Arial"/>
                <w:sz w:val="18"/>
                <w:szCs w:val="18"/>
                <w:color w:val="auto"/>
              </w:rPr>
              <w:t>/s/  Marschall S. Runge, M.D.,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5820" w:type="dxa"/>
            <w:vAlign w:val="bottom"/>
            <w:tcBorders>
              <w:bottom w:val="single" w:sz="8" w:color="auto"/>
            </w:tcBorders>
            <w:gridSpan w:val="3"/>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rPr>
              <w:t>MARSCHALL S. RUNGE, M.D., Ph.D.</w:t>
            </w:r>
          </w:p>
        </w:tc>
        <w:tc>
          <w:tcPr>
            <w:tcW w:w="780" w:type="dxa"/>
            <w:vAlign w:val="bottom"/>
          </w:tcPr>
          <w:p>
            <w:pPr>
              <w:spacing w:after="0"/>
              <w:rPr>
                <w:sz w:val="20"/>
                <w:szCs w:val="20"/>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8"/>
              </w:rPr>
              <w:t>Kathi P. Seifert</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7"/>
              </w:rPr>
              <w:t>KATHI P. SEIFERT</w:t>
            </w:r>
          </w:p>
        </w:tc>
        <w:tc>
          <w:tcPr>
            <w:tcW w:w="780" w:type="dxa"/>
            <w:vAlign w:val="bottom"/>
          </w:tcPr>
          <w:p>
            <w:pPr>
              <w:spacing w:after="0"/>
              <w:rPr>
                <w:sz w:val="21"/>
                <w:szCs w:val="21"/>
                <w:color w:val="auto"/>
              </w:rPr>
            </w:pPr>
          </w:p>
        </w:tc>
      </w:tr>
      <w:tr>
        <w:trPr>
          <w:trHeight w:val="378"/>
        </w:trPr>
        <w:tc>
          <w:tcPr>
            <w:tcW w:w="19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6"/>
              </w:rPr>
              <w:t>Jackson P. Tai</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8"/>
              </w:rPr>
              <w:t>JACKSON P. TAI</w:t>
            </w:r>
          </w:p>
        </w:tc>
        <w:tc>
          <w:tcPr>
            <w:tcW w:w="780" w:type="dxa"/>
            <w:vAlign w:val="bottom"/>
          </w:tcPr>
          <w:p>
            <w:pPr>
              <w:spacing w:after="0"/>
              <w:rPr>
                <w:sz w:val="20"/>
                <w:szCs w:val="20"/>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4"/>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Karen Walker</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KAREN WALKER</w:t>
            </w:r>
          </w:p>
        </w:tc>
        <w:tc>
          <w:tcPr>
            <w:tcW w:w="780" w:type="dxa"/>
            <w:vAlign w:val="bottom"/>
          </w:tcPr>
          <w:p>
            <w:pPr>
              <w:spacing w:after="0"/>
              <w:rPr>
                <w:sz w:val="21"/>
                <w:szCs w:val="2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117</w:t>
      </w:r>
    </w:p>
    <w:p>
      <w:pPr>
        <w:sectPr>
          <w:pgSz w:w="11900" w:h="16838" w:orient="portrait"/>
          <w:cols w:equalWidth="0" w:num="1">
            <w:col w:w="11420"/>
          </w:cols>
          <w:pgMar w:left="240" w:top="625" w:right="2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color w:val="C21128"/>
        </w:rPr>
        <w:t>Trademarks Used In This Report</w:t>
      </w:r>
    </w:p>
    <w:p>
      <w:pPr>
        <w:spacing w:after="0" w:line="139"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 xml:space="preserve">Trademarks or service marks owned by Eli Lilly and Company or its affiliates, when first used in this report, appear with an initial capital and are followed by the symbol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w:t>
      </w:r>
      <w:r>
        <w:rPr>
          <w:rFonts w:ascii="Arial" w:cs="Arial" w:eastAsia="Arial" w:hAnsi="Arial"/>
          <w:sz w:val="21"/>
          <w:szCs w:val="21"/>
          <w:color w:val="auto"/>
          <w:vertAlign w:val="superscript"/>
        </w:rPr>
        <w:t>™</w:t>
      </w:r>
      <w:r>
        <w:rPr>
          <w:rFonts w:ascii="Arial" w:cs="Arial" w:eastAsia="Arial" w:hAnsi="Arial"/>
          <w:sz w:val="18"/>
          <w:szCs w:val="18"/>
          <w:color w:val="auto"/>
        </w:rPr>
        <w:t>, as applicable. In subsequent uses of the marks in the report, the symbols may be omitted.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Takeda Pharmaceutical Company Limited.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Amylin Pharmaceuticals, Inc.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Synjardy</w:t>
      </w:r>
      <w:r>
        <w:rPr>
          <w:rFonts w:ascii="Arial" w:cs="Arial" w:eastAsia="Arial" w:hAnsi="Arial"/>
          <w:sz w:val="21"/>
          <w:szCs w:val="21"/>
          <w:color w:val="auto"/>
          <w:vertAlign w:val="superscript"/>
        </w:rPr>
        <w:t>®</w:t>
      </w:r>
      <w:r>
        <w:rPr>
          <w:rFonts w:ascii="Arial" w:cs="Arial" w:eastAsia="Arial" w:hAnsi="Arial"/>
          <w:sz w:val="18"/>
          <w:szCs w:val="18"/>
          <w:color w:val="auto"/>
        </w:rPr>
        <w:t>, Trajenta</w:t>
      </w:r>
      <w:r>
        <w:rPr>
          <w:rFonts w:ascii="Arial" w:cs="Arial" w:eastAsia="Arial" w:hAnsi="Arial"/>
          <w:sz w:val="21"/>
          <w:szCs w:val="21"/>
          <w:color w:val="auto"/>
          <w:vertAlign w:val="superscript"/>
        </w:rPr>
        <w:t>®</w:t>
      </w:r>
      <w:r>
        <w:rPr>
          <w:rFonts w:ascii="Arial" w:cs="Arial" w:eastAsia="Arial" w:hAnsi="Arial"/>
          <w:sz w:val="18"/>
          <w:szCs w:val="18"/>
          <w:color w:val="auto"/>
        </w:rPr>
        <w:t>, and Trijardy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Boehringer Ingelheim GmbH.</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Union Agener and Elanco US Inc.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Qbrexza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Dermira, Inc.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Viagra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Pfizer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118</w:t>
      </w:r>
    </w:p>
    <w:p>
      <w:pPr>
        <w:sectPr>
          <w:pgSz w:w="11900" w:h="16838" w:orient="portrait"/>
          <w:cols w:equalWidth="0" w:num="1">
            <w:col w:w="11400"/>
          </w:cols>
          <w:pgMar w:left="240" w:top="711"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Exhibit 4.3 Description of Common Stock</w:t>
      </w:r>
    </w:p>
    <w:p>
      <w:pPr>
        <w:spacing w:after="0" w:line="229"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i w:val="1"/>
          <w:iCs w:val="1"/>
          <w:color w:val="auto"/>
        </w:rPr>
        <w:t>The following summary of Eli Lilly &amp; Company’s common stock is based on and qualified by, among other things, our amended articles of incorporation and our amended bylaws, both of which are filed as exhibits to this Annual Report on Form 10-K. Throughout this exhibit, references to “we,” “the Company,” “our,” and “us” refer to Eli Lilly and Company</w:t>
      </w:r>
    </w:p>
    <w:p>
      <w:pPr>
        <w:spacing w:after="0" w:line="19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As of December 31, 2019, our authorized capital stock consists of 3,205,000,000 shares, of which 3,200,000,000 shares are common stock, without par value, and 5,000,000 shares of preferred stock, without par value. No shares of preferred stock are issued and outstanding as of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1" w:lineRule="exact"/>
        <w:rPr>
          <w:sz w:val="20"/>
          <w:szCs w:val="20"/>
          <w:color w:val="auto"/>
        </w:rPr>
      </w:pPr>
    </w:p>
    <w:p>
      <w:pPr>
        <w:ind w:right="380" w:firstLine="648"/>
        <w:spacing w:after="0" w:line="250"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the dividend rights of the holders of any outstanding shares of preferred stock, the holders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are entitled to receive ratably dividends as may be lawfully declared at any time by the board of directors.</w:t>
      </w:r>
    </w:p>
    <w:p>
      <w:pPr>
        <w:spacing w:after="0" w:line="1" w:lineRule="exact"/>
        <w:rPr>
          <w:sz w:val="20"/>
          <w:szCs w:val="20"/>
          <w:color w:val="auto"/>
        </w:rPr>
      </w:pPr>
    </w:p>
    <w:p>
      <w:pPr>
        <w:ind w:right="240" w:firstLine="648"/>
        <w:spacing w:after="0" w:line="250" w:lineRule="auto"/>
        <w:rPr>
          <w:sz w:val="20"/>
          <w:szCs w:val="20"/>
          <w:color w:val="auto"/>
        </w:rPr>
      </w:pPr>
      <w:r>
        <w:rPr>
          <w:rFonts w:ascii="Arial" w:cs="Arial" w:eastAsia="Arial" w:hAnsi="Arial"/>
          <w:sz w:val="18"/>
          <w:szCs w:val="18"/>
          <w:i w:val="1"/>
          <w:iCs w:val="1"/>
          <w:color w:val="auto"/>
        </w:rPr>
        <w:t>Rights Upon Liquidation</w:t>
      </w:r>
      <w:r>
        <w:rPr>
          <w:rFonts w:ascii="Arial" w:cs="Arial" w:eastAsia="Arial" w:hAnsi="Arial"/>
          <w:sz w:val="18"/>
          <w:szCs w:val="18"/>
          <w:color w:val="auto"/>
        </w:rPr>
        <w:t>. Upon liquidation, dissolution or winding up of our affairs, after payment to the holders of any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preferred stock of the full amount to which they are entitled, the holders of shares of common stock are entitled, to the exclusion of any holders of preferred stock, to share ratably in our assets that are legally available for distribution after satisfaction of our liabilities.</w:t>
      </w:r>
    </w:p>
    <w:p>
      <w:pPr>
        <w:spacing w:after="0" w:line="1" w:lineRule="exact"/>
        <w:rPr>
          <w:sz w:val="20"/>
          <w:szCs w:val="20"/>
          <w:color w:val="auto"/>
        </w:rPr>
      </w:pPr>
    </w:p>
    <w:p>
      <w:pPr>
        <w:ind w:right="500" w:firstLine="648"/>
        <w:spacing w:after="0" w:line="250" w:lineRule="auto"/>
        <w:rPr>
          <w:sz w:val="20"/>
          <w:szCs w:val="20"/>
          <w:color w:val="auto"/>
        </w:rPr>
      </w:pPr>
      <w:r>
        <w:rPr>
          <w:rFonts w:ascii="Arial" w:cs="Arial" w:eastAsia="Arial" w:hAnsi="Arial"/>
          <w:sz w:val="18"/>
          <w:szCs w:val="18"/>
          <w:i w:val="1"/>
          <w:iCs w:val="1"/>
          <w:color w:val="auto"/>
        </w:rPr>
        <w:t xml:space="preserve">No Conversion, Redemption or Preemptive Rights. </w:t>
      </w:r>
      <w:r>
        <w:rPr>
          <w:rFonts w:ascii="Arial" w:cs="Arial" w:eastAsia="Arial" w:hAnsi="Arial"/>
          <w:sz w:val="18"/>
          <w:szCs w:val="18"/>
          <w:color w:val="auto"/>
        </w:rPr>
        <w:t>Holders of our common stock have no conversion, redemption, preemptive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rights.</w:t>
      </w:r>
    </w:p>
    <w:p>
      <w:pPr>
        <w:spacing w:after="0" w:line="1" w:lineRule="exact"/>
        <w:rPr>
          <w:sz w:val="20"/>
          <w:szCs w:val="20"/>
          <w:color w:val="auto"/>
        </w:rPr>
      </w:pPr>
    </w:p>
    <w:p>
      <w:pPr>
        <w:ind w:right="140" w:firstLine="648"/>
        <w:spacing w:after="0" w:line="250"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outstanding share of common stock is entitled to one vote on all matters submitted to a vote of shareholders. Our</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articles of incorporation do not provide for cumulative voting in the election of directors.</w:t>
      </w:r>
    </w:p>
    <w:p>
      <w:pPr>
        <w:spacing w:after="0" w:line="1"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No shares of any class of our capital stock are subject to any sinking fund provisions or to calls, assessments by,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Effects of Issuance of Preferred Stock</w:t>
      </w:r>
    </w:p>
    <w:p>
      <w:pPr>
        <w:spacing w:after="0" w:line="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amended articles of incorporation authorize our board of directors, without further shareholder action, to provide for the issuance of up to 5,000,000 shares of preferred stock, in one or more series, and to fix, by the adoption and filing in accordance with the Indiana Business Corporation Law (the “IBCL”) of an amendment or amendments to the amended articles of incorporation, the designations, terms and relative rights and preferences, including the dividend rate, voting rights, conversion rights, redemption and sinking fund provisions and liquidation preferences, of each of these series. We may amend from time to time our amended articles of incorporation to increase the number of authorized shares of preferred stock. Any such amendment would be approved if the votes cast favoring the amendment exceed the votes cast opposing the amendment. The issuance of preferred stock could have the effect of delaying or preventing a change in control of our company and could decrease the amount available for distribution to holders of our common stock or could adversely affect the rights and powers, including voting rights, of such holders. In certain circumstances, the issuance of preferred stock could have the effect of decreasing the market price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Amended Articles of Incorporation and Our Amended Bylaws</w:t>
      </w:r>
    </w:p>
    <w:p>
      <w:pPr>
        <w:spacing w:after="0" w:line="31" w:lineRule="exact"/>
        <w:rPr>
          <w:sz w:val="20"/>
          <w:szCs w:val="20"/>
          <w:color w:val="auto"/>
        </w:rPr>
      </w:pPr>
    </w:p>
    <w:p>
      <w:pPr>
        <w:jc w:val="both"/>
        <w:ind w:right="600" w:firstLine="648"/>
        <w:spacing w:after="0" w:line="250" w:lineRule="auto"/>
        <w:rPr>
          <w:sz w:val="20"/>
          <w:szCs w:val="20"/>
          <w:color w:val="auto"/>
        </w:rPr>
      </w:pPr>
      <w:r>
        <w:rPr>
          <w:rFonts w:ascii="Arial" w:cs="Arial" w:eastAsia="Arial" w:hAnsi="Arial"/>
          <w:sz w:val="18"/>
          <w:szCs w:val="18"/>
          <w:color w:val="auto"/>
        </w:rPr>
        <w:t>Our amended articles of incorporation and our amended bylaws contain certain provisions that may be deemed to have an anti-takeover effect and may delay, deter or prevent a tender offer or takeover attempt that a shareholder might consider in its best interest, including those attempts that might result in a premium over the market price for the shares held by shareholders.</w:t>
      </w:r>
    </w:p>
    <w:p>
      <w:pPr>
        <w:spacing w:after="0" w:line="1" w:lineRule="exact"/>
        <w:rPr>
          <w:sz w:val="20"/>
          <w:szCs w:val="20"/>
          <w:color w:val="auto"/>
        </w:rPr>
      </w:pPr>
    </w:p>
    <w:p>
      <w:pPr>
        <w:jc w:val="both"/>
        <w:ind w:right="360" w:firstLine="648"/>
        <w:spacing w:after="0" w:line="250" w:lineRule="auto"/>
        <w:rPr>
          <w:sz w:val="20"/>
          <w:szCs w:val="20"/>
          <w:color w:val="auto"/>
        </w:rPr>
      </w:pPr>
      <w:r>
        <w:rPr>
          <w:rFonts w:ascii="Arial" w:cs="Arial" w:eastAsia="Arial" w:hAnsi="Arial"/>
          <w:sz w:val="18"/>
          <w:szCs w:val="18"/>
          <w:color w:val="auto"/>
        </w:rPr>
        <w:t>Our amended bylaws provide that special meetings of holders of common stock may be called only by our board of directors or the Chairman of the board of directors. Holders of our common stock are not permitted to call a special meeting or to require that our board of directors call a special meeting of shareholders.</w:t>
      </w:r>
    </w:p>
    <w:p>
      <w:pPr>
        <w:spacing w:after="0" w:line="1" w:lineRule="exact"/>
        <w:rPr>
          <w:sz w:val="20"/>
          <w:szCs w:val="20"/>
          <w:color w:val="auto"/>
        </w:rPr>
      </w:pPr>
    </w:p>
    <w:p>
      <w:pPr>
        <w:ind w:right="100" w:firstLine="648"/>
        <w:spacing w:after="0" w:line="250" w:lineRule="auto"/>
        <w:rPr>
          <w:sz w:val="20"/>
          <w:szCs w:val="20"/>
          <w:color w:val="auto"/>
        </w:rPr>
      </w:pPr>
      <w:r>
        <w:rPr>
          <w:rFonts w:ascii="Arial" w:cs="Arial" w:eastAsia="Arial" w:hAnsi="Arial"/>
          <w:sz w:val="18"/>
          <w:szCs w:val="18"/>
          <w:color w:val="auto"/>
        </w:rPr>
        <w:t>Our amended bylaws establish an advance notice procedure for the nomination, other than by or at the direction of our board of directors, of candidates for election as directors as well as for other shareholder proposals to be considered at annual meetings of shareholders. In general, notice of intent to nominate a director or raise business at such meetings must be received by us not less than 120 days nor more than 180 days prior to the date on which our proxy statement is released to shareholders in connection with the previous year’s annual meeting and must contain certain specified information concerning the person to be nominated or the matters to be brought before the meeting and concerning the shareholder submitting the proposal.</w:t>
      </w:r>
    </w:p>
    <w:p>
      <w:pPr>
        <w:spacing w:after="0" w:line="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Our amended articles of incorporation provide for our board of directors to be divided into three classes of directors, as nearly equal in number as possible, serving staggered terms of office. Approximately one-third of our board of directors is elected each year to three-year terms of office. In addition, our directors (other than directors</w:t>
      </w:r>
    </w:p>
    <w:p>
      <w:pPr>
        <w:sectPr>
          <w:pgSz w:w="11900" w:h="16838" w:orient="portrait"/>
          <w:cols w:equalWidth="0" w:num="1">
            <w:col w:w="11400"/>
          </w:cols>
          <w:pgMar w:left="240" w:top="549" w:right="259" w:bottom="1440" w:gutter="0" w:footer="0" w:header="0"/>
        </w:sectPr>
      </w:pPr>
    </w:p>
    <w:bookmarkStart w:id="119" w:name="page120"/>
    <w:bookmarkEnd w:id="119"/>
    <w:p>
      <w:pPr>
        <w:ind w:right="300"/>
        <w:spacing w:after="0" w:line="250" w:lineRule="auto"/>
        <w:rPr>
          <w:sz w:val="20"/>
          <w:szCs w:val="20"/>
          <w:color w:val="auto"/>
        </w:rPr>
      </w:pPr>
      <w:r>
        <w:rPr>
          <w:rFonts w:ascii="Arial" w:cs="Arial" w:eastAsia="Arial" w:hAnsi="Arial"/>
          <w:sz w:val="18"/>
          <w:szCs w:val="18"/>
          <w:color w:val="auto"/>
        </w:rPr>
        <w:t>appointed by holders of preferred stock) may be removed only for cause and only upon the affirmative vote of holders of at least 80% of our outstanding voting stock.</w:t>
      </w:r>
    </w:p>
    <w:p>
      <w:pPr>
        <w:spacing w:after="0" w:line="1" w:lineRule="exact"/>
        <w:rPr>
          <w:sz w:val="20"/>
          <w:szCs w:val="20"/>
          <w:color w:val="auto"/>
        </w:rPr>
      </w:pPr>
    </w:p>
    <w:p>
      <w:pPr>
        <w:ind w:right="100" w:firstLine="648"/>
        <w:spacing w:after="0" w:line="250" w:lineRule="auto"/>
        <w:rPr>
          <w:sz w:val="20"/>
          <w:szCs w:val="20"/>
          <w:color w:val="auto"/>
        </w:rPr>
      </w:pPr>
      <w:r>
        <w:rPr>
          <w:rFonts w:ascii="Arial" w:cs="Arial" w:eastAsia="Arial" w:hAnsi="Arial"/>
          <w:sz w:val="18"/>
          <w:szCs w:val="18"/>
          <w:color w:val="auto"/>
        </w:rPr>
        <w:t>Our amended articles of incorporation provide that, in addition to any affirmative vote required by law, the affirmative vote of holders of at least 80% of our outstanding voting stock shall be necessary to (i) approve certain major business transactions (such as mergers or asset sales with an interested shareholder or our liquidation), unless approved by our board of directors in the manner prescribed in the articles, (ii) amend certain provisions of the amended articles of incorporation relating to the number and terms of office of our directors, and (iii) modify or eliminate these supermajority voting provisions.</w:t>
      </w:r>
    </w:p>
    <w:p>
      <w:pPr>
        <w:spacing w:after="0" w:line="2"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Under Section 23-1-39-1 of the IBCL and our amended articles of incorporation and amended bylaws, only our board of directors can amend our amended bylaws, and shareholders do not have the right to amend our amended bylaws.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IBCL</w:t>
      </w:r>
    </w:p>
    <w:p>
      <w:pPr>
        <w:spacing w:after="0" w:line="31" w:lineRule="exact"/>
        <w:rPr>
          <w:sz w:val="20"/>
          <w:szCs w:val="20"/>
          <w:color w:val="auto"/>
        </w:rPr>
      </w:pPr>
    </w:p>
    <w:p>
      <w:pPr>
        <w:ind w:right="200" w:firstLine="648"/>
        <w:spacing w:after="0" w:line="250" w:lineRule="auto"/>
        <w:rPr>
          <w:sz w:val="20"/>
          <w:szCs w:val="20"/>
          <w:color w:val="auto"/>
        </w:rPr>
      </w:pPr>
      <w:r>
        <w:rPr>
          <w:rFonts w:ascii="Arial" w:cs="Arial" w:eastAsia="Arial" w:hAnsi="Arial"/>
          <w:sz w:val="18"/>
          <w:szCs w:val="18"/>
          <w:color w:val="auto"/>
        </w:rPr>
        <w:t>As an Indiana corporation, we are governed by the IBCL. Under specified circumstances, the following provisions of the IBCL may delay, prevent or make more difficult certain unsolicited acquisitions or changes in control of us. These provisions also may have the effect of preventing changes in our management. It is possible that these provisions could make it more difficult to accomplish transactions which shareholders may otherwise deem to be in their best interest.</w:t>
      </w:r>
    </w:p>
    <w:p>
      <w:pPr>
        <w:spacing w:after="0" w:line="2" w:lineRule="exact"/>
        <w:rPr>
          <w:sz w:val="20"/>
          <w:szCs w:val="20"/>
          <w:color w:val="auto"/>
        </w:rPr>
      </w:pPr>
    </w:p>
    <w:p>
      <w:pPr>
        <w:ind w:right="280" w:firstLine="648"/>
        <w:spacing w:after="0" w:line="250" w:lineRule="auto"/>
        <w:rPr>
          <w:sz w:val="20"/>
          <w:szCs w:val="20"/>
          <w:color w:val="auto"/>
        </w:rPr>
      </w:pPr>
      <w:r>
        <w:rPr>
          <w:rFonts w:ascii="Arial" w:cs="Arial" w:eastAsia="Arial" w:hAnsi="Arial"/>
          <w:sz w:val="18"/>
          <w:szCs w:val="18"/>
          <w:i w:val="1"/>
          <w:iCs w:val="1"/>
          <w:color w:val="auto"/>
        </w:rPr>
        <w:t>Unanimous Written Consent of Shareholders</w:t>
      </w:r>
      <w:r>
        <w:rPr>
          <w:rFonts w:ascii="Arial" w:cs="Arial" w:eastAsia="Arial" w:hAnsi="Arial"/>
          <w:sz w:val="18"/>
          <w:szCs w:val="18"/>
          <w:color w:val="auto"/>
        </w:rPr>
        <w:t>. Under Chapter 29 of the IBCL, any action required or permitted to be taken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common stock may be effected only at an annual meeting or special meeting of such holders, and shareholders may act in lieu of such meetings only by unanimous written consent.</w:t>
      </w:r>
    </w:p>
    <w:p>
      <w:pPr>
        <w:spacing w:after="0" w:line="1" w:lineRule="exact"/>
        <w:rPr>
          <w:sz w:val="20"/>
          <w:szCs w:val="20"/>
          <w:color w:val="auto"/>
        </w:rPr>
      </w:pPr>
    </w:p>
    <w:p>
      <w:pPr>
        <w:ind w:right="60" w:firstLine="648"/>
        <w:spacing w:after="0" w:line="250" w:lineRule="auto"/>
        <w:rPr>
          <w:sz w:val="20"/>
          <w:szCs w:val="20"/>
          <w:color w:val="auto"/>
        </w:rPr>
      </w:pPr>
      <w:r>
        <w:rPr>
          <w:rFonts w:ascii="Arial" w:cs="Arial" w:eastAsia="Arial" w:hAnsi="Arial"/>
          <w:sz w:val="18"/>
          <w:szCs w:val="18"/>
          <w:i w:val="1"/>
          <w:iCs w:val="1"/>
          <w:color w:val="auto"/>
        </w:rPr>
        <w:t>Control Share Acquisitions</w:t>
      </w:r>
      <w:r>
        <w:rPr>
          <w:rFonts w:ascii="Arial" w:cs="Arial" w:eastAsia="Arial" w:hAnsi="Arial"/>
          <w:sz w:val="18"/>
          <w:szCs w:val="18"/>
          <w:color w:val="auto"/>
        </w:rPr>
        <w:t>. Under Chapter 42 of the IBCL, an acquiring person or group who makes a “control share acquisition” in an</w:t>
      </w:r>
      <w:r>
        <w:rPr>
          <w:rFonts w:ascii="Arial" w:cs="Arial" w:eastAsia="Arial" w:hAnsi="Arial"/>
          <w:sz w:val="18"/>
          <w:szCs w:val="18"/>
          <w:i w:val="1"/>
          <w:iCs w:val="1"/>
          <w:color w:val="auto"/>
        </w:rPr>
        <w:t xml:space="preserve"> </w:t>
      </w:r>
      <w:r>
        <w:rPr>
          <w:rFonts w:ascii="Arial" w:cs="Arial" w:eastAsia="Arial" w:hAnsi="Arial"/>
          <w:sz w:val="18"/>
          <w:szCs w:val="18"/>
          <w:color w:val="auto"/>
        </w:rPr>
        <w:t>“issuing public 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3"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Under the IBCL, “control shares” means shares acquired by a person that, when added to all other shares of the issuing public corporation owned by that person or in respect to which that person may exercise or direct the exercise of voting power, would otherwise entitle that person (directly or indirectly, alone or as part of a group) to exercise or direct the exercise of the voting power of the issuing public corporation in the election of directors within any of the following ranges:</w:t>
      </w:r>
    </w:p>
    <w:p>
      <w:pPr>
        <w:spacing w:after="0" w:line="2"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one-fifth or more but less than one-third;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majority or more.</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 “Issuing public corporation” means a corporation which has (i) 100 or more shareholders, (ii) its principal place of business or its principal office in Indiana, or that owns or controls assets within Indiana having a fair market value of greater than $1,000,000, and (iii) (A) more than 10% of its shareholders resident in Indiana, (B) more than 10% of its shares owned of record or owned beneficially by Indiana residents, or (C) 1,000 shareholders resident in Indiana.</w:t>
      </w:r>
    </w:p>
    <w:p>
      <w:pPr>
        <w:spacing w:after="0" w:line="3" w:lineRule="exact"/>
        <w:rPr>
          <w:sz w:val="20"/>
          <w:szCs w:val="20"/>
          <w:color w:val="auto"/>
        </w:rPr>
      </w:pPr>
    </w:p>
    <w:p>
      <w:pPr>
        <w:jc w:val="both"/>
        <w:ind w:right="240" w:firstLine="648"/>
        <w:spacing w:after="0" w:line="250" w:lineRule="auto"/>
        <w:rPr>
          <w:sz w:val="20"/>
          <w:szCs w:val="20"/>
          <w:color w:val="auto"/>
        </w:rPr>
      </w:pPr>
      <w:r>
        <w:rPr>
          <w:rFonts w:ascii="Arial" w:cs="Arial" w:eastAsia="Arial" w:hAnsi="Arial"/>
          <w:sz w:val="18"/>
          <w:szCs w:val="18"/>
          <w:color w:val="auto"/>
        </w:rPr>
        <w:t>The above provisions do not apply if, before a control share acquisition is made, the corporation’s articles of incorporation or bylaws, including a by-law adopted by the corporation’s board of directors, provide that they do not apply. Our amended articles of incorporation and our amended bylaws do not currently exclude us from Chapter 42.</w:t>
      </w:r>
    </w:p>
    <w:p>
      <w:pPr>
        <w:spacing w:after="0" w:line="1"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i w:val="1"/>
          <w:iCs w:val="1"/>
          <w:color w:val="auto"/>
        </w:rPr>
        <w:t>Certain Business Combinations</w:t>
      </w:r>
      <w:r>
        <w:rPr>
          <w:rFonts w:ascii="Arial" w:cs="Arial" w:eastAsia="Arial" w:hAnsi="Arial"/>
          <w:sz w:val="18"/>
          <w:szCs w:val="18"/>
          <w:color w:val="auto"/>
        </w:rPr>
        <w:t>. Chapter 43 of the IBCL restricts the ability of a “resident domestic corporation” to engage in any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with an “interested shareholder” for five years after the date the interested shareholder became such, unless the business combination or the purchase of shares by the interested shareholder on the interested shareholder’s date of acquiring shares is approved by the board of directors of the resident domestic corporation before that date. If the business combination was not previously approved, the interested shareholder may effect a business combination after the five-year period only if that shareholder receives approval from a majority of the disinterested shareholders or the offer meets specified fair price criteria. For purposes of the above provisions, “resident domestic corporation” means an Indiana corporation that has 100 or more shareholders. “Interested shareholder” means any person, other than the resident domestic corporation or its subsidiaries, who is (1) the beneficial owner, directly or indirectly, of 10% or more of the voting power of the outstanding voting shares of the resident domestic corporation or (2) an affiliate or associate of the</w:t>
      </w:r>
    </w:p>
    <w:p>
      <w:pPr>
        <w:sectPr>
          <w:pgSz w:w="11900" w:h="16838" w:orient="portrait"/>
          <w:cols w:equalWidth="0" w:num="1">
            <w:col w:w="11400"/>
          </w:cols>
          <w:pgMar w:left="240" w:top="571" w:right="259" w:bottom="1440" w:gutter="0" w:footer="0" w:header="0"/>
        </w:sectPr>
      </w:pPr>
    </w:p>
    <w:bookmarkStart w:id="120" w:name="page121"/>
    <w:bookmarkEnd w:id="120"/>
    <w:p>
      <w:pPr>
        <w:ind w:right="120"/>
        <w:spacing w:after="0" w:line="250" w:lineRule="auto"/>
        <w:rPr>
          <w:sz w:val="20"/>
          <w:szCs w:val="20"/>
          <w:color w:val="auto"/>
        </w:rPr>
      </w:pPr>
      <w:r>
        <w:rPr>
          <w:rFonts w:ascii="Arial" w:cs="Arial" w:eastAsia="Arial" w:hAnsi="Arial"/>
          <w:sz w:val="18"/>
          <w:szCs w:val="18"/>
          <w:color w:val="auto"/>
        </w:rPr>
        <w:t>resident domestic corporation, which at any time within the five-year period immediately before the date in question, was the beneficial owner, directly or indirectly, of 10% or more of the voting power of the then outstanding shares of the resident domestic corporation.</w:t>
      </w:r>
    </w:p>
    <w:p>
      <w:pPr>
        <w:spacing w:after="0" w:line="1" w:lineRule="exact"/>
        <w:rPr>
          <w:sz w:val="20"/>
          <w:szCs w:val="20"/>
          <w:color w:val="auto"/>
        </w:rPr>
      </w:pPr>
    </w:p>
    <w:p>
      <w:pPr>
        <w:ind w:right="100" w:firstLine="648"/>
        <w:spacing w:after="0" w:line="250" w:lineRule="auto"/>
        <w:rPr>
          <w:sz w:val="20"/>
          <w:szCs w:val="20"/>
          <w:color w:val="auto"/>
        </w:rPr>
      </w:pPr>
      <w:r>
        <w:rPr>
          <w:rFonts w:ascii="Arial" w:cs="Arial" w:eastAsia="Arial" w:hAnsi="Arial"/>
          <w:sz w:val="18"/>
          <w:szCs w:val="18"/>
          <w:color w:val="auto"/>
        </w:rPr>
        <w:t>The definition of “beneficial owner” for purposes of Chapter 43, means a person who individually or with or through any of its affiliates or associates, directly or indirectly, owns or has the right to acquire or vote the subject shares (excluding voting rights under revocable proxies made in accordance with federal law), has any agreement, arrangement or understanding for the purpose of acquiring, holding or voting or disposing of the subject shares, or holds any “derivative instrument” that includes the opportunity to profit or share in any profit derived from any increase in the value of the subject shares.</w:t>
      </w:r>
    </w:p>
    <w:p>
      <w:pPr>
        <w:spacing w:after="0" w:line="2" w:lineRule="exact"/>
        <w:rPr>
          <w:sz w:val="20"/>
          <w:szCs w:val="20"/>
          <w:color w:val="auto"/>
        </w:rPr>
      </w:pPr>
    </w:p>
    <w:p>
      <w:pPr>
        <w:ind w:right="240" w:firstLine="648"/>
        <w:spacing w:after="0" w:line="250" w:lineRule="auto"/>
        <w:rPr>
          <w:sz w:val="20"/>
          <w:szCs w:val="20"/>
          <w:color w:val="auto"/>
        </w:rPr>
      </w:pPr>
      <w:r>
        <w:rPr>
          <w:rFonts w:ascii="Arial" w:cs="Arial" w:eastAsia="Arial" w:hAnsi="Arial"/>
          <w:sz w:val="18"/>
          <w:szCs w:val="18"/>
          <w:color w:val="auto"/>
        </w:rPr>
        <w:t>The above provisions do not apply to corporations that elect not to be subject to Chapter 43 in an amendment to their articles of incorporation approved by a majority of the disinterested shareholders. That amendment, however, cannot become effective until 18 months after its passage and would apply only to share acquisitions occurring after its effective date. Our amended articles of incorporation do not exclude us from Chapter 43.</w:t>
      </w:r>
    </w:p>
    <w:p>
      <w:pPr>
        <w:spacing w:after="0" w:line="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i w:val="1"/>
          <w:iCs w:val="1"/>
          <w:color w:val="auto"/>
        </w:rPr>
        <w:t>Mandatory Classified Board of Directors</w:t>
      </w:r>
      <w:r>
        <w:rPr>
          <w:rFonts w:ascii="Arial" w:cs="Arial" w:eastAsia="Arial" w:hAnsi="Arial"/>
          <w:sz w:val="18"/>
          <w:szCs w:val="18"/>
          <w:color w:val="auto"/>
        </w:rPr>
        <w:t>. Under Chapter 33 of the IBCL, a corporation with a class of voting shares registered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under Section 12 of the Exchange Act must have a classified board of directors unless the corporation adopts a by-law expressly electing not to be governed by this provision by the later of July 31, 2009 or 30 days after the corporation’s voting shares are registered under Section 12 of the Exchange Act. Although our amended articles of incorporation provide for a classified board of directors (and that provision can only be amended upon the affirmative vote of holders of at least 80% of our outstanding voting stock), we adopted an amendment to our amended bylaws electing not to be subject to this mandatory requirement effective July 13, 2009; however, the IBCL permits this election to be rescinded by subsequent action of our board of directors.</w:t>
      </w:r>
    </w:p>
    <w:p>
      <w:pPr>
        <w:sectPr>
          <w:pgSz w:w="11900" w:h="16838" w:orient="portrait"/>
          <w:cols w:equalWidth="0" w:num="1">
            <w:col w:w="11380"/>
          </w:cols>
          <w:pgMar w:left="240" w:top="571" w:right="2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Exhibit 4.4 Description of the Company’s 1.000% notes due 2022, 1.625% notes due 2026 and 2.125% notes due 2030</w:t>
      </w:r>
    </w:p>
    <w:p>
      <w:pPr>
        <w:spacing w:after="0" w:line="229"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i w:val="1"/>
          <w:iCs w:val="1"/>
          <w:color w:val="auto"/>
        </w:rPr>
        <w:t>The following summary of Eli Lilly and Company’s above referenced debt securities is based on and qualified by the indenture, dated as of February 1, 1991, between us and Deutsche Bank Trust Company Americas (as successor to Citibank, N.A.), as trustee and the forms of</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1.000% notes due 2022 (the “1.000% notes”), 1.625% notes due 2026 (the “1.625% notes”) and 2.125% notes due 2030 (the “2.125% notes,” and together with the 1.000% notes and 1.625% notes, the “notes”). For a complete description of the terms of the notes, refer to the indenture, the form of officers’ certificate setting forth the terms and forms of the notes, all of which are filed as exhibits to the Form 8-A filed with the Securities and Exchange Commission on June 2, 2015. Throughout this exhibit, references to “we,” “the Company,” “our,” and “us” refer to Eli Lilly and Company, unless otherwise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1.000% notes:</w:t>
      </w:r>
    </w:p>
    <w:p>
      <w:pPr>
        <w:spacing w:after="0" w:line="9"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mature on June 2,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bear interest at a rate of 1.000%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rank equally with all of our other present and future unsecured and unsubordinated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are issued as a separate series under the indenture, in registered, book-entry form only;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 and in connection with certain events involving United States taxation;</w:t>
      </w: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1.625% notes:</w:t>
      </w:r>
    </w:p>
    <w:p>
      <w:pPr>
        <w:spacing w:after="0" w:line="9" w:lineRule="exact"/>
        <w:rPr>
          <w:sz w:val="20"/>
          <w:szCs w:val="20"/>
          <w:color w:val="auto"/>
        </w:rPr>
      </w:pPr>
    </w:p>
    <w:p>
      <w:pPr>
        <w:ind w:left="660" w:right="280" w:hanging="328"/>
        <w:spacing w:after="0" w:line="250"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were issued in an aggregate initial principal amount of €750,000,000, which remains outstanding as of December 31, 2019 and are, subject to our ability to issue additional 1.625% notes which may be of the same series as the 1.625% notes as described under “-Further Issues;”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mature on June 2, 2026;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bear interest at a rate of 1.625%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rank equally with all of our other present and future unsecured and unsubordinated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issued as a separate series under the indenture, in registered, book-entry form only;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 and in connection with certain events involving United States taxation;</w:t>
      </w: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2.125% notes:</w:t>
      </w:r>
    </w:p>
    <w:p>
      <w:pPr>
        <w:spacing w:after="0" w:line="9" w:lineRule="exact"/>
        <w:rPr>
          <w:sz w:val="20"/>
          <w:szCs w:val="20"/>
          <w:color w:val="auto"/>
        </w:rPr>
      </w:pPr>
    </w:p>
    <w:p>
      <w:pPr>
        <w:jc w:val="both"/>
        <w:ind w:left="660" w:right="340" w:hanging="328"/>
        <w:spacing w:after="0" w:line="250"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were issued in an aggregate initial principal amount of €750,000,000, which remains outstanding as of December 31, 2019 and are subject to our ability to issue additional 2.125% notes which may be of the same series as the 2.125% notes as described under “-Further Issues;”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mature on June 3, 2030;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bear interest at a rate of 2.125%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rank equally with all of our other present and future unsecured and unsubordinated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issued as a separate series under the indenture, in registered, book-entry form only;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 and in connection with certain events involving United States taxation;</w:t>
      </w: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indenture and the notes do not limit the amount of indebtedness which may be incurred or the amount of securities which may be issued by us or our subsidiaries, and contain no financial or similar restrictions on us or our</w:t>
      </w:r>
    </w:p>
    <w:p>
      <w:pPr>
        <w:sectPr>
          <w:pgSz w:w="11900" w:h="16838" w:orient="portrait"/>
          <w:cols w:equalWidth="0" w:num="1">
            <w:col w:w="11400"/>
          </w:cols>
          <w:pgMar w:left="240" w:top="765"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subsidiaries, except as described under the captions “Limitation on Liens” and “Limitation on Sale and Leaseback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pay interest on the 1.000% notes at a rate of 1.000% per annum on each June 2, commencing on June 2, 2016, to the persons in whose names such notes are registered at the close of business on May 18 (whether or not a business day), immediately preceding such interest payment date. We pay interest on the 1.625% notes at a rate of 1.625% per annum on each June 2, commencing on June 2, 2016, to the persons in whose names such notes are registered at the close of business on May 18 (whether or not a business day), immediately preceding such interest payment date. We pay interest on the 2.125% notes at a rate of 2.125% per annum on each June 3, commencing on June 3, 2016, to the persons in whose names such notes are registered at the close of business on May 18 (whether or not a business day), immediately preceding such interest payment date. Interest on the notes will be computed on the basis of the actual number of days in the period for which interest is being calculated and the actual number of days from and including the last date on which interest was paid on the notes (or from June 2, 2015, if no interest has been paid on the notes), to but excluding the next scheduled interest payment date. This payment convention, which is set forth in the rulebook of the International Capital Market Association, is referred to as ACTUAL/ACTUAL (ICMA).</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any interest payment date falls on a day that is not a business day, we will make the required interest payment on the next business day, and no interest on such payment will accrue for the period from and after such interest payment date. Similarly, if the stated maturity date or the date of earlier redemption, as the case may be, of the notes falls on a day that is not a business day, we will make the required payment of principal, premium, if any, and interest, if any, on the next succeeding business day, and no interest on such payment will accrue for the period from and after the maturity date or redemption date, as the case may be.</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“Business day” means any day, other than a Saturday or Sunday, that is (i) neither a legal holiday nor a day on which banking institutions are authorized or required by law or regulation to close in The City of New York or London, and (ii) on which the Trans-European Automated Real-time Gross Settlement Express Transfer system, or any successor thereto, is open.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Euro</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Initial holders will be required to pay for the notes in euro, and all payments of interest and principal, including payments made upon any redemption of the notes, will be payable in euro. If, on or after the date of the issuance of the notes,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dollars until the euro is again available to us or so used. The amount payable on any date in euro will be converted into dollars at the rate mandated by the U.S. Federal Reserve Board as of the close of business on the second business day prior to the relevant payment date or, in the event the U.S. Federal Reserve Board has not mandated a rate of conversion, on the basis of the most recent euro/dollar exchange rate available on or prior to the second business day prior to the relevant payment date, as reported by Bloomberg. Any payment in respect of the notes so made in dollars will not constitute an event of default under the notes or the indenture. Neither the trustee nor any paying agent shall have any responsibility for any calculation or conversion in connection with the foregoing.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At our option, we may redeem the notes, in whole or in part, at any time or from time to time as described below.</w:t>
      </w:r>
    </w:p>
    <w:p>
      <w:pPr>
        <w:spacing w:after="0" w:line="225"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If we redeem all or any part of the 1.000% notes, the 1.625% notes or the 2.125% notes prior to the applicable Par Call Date (as defined below), we will pay a redemption price equal to the greater of:</w:t>
      </w:r>
    </w:p>
    <w:p>
      <w:pPr>
        <w:spacing w:after="0" w:line="196"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on the redemption date; and</w:t>
      </w:r>
    </w:p>
    <w:p>
      <w:pPr>
        <w:spacing w:after="0" w:line="9"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calculated by the Quotation Agent (as defined below), the sum of the present values of the remaining scheduled payments of principal and interest on the notes being redeemed on that redemption date (not including the amount, if any, of unpaid interest accrued to, but excluding, the redemption date) discounted to the redemption date, on an annual basis (ACTUAL/ACTUAL (ICMA)) using a discount rate equal to the</w:t>
      </w:r>
    </w:p>
    <w:p>
      <w:pPr>
        <w:sectPr>
          <w:pgSz w:w="11900" w:h="16838" w:orient="portrait"/>
          <w:cols w:equalWidth="0" w:num="1">
            <w:col w:w="11420"/>
          </w:cols>
          <w:pgMar w:left="240" w:top="571" w:right="239" w:bottom="1440" w:gutter="0" w:footer="0" w:header="0"/>
        </w:sectPr>
      </w:pPr>
    </w:p>
    <w:bookmarkStart w:id="123" w:name="page124"/>
    <w:bookmarkEnd w:id="123"/>
    <w:p>
      <w:pPr>
        <w:ind w:left="660" w:right="140"/>
        <w:spacing w:after="0" w:line="262" w:lineRule="auto"/>
        <w:rPr>
          <w:sz w:val="20"/>
          <w:szCs w:val="20"/>
          <w:color w:val="auto"/>
        </w:rPr>
      </w:pPr>
      <w:r>
        <w:rPr>
          <w:rFonts w:ascii="Arial" w:cs="Arial" w:eastAsia="Arial" w:hAnsi="Arial"/>
          <w:sz w:val="18"/>
          <w:szCs w:val="18"/>
          <w:color w:val="auto"/>
        </w:rPr>
        <w:t>sum of the Reference Dealer Rate (as defined below), plus 0.15% (or 15 basis points) with respect to the 1.000% notes, 0.20% (or 20 basis points) with respect to the 1.625% notes or 0.25% (or 25 basis points) with respect to the 2.125% notes;</w:t>
      </w:r>
    </w:p>
    <w:p>
      <w:pPr>
        <w:spacing w:after="0" w:line="17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in each case, unpaid interest accrued on such notes to, but excluding, the redemption date. If we redeem all or any part of the 1.000%</w:t>
      </w:r>
      <w:r>
        <w:rPr>
          <w:rFonts w:ascii="Arial" w:cs="Arial" w:eastAsia="Arial" w:hAnsi="Arial"/>
          <w:sz w:val="18"/>
          <w:szCs w:val="18"/>
          <w:i w:val="1"/>
          <w:iCs w:val="1"/>
          <w:color w:val="auto"/>
        </w:rPr>
        <w:t xml:space="preserve"> </w:t>
      </w:r>
      <w:r>
        <w:rPr>
          <w:rFonts w:ascii="Arial" w:cs="Arial" w:eastAsia="Arial" w:hAnsi="Arial"/>
          <w:sz w:val="18"/>
          <w:szCs w:val="18"/>
          <w:color w:val="auto"/>
        </w:rPr>
        <w:t>notes, all or any part of the 1.625% notes or all or any part of the 2.125% notes on or after the applicable Par Call Date, we will pay a redemption price equal to 100% of the principal amount of the 1.000% notes, the 1.625% notes or the 2.125% notes, as applicable, being redeemed plus accrued and unpaid interest thereon.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Notwithstanding the foregoing, installments of interest on notes that are due and payable on an interest payment date falling on or prior to a redemption date will be payable on such interest payment date to the registered holders as of the close of business on the relevant record date.</w:t>
      </w:r>
    </w:p>
    <w:p>
      <w:pPr>
        <w:spacing w:after="0" w:line="19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will mail notice of any redemption at least 30 days but not more than 60 days before the redemption date to each registered holder of the notes to be redeemed. Once notice of redemption is mailed, the notes called for redemption will become due and payable on the redemption date at the applicable redemption price.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 Call Date” means March 2, 2022 for the 1.000% notes, March 2, 2026 for the 1.625% notes and March 3, 2030 for the 2.125%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“Quotation Agent” means the Reference Dealer selected by us.</w:t>
      </w:r>
    </w:p>
    <w:p>
      <w:pPr>
        <w:spacing w:after="0" w:line="225"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“Reference Dealer” means (i) each of Credit Suisse Securities (Europe) Limited, Deutsche Bank AG, London Branch and J.P. Morgan Securities plc (or their respective affiliates that are Euro Security Dealers (as defined below)), and their respective successors; provided, however, that if any of the foregoing shall cease to be a Euro securities dealer (a “Euro Security Dealer”), we will substitute therefor another Euro Security Dealer; and (ii) any other Euro Security Dealer(s) selected by us.</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“Reference Dealer Quotation” means, with respect to each Reference Dealer and any redemption date prior to the applicable Par Call Date for the 1.000% notes, the 1.625% notes and the 2.125% notes, the arithmetic average of the quotations quoted in writing to us by each Reference Dealer of the average midmarket annual yield to maturity of the 2.000% German Bundesobligationen due January 4, 2022 with respect to the 1.000% notes, the 0.500% German Bundesobligationen due February 15, 2025 with respect to the 1.625% notes and the 4.750% German Bundesobligationen due July 4, 2028 with respect to the 2.125% notes, or, if the applicable reference security is no longer outstanding, a similar security in the reasonable judgment of such Reference Dealer at 11:00 a.m. (London time) on the third business day preceding such redemption date.</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Before the redemption date, we will deposit with a paying agent (or the trustee) money sufficient to pay the redemption price of the notes of the particular series to be redeemed on that date. If fewer than all of the notes of such series are to be redeemed, the notes to be redeemed shall be selected by lot by the trustee by a method the trustee deems to be fair and appropriate.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entitled to the benefit of any mandatory redemption or sinking fund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so that the net payment by us or a paying agent of the principal of and interest on the notes to a person that is a non-U.S. holder,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 notes had no withholding or deduction been required.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obligation to pay additional amounts shall not apply:</w:t>
      </w:r>
    </w:p>
    <w:p>
      <w:pPr>
        <w:spacing w:after="0" w:line="225" w:lineRule="exact"/>
        <w:rPr>
          <w:sz w:val="20"/>
          <w:szCs w:val="20"/>
          <w:color w:val="auto"/>
        </w:rPr>
      </w:pPr>
    </w:p>
    <w:p>
      <w:pPr>
        <w:ind w:left="1300" w:right="100" w:hanging="644"/>
        <w:spacing w:after="0" w:line="262"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the beneficial owner, or a fiduciary, settlor, beneficiary or member of the beneficial owner if the</w:t>
      </w:r>
    </w:p>
    <w:p>
      <w:pPr>
        <w:sectPr>
          <w:pgSz w:w="11900" w:h="16838" w:orient="portrait"/>
          <w:cols w:equalWidth="0" w:num="1">
            <w:col w:w="11420"/>
          </w:cols>
          <w:pgMar w:left="240" w:top="571" w:right="239" w:bottom="1440" w:gutter="0" w:footer="0" w:header="0"/>
        </w:sectPr>
      </w:pPr>
    </w:p>
    <w:bookmarkStart w:id="124" w:name="page125"/>
    <w:bookmarkEnd w:id="124"/>
    <w:p>
      <w:pPr>
        <w:ind w:left="1300" w:right="600"/>
        <w:spacing w:after="0" w:line="262" w:lineRule="auto"/>
        <w:rPr>
          <w:sz w:val="20"/>
          <w:szCs w:val="20"/>
          <w:color w:val="auto"/>
        </w:rPr>
      </w:pPr>
      <w:r>
        <w:rPr>
          <w:rFonts w:ascii="Arial" w:cs="Arial" w:eastAsia="Arial" w:hAnsi="Arial"/>
          <w:sz w:val="18"/>
          <w:szCs w:val="18"/>
          <w:color w:val="auto"/>
        </w:rPr>
        <w:t>beneficial owner is an estate, trust or partnership, or a person holding a power over an estate or trust administered by a fiduciary holder:</w:t>
      </w:r>
    </w:p>
    <w:p>
      <w:pPr>
        <w:spacing w:after="0" w:line="196" w:lineRule="exact"/>
        <w:rPr>
          <w:sz w:val="20"/>
          <w:szCs w:val="20"/>
          <w:color w:val="auto"/>
        </w:rPr>
      </w:pPr>
    </w:p>
    <w:p>
      <w:pPr>
        <w:ind w:left="1620" w:right="220" w:hanging="315"/>
        <w:spacing w:after="0" w:line="250" w:lineRule="auto"/>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or was present or engaged in a trade or business in the United States or has or had a permanent establishment in the United States;</w:t>
      </w:r>
    </w:p>
    <w:p>
      <w:pPr>
        <w:ind w:left="1620" w:hanging="315"/>
        <w:spacing w:after="0"/>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or was a citizen or resident or is or was treated as a resident of the United States;</w:t>
      </w:r>
    </w:p>
    <w:p>
      <w:pPr>
        <w:spacing w:after="0" w:line="9" w:lineRule="exact"/>
        <w:rPr>
          <w:rFonts w:ascii="Arial" w:cs="Arial" w:eastAsia="Arial" w:hAnsi="Arial"/>
          <w:sz w:val="18"/>
          <w:szCs w:val="18"/>
          <w:color w:val="auto"/>
        </w:rPr>
      </w:pPr>
    </w:p>
    <w:p>
      <w:pPr>
        <w:jc w:val="both"/>
        <w:ind w:left="1620" w:right="220" w:hanging="315"/>
        <w:spacing w:after="0" w:line="250" w:lineRule="auto"/>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or was a foreign or domestic personal holding company, a passive foreign investment company or a controlled foreign corporation for the United States federal income tax purposes, is or was a corporation that has accumulated earnings to avoid United States federal income tax or is or was a private foundation or other tax-exempt organization;</w:t>
      </w:r>
    </w:p>
    <w:p>
      <w:pPr>
        <w:spacing w:after="0" w:line="1" w:lineRule="exact"/>
        <w:rPr>
          <w:rFonts w:ascii="Arial" w:cs="Arial" w:eastAsia="Arial" w:hAnsi="Arial"/>
          <w:sz w:val="18"/>
          <w:szCs w:val="18"/>
          <w:color w:val="auto"/>
        </w:rPr>
      </w:pPr>
    </w:p>
    <w:p>
      <w:pPr>
        <w:ind w:left="1620" w:right="300" w:hanging="315"/>
        <w:spacing w:after="0" w:line="250" w:lineRule="auto"/>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or was an actual or constructive “10-percent shareholder” of ours, as defined in Section 871(h)(3) of the U.S. Internal Revenue Code of 1986, as amended (the “Code”); or</w:t>
      </w:r>
    </w:p>
    <w:p>
      <w:pPr>
        <w:ind w:left="1620" w:hanging="315"/>
        <w:spacing w:after="0"/>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or was a bank receiving interest described in Section 881(c)(3)(A) of the Code;</w:t>
      </w:r>
    </w:p>
    <w:p>
      <w:pPr>
        <w:spacing w:after="0" w:line="225" w:lineRule="exact"/>
        <w:rPr>
          <w:rFonts w:ascii="Arial" w:cs="Arial" w:eastAsia="Arial" w:hAnsi="Arial"/>
          <w:sz w:val="18"/>
          <w:szCs w:val="18"/>
          <w:color w:val="auto"/>
        </w:rPr>
      </w:pPr>
    </w:p>
    <w:p>
      <w:pPr>
        <w:ind w:left="1300" w:right="160" w:hanging="644"/>
        <w:spacing w:after="0" w:line="250"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notes,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 w:lineRule="exact"/>
        <w:rPr>
          <w:rFonts w:ascii="Arial" w:cs="Arial" w:eastAsia="Arial" w:hAnsi="Arial"/>
          <w:sz w:val="18"/>
          <w:szCs w:val="18"/>
          <w:color w:val="auto"/>
        </w:rPr>
      </w:pPr>
    </w:p>
    <w:p>
      <w:pPr>
        <w:ind w:left="1300" w:right="100" w:hanging="644"/>
        <w:spacing w:after="0" w:line="250"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the beneficial owner or any other person failed to comply with certification, identification or information reporting requirements concerning the nationality, residence, identity or connection with the United States of the holder or beneficial owner of notes,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2"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other than by deduction or withholding by us or a paying agent from the payment;</w:t>
      </w:r>
    </w:p>
    <w:p>
      <w:pPr>
        <w:ind w:left="1300" w:right="220" w:hanging="644"/>
        <w:spacing w:after="0" w:line="250"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of a change in law, regulation, or administrative or judicial interpretation that becomes effective after the day on which the payment becomes due or is duly provided for, whichever occurs later;</w:t>
      </w:r>
    </w:p>
    <w:p>
      <w:pPr>
        <w:spacing w:after="0" w:line="1" w:lineRule="exact"/>
        <w:rPr>
          <w:rFonts w:ascii="Arial" w:cs="Arial" w:eastAsia="Arial" w:hAnsi="Arial"/>
          <w:sz w:val="18"/>
          <w:szCs w:val="18"/>
          <w:color w:val="auto"/>
        </w:rPr>
      </w:pPr>
    </w:p>
    <w:p>
      <w:pPr>
        <w:ind w:left="1300" w:right="640" w:hanging="644"/>
        <w:spacing w:after="0" w:line="250"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or personal property tax or any similar tax, assessment or governmental charge;</w:t>
      </w:r>
    </w:p>
    <w:p>
      <w:pPr>
        <w:ind w:left="1300" w:right="220" w:hanging="644"/>
        <w:spacing w:after="0" w:line="250"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any paying agent (which term may include us) must withhold from any payment of principal of or interest on any note, if such payment can be made without such withholding by any other paying agent;</w:t>
      </w:r>
    </w:p>
    <w:p>
      <w:pPr>
        <w:spacing w:after="0" w:line="1" w:lineRule="exact"/>
        <w:rPr>
          <w:rFonts w:ascii="Arial" w:cs="Arial" w:eastAsia="Arial" w:hAnsi="Arial"/>
          <w:sz w:val="18"/>
          <w:szCs w:val="18"/>
          <w:color w:val="auto"/>
        </w:rPr>
      </w:pPr>
    </w:p>
    <w:p>
      <w:pPr>
        <w:ind w:left="1300" w:right="60" w:hanging="644"/>
        <w:spacing w:after="0" w:line="250"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would not have been so imposed or withheld but for the presentation by the holder of a note for payment on a date more than 30 days after the date on which such payment became due and payable or the date on which payment thereof is duly provided for, whichever occurs later;</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withholding or deduction pursuant to an agreement described in Section 1471(b) of the Code or otherwise imposed pursuant to Sections 1471 through 1474 of the Code (or any regulations or agreements thereunder or official interpretations thereof) or any intergovernmental agreement between the United States and another jurisdiction facilitating the implementation thereof (or any law implementing such an intergovernmental agreement); or</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any combination of the above items.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notes are subject in all cases to any tax, fiscal or other law or regulation or administrative or judicial interpretation applicable. Except as specifically provided under this heading “-Payment of Additional Amounts” and under the heading “-Redemption Upon a Tax Event,” we do not have to make any payment with respect to any tax, assessment or governmental charge imposed by any government or a political subdivision or taxing authority.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particular, we will not pay additional amounts on any note:</w:t>
      </w:r>
    </w:p>
    <w:p>
      <w:pPr>
        <w:spacing w:after="0" w:line="225" w:lineRule="exact"/>
        <w:rPr>
          <w:sz w:val="20"/>
          <w:szCs w:val="20"/>
          <w:color w:val="auto"/>
        </w:rPr>
      </w:pPr>
    </w:p>
    <w:p>
      <w:pPr>
        <w:ind w:left="660" w:right="320" w:hanging="328"/>
        <w:spacing w:after="0" w:line="26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where withholding or deduction is imposed on a payment to an individual and is required to be made pursuant to European Council Directive 2003/48/EC or any law implementing or complying with, or introduced in order to conform to, that directive, or</w:t>
      </w:r>
    </w:p>
    <w:p>
      <w:pPr>
        <w:sectPr>
          <w:pgSz w:w="11900" w:h="16838" w:orient="portrait"/>
          <w:cols w:equalWidth="0" w:num="1">
            <w:col w:w="11380"/>
          </w:cols>
          <w:pgMar w:left="240" w:top="571" w:right="279" w:bottom="1440" w:gutter="0" w:footer="0" w:header="0"/>
        </w:sectPr>
      </w:pPr>
    </w:p>
    <w:bookmarkStart w:id="125" w:name="page126"/>
    <w:bookmarkEnd w:id="125"/>
    <w:p>
      <w:pPr>
        <w:ind w:left="660" w:right="620" w:hanging="328"/>
        <w:spacing w:after="0" w:line="262"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presented for payment by or on behalf of a beneficial owner who would have been able to avoid the withholding or deduction by presenting the relevant note to another paying agent in a member state of the European Union.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a Tax Event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(i) we become or will become obligated to pay additional amounts as described under the heading “-Payment of Additional Amounts” as a result of any change in, or amendment to, the laws (or any regulations or rulings promulgated thereunder) of the United States (or any political subdivision or taxing authority thereof or therein), or any change in, or amendment to, any official position regarding the application or interpretation of such laws, regulations or rulings, which change or amendment is announced or becomes effective on or after the date of the issuance of the notes, or (ii) a taxing authority of the United States takes an action on or after the date of the issuance of the notes, whether or not with respect to us or any of our affiliates, that results in a substantial probability that we will or may be required to pay such additional amounts, in either case, with respect to the notes for reasons outside our control and after taking reasonable measures available to us to avoid such obligation, then we may, at our option, redeem, as a whole, but not in part, each series of the notes at any time prior to maturity on not less than 30 nor more than 60 calendar days’ prior notice to the holders, at a redemption price equal to 100% of their principal amount, together with unpaid interest accrued thereon to the date fixed for redemption. No redemption pursuant to (ii) above may be made unless we shall have received an opinion of independent counsel to the effect that an act taken by a taxing authority of the United States results in a substantial probability that we will or may be required to pay the additional amounts described under the heading “-Payment of Additional Amounts” and we shall have delivered to the trustee a certificate, signed by a duly authorized officer, stating that based on such opinion, we are entitled to redeem the notes pursuant to their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may, without the consent of the holders of the notes, issue additional debt securities having the same ranking, interest rate, maturity, redemption provisions and other terms as the notes of a particular series, except for the date of original issuance and the first interest payment date applicable thereto. Any additional debt securities having such similar terms, together with the notes of such series, will constitute a single series of debt securities under the indenture.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will not, and will not permit any of our subsidiaries to, create, assume or suffer to exist any lien on restricted property to secure any of our debt, any debt of any of our subsidiaries or any debt of any other person unless we also secure the debt securities of any series having the benefit of this covenant by a lien equally and ratably with such other debt for so long as such other debt shall be so secured. The indenture contains the following exceptions to the foregoing prohibition:</w:t>
      </w:r>
    </w:p>
    <w:p>
      <w:pPr>
        <w:spacing w:after="0" w:line="204"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existing on property owned or leased by a corporation existing when such corporation becomes a subsidiary;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existing on the date of issuance of the first debt security of the particular series;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existing on property when the property was acquired by us or any of our subsidiaries;</w:t>
      </w:r>
    </w:p>
    <w:p>
      <w:pPr>
        <w:spacing w:after="0" w:line="9" w:lineRule="exact"/>
        <w:rPr>
          <w:rFonts w:ascii="Arial" w:cs="Arial" w:eastAsia="Arial" w:hAnsi="Arial"/>
          <w:sz w:val="18"/>
          <w:szCs w:val="18"/>
          <w:color w:val="auto"/>
        </w:rPr>
      </w:pPr>
    </w:p>
    <w:p>
      <w:pPr>
        <w:ind w:left="1300" w:right="100" w:hanging="644"/>
        <w:spacing w:after="0" w:line="250"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to secure debt incurred prior to, at the time of or within 12 months after the acquisition of restricted property or the completion of the construction, alteration, repair or improvement of restricted property, as the case may be, for the purpose of financing all or a part of the purchase price or cost thereof and liens to the extent they secure debt in excess of such purchase price or cost and for the payment of which recourse may be had only against such restricted property;</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liens in favor of governmental entities that are required by the provisions of any contract or statute, or any liens securing industrial development, pollution control or similar revenue bonds;</w:t>
      </w: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lien securing debt of a subsidiary owing to us or to another subsidiary;</w:t>
      </w:r>
    </w:p>
    <w:p>
      <w:pPr>
        <w:spacing w:after="0" w:line="9" w:lineRule="exact"/>
        <w:rPr>
          <w:rFonts w:ascii="Arial" w:cs="Arial" w:eastAsia="Arial" w:hAnsi="Arial"/>
          <w:sz w:val="18"/>
          <w:szCs w:val="18"/>
          <w:color w:val="auto"/>
        </w:rPr>
      </w:pPr>
    </w:p>
    <w:p>
      <w:pPr>
        <w:ind w:left="1300" w:right="80" w:hanging="644"/>
        <w:spacing w:after="0" w:line="253"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lien referred to in clauses (i) through (vi) above, inclusive, so long as (1) the principal amount of the debt secured thereby does not exceed the principal amount of debt so secured at the time of the extension, renewal or replacement (except that, where an additional principal amount of debt is incurred to provide funds for the completion of a specific project, the additional principal amount, and any related financing costs, may be secured by the lien as well)</w:t>
      </w:r>
    </w:p>
    <w:p>
      <w:pPr>
        <w:sectPr>
          <w:pgSz w:w="11900" w:h="16838" w:orient="portrait"/>
          <w:cols w:equalWidth="0" w:num="1">
            <w:col w:w="11420"/>
          </w:cols>
          <w:pgMar w:left="240" w:top="571" w:right="239" w:bottom="1440" w:gutter="0" w:footer="0" w:header="0"/>
        </w:sectPr>
      </w:pPr>
    </w:p>
    <w:bookmarkStart w:id="126" w:name="page127"/>
    <w:bookmarkEnd w:id="126"/>
    <w:p>
      <w:pPr>
        <w:ind w:left="1300" w:right="60"/>
        <w:spacing w:after="0" w:line="250" w:lineRule="auto"/>
        <w:rPr>
          <w:sz w:val="20"/>
          <w:szCs w:val="20"/>
          <w:color w:val="auto"/>
        </w:rPr>
      </w:pPr>
      <w:r>
        <w:rPr>
          <w:rFonts w:ascii="Arial" w:cs="Arial" w:eastAsia="Arial" w:hAnsi="Arial"/>
          <w:sz w:val="18"/>
          <w:szCs w:val="18"/>
          <w:color w:val="auto"/>
        </w:rPr>
        <w:t>and (2) the lien is limited to the same property subject to the lien so extended, renewed or replaced (and improvements on the property); and</w:t>
      </w:r>
    </w:p>
    <w:p>
      <w:pPr>
        <w:spacing w:after="0" w:line="1"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lien that would not otherwise be permitted by clauses (i) through (vii) above, inclusive, securing debt which, together with:</w:t>
      </w:r>
    </w:p>
    <w:p>
      <w:pPr>
        <w:spacing w:after="0" w:line="9" w:lineRule="exact"/>
        <w:rPr>
          <w:rFonts w:ascii="Arial" w:cs="Arial" w:eastAsia="Arial" w:hAnsi="Arial"/>
          <w:sz w:val="18"/>
          <w:szCs w:val="18"/>
          <w:color w:val="auto"/>
        </w:rPr>
      </w:pPr>
    </w:p>
    <w:p>
      <w:pPr>
        <w:ind w:left="1960" w:right="300" w:hanging="331"/>
        <w:spacing w:after="0" w:line="250" w:lineRule="auto"/>
        <w:tabs>
          <w:tab w:leader="none" w:pos="1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aggregate outstanding principal amount of all other debt of ours and our subsidiaries owning restricted property which would otherwise be subject to the foregoing restrictions, and</w:t>
      </w:r>
    </w:p>
    <w:p>
      <w:pPr>
        <w:ind w:left="1960" w:right="240" w:hanging="331"/>
        <w:spacing w:after="0" w:line="250" w:lineRule="auto"/>
        <w:tabs>
          <w:tab w:leader="none" w:pos="1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aggregate value of existing sale and leaseback transactions which would be subject to the foregoing restrictions absent this clause (viii),</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does not exceed 15% of our consolidated net tangible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will not, and will not permit any of our subsidiaries owning restricted property to, enter into any sale and leaseback transaction unless:</w:t>
      </w:r>
    </w:p>
    <w:p>
      <w:pPr>
        <w:spacing w:after="0" w:line="225" w:lineRule="exact"/>
        <w:rPr>
          <w:sz w:val="20"/>
          <w:szCs w:val="20"/>
          <w:color w:val="auto"/>
        </w:rPr>
      </w:pPr>
    </w:p>
    <w:p>
      <w:pPr>
        <w:jc w:val="both"/>
        <w:ind w:left="660" w:right="500" w:hanging="4"/>
        <w:spacing w:after="0" w:line="254" w:lineRule="auto"/>
        <w:tabs>
          <w:tab w:leader="none" w:pos="9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company or such subsidiary could incur debt, in a principal amount at least equal to the value of such sale and leaseback transaction, secured by a lien on the property to be leased (without equally and ratably securing the outstanding debt securities) because such lien would be of a character that no violation of the covenant described under “- Limitations on Liens” above would result; or</w:t>
      </w:r>
    </w:p>
    <w:p>
      <w:pPr>
        <w:spacing w:after="0" w:line="204" w:lineRule="exact"/>
        <w:rPr>
          <w:rFonts w:ascii="Arial" w:cs="Arial" w:eastAsia="Arial" w:hAnsi="Arial"/>
          <w:sz w:val="18"/>
          <w:szCs w:val="18"/>
          <w:color w:val="auto"/>
        </w:rPr>
      </w:pPr>
    </w:p>
    <w:p>
      <w:pPr>
        <w:ind w:left="660" w:right="140" w:hanging="4"/>
        <w:spacing w:after="0" w:line="256" w:lineRule="auto"/>
        <w:tabs>
          <w:tab w:leader="none" w:pos="9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apply, during the six months following the effective date of the sale and leaseback transaction, an amount equal to the value of the sale and leaseback transaction to the voluntary retirement of funded debt (whether by redemption, defeasance, repurchase, or otherwise) or to the acquisition of restricted property.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meanings of terms that are important in understanding the covenants previously described:</w:t>
      </w:r>
    </w:p>
    <w:p>
      <w:pPr>
        <w:spacing w:after="0" w:line="225" w:lineRule="exact"/>
        <w:rPr>
          <w:sz w:val="20"/>
          <w:szCs w:val="20"/>
          <w:color w:val="auto"/>
        </w:rPr>
      </w:pPr>
    </w:p>
    <w:p>
      <w:pPr>
        <w:ind w:left="740" w:right="120" w:hanging="327"/>
        <w:spacing w:after="0" w:line="250"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“consolidated net tangible assets” means the total assets (less applicable reserves and other properly deductible items) less current liabilities (excluding the amount of those which are by their terms extendable or renewable at the option of the obligor to a date more than 12 months after the date as of which the amount is being determined) and all goodwill, tradenames, trademarks, patents, unamortized debt discount and expense and other like intangible assets, all as set forth on our most recent consolidated balance sheet determined in accordance with generally accepted accounting principles.</w:t>
      </w:r>
    </w:p>
    <w:p>
      <w:pPr>
        <w:spacing w:after="0" w:line="2" w:lineRule="exact"/>
        <w:rPr>
          <w:rFonts w:ascii="Arial" w:cs="Arial" w:eastAsia="Arial" w:hAnsi="Arial"/>
          <w:sz w:val="18"/>
          <w:szCs w:val="18"/>
          <w:color w:val="auto"/>
        </w:rPr>
      </w:pPr>
    </w:p>
    <w:p>
      <w:pPr>
        <w:ind w:left="740" w:hanging="327"/>
        <w:spacing w:after="0" w:line="250"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“funded debt” means our indebtedness or the indebtedness of a subsidiary owning restricted property maturing by its terms more than one year after its creation and indebtedness classified as long-term debt under generally accepted accounting principles and in each case ranking at least pari passu with the debt securities.</w:t>
      </w:r>
    </w:p>
    <w:p>
      <w:pPr>
        <w:spacing w:after="0" w:line="1" w:lineRule="exact"/>
        <w:rPr>
          <w:rFonts w:ascii="Arial" w:cs="Arial" w:eastAsia="Arial" w:hAnsi="Arial"/>
          <w:sz w:val="18"/>
          <w:szCs w:val="18"/>
          <w:color w:val="auto"/>
        </w:rPr>
      </w:pPr>
    </w:p>
    <w:p>
      <w:pPr>
        <w:ind w:left="740" w:right="180" w:hanging="327"/>
        <w:spacing w:after="0" w:line="250"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“original issue discount security” means any debt security which provides for an amount less than the principal amount thereof to be due and payable upon a declaration of acceleration of maturity thereof pursuant to the indenture.</w:t>
      </w:r>
    </w:p>
    <w:p>
      <w:pPr>
        <w:ind w:left="740" w:hanging="327"/>
        <w:spacing w:after="0"/>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property” means</w:t>
      </w:r>
    </w:p>
    <w:p>
      <w:pPr>
        <w:spacing w:after="0" w:line="9" w:lineRule="exact"/>
        <w:rPr>
          <w:rFonts w:ascii="Arial" w:cs="Arial" w:eastAsia="Arial" w:hAnsi="Arial"/>
          <w:sz w:val="18"/>
          <w:szCs w:val="18"/>
          <w:color w:val="auto"/>
        </w:rPr>
      </w:pPr>
    </w:p>
    <w:p>
      <w:pPr>
        <w:ind w:left="1380" w:hanging="319"/>
        <w:spacing w:after="0" w:line="250"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manufacturing facility (or portion thereof) owned or leased by us or any of our subsidiaries and located within the continental United States which, in the opinion of our board of directors (or a committee thereof), is of material importance to our business and the business of our subsidiaries taken as a whole, but no such manufacturing facility (or portion thereof) shall be deemed of material importance if its gross book value, before deducting accumulated depreciation, is less than 2% of our consolidated net tangible assets; or</w:t>
      </w:r>
    </w:p>
    <w:p>
      <w:pPr>
        <w:spacing w:after="0" w:line="2" w:lineRule="exact"/>
        <w:rPr>
          <w:rFonts w:ascii="Arial" w:cs="Arial" w:eastAsia="Arial" w:hAnsi="Arial"/>
          <w:sz w:val="18"/>
          <w:szCs w:val="18"/>
          <w:color w:val="auto"/>
        </w:rPr>
      </w:pPr>
    </w:p>
    <w:p>
      <w:pPr>
        <w:ind w:left="1380" w:hanging="319"/>
        <w:spacing w:after="0"/>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shares of capital stock or indebtedness of any subsidiary owning any such manufacturing facility.</w:t>
      </w:r>
    </w:p>
    <w:p>
      <w:pPr>
        <w:spacing w:after="0" w:line="9" w:lineRule="exact"/>
        <w:rPr>
          <w:rFonts w:ascii="Arial" w:cs="Arial" w:eastAsia="Arial" w:hAnsi="Arial"/>
          <w:sz w:val="18"/>
          <w:szCs w:val="18"/>
          <w:color w:val="auto"/>
        </w:rPr>
      </w:pPr>
    </w:p>
    <w:p>
      <w:pPr>
        <w:ind w:left="740" w:right="20" w:hanging="327"/>
        <w:spacing w:after="0" w:line="252" w:lineRule="auto"/>
        <w:tabs>
          <w:tab w:leader="none" w:pos="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“sale and leaseback transaction” means any arrangement with any person providing for the leasing by us or any subsidiary of any restricted property which has been or is to be sold or transferred by us or such subsidiary to such person, excluding (1) temporary leases for a term, including renewals at the option of the lessee, of not more than three years, (2) leases between us and a subsidiary or between subsidiaries, (3) leases of a restricted property executed by the time of, or within 12 months after the latest of, the acquisition, the completion of construction or improvement, or the commencement of commercial operation of the restricted property, and (4) arrangements pursuant to any provision of law with an effect similar to the former Section 168(f)(8) of the Internal Revenue Code of 1954, as amended.</w:t>
      </w:r>
    </w:p>
    <w:p>
      <w:pPr>
        <w:sectPr>
          <w:pgSz w:w="11900" w:h="16838" w:orient="portrait"/>
          <w:cols w:equalWidth="0" w:num="1">
            <w:col w:w="11380"/>
          </w:cols>
          <w:pgMar w:left="240" w:top="571" w:right="279" w:bottom="1440" w:gutter="0" w:footer="0" w:header="0"/>
        </w:sectPr>
      </w:pPr>
    </w:p>
    <w:bookmarkStart w:id="127" w:name="page128"/>
    <w:bookmarkEnd w:id="127"/>
    <w:p>
      <w:pPr>
        <w:ind w:left="740" w:right="60" w:hanging="327"/>
        <w:spacing w:after="0" w:line="250"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“subsidiary” means any corporation more than 50% of the voting stock of which shall at the time be owned by us or by one or more subsidiaries or by us and one or more subsidiaries, but shall not include any corporation of which we and/or one or more subsidiaries owns directly or indirectly, less than 50% of the outstanding stock of all classes having ordinary voting power for the election of directors but more than 50% of the outstanding shares of stock of a class having by its terms ordinary voting power as a class to elect a majority of the board of directors of such corporation.</w:t>
      </w:r>
    </w:p>
    <w:p>
      <w:pPr>
        <w:spacing w:after="0" w:line="2" w:lineRule="exact"/>
        <w:rPr>
          <w:rFonts w:ascii="Arial" w:cs="Arial" w:eastAsia="Arial" w:hAnsi="Arial"/>
          <w:sz w:val="18"/>
          <w:szCs w:val="18"/>
          <w:color w:val="auto"/>
        </w:rPr>
      </w:pPr>
    </w:p>
    <w:p>
      <w:pPr>
        <w:ind w:left="740" w:right="60" w:hanging="327"/>
        <w:spacing w:after="0" w:line="253"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“value” means, with respect to a sale and leaseback transaction, an amount equal to the net present value of the lease payments with respect to the term of the lease remaining on the date as of which the amount is being determined, without regard to any renewal or extension options contained in the lease, discounted at the weighted average interest rate on the debt securities of all series (including the yield to maturity on any original issue discount securities) which are outstanding on the effective date of such sale and leaseback transaction.</w:t>
      </w:r>
    </w:p>
    <w:p>
      <w:pPr>
        <w:spacing w:after="0" w:line="20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Because the covenants described above cover only manufacturing facilities in the continental United States, our manufacturing facilities in Puerto Rico and elsewhere in the world are excluded from the operation of the covenants described above.</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are no other restrictive covenants contained in the indenture. The indenture does not contain any provision which restricts us from incurring, assuming or becoming liable with respect to any indebtedness or other obligations, whether secured or unsecured, or from paying dividends or making other distributions on our capital stock or purchasing or redeeming our capital stock. The indenture does not contain any financial ratios, or specified levels of net worth or liquidity to which we must adhere. In addition, the indenture does not contain any provision which would require that we repurchase or redeem or otherwise modify the terms of any of our debt securities upon a change in control or other events involving us which may adversely affect the creditworthiness of the debt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provides that, with respect to any series of debt securities, an event of default consists of:</w:t>
      </w:r>
    </w:p>
    <w:p>
      <w:pPr>
        <w:spacing w:after="0" w:line="225" w:lineRule="exact"/>
        <w:rPr>
          <w:sz w:val="20"/>
          <w:szCs w:val="20"/>
          <w:color w:val="auto"/>
        </w:rPr>
      </w:pPr>
    </w:p>
    <w:p>
      <w:pPr>
        <w:ind w:left="740" w:hanging="327"/>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failure to pay interest when due on any debt securities of such series, continued for 30 days;</w:t>
      </w:r>
    </w:p>
    <w:p>
      <w:pPr>
        <w:spacing w:after="0" w:line="9" w:lineRule="exact"/>
        <w:rPr>
          <w:rFonts w:ascii="Arial" w:cs="Arial" w:eastAsia="Arial" w:hAnsi="Arial"/>
          <w:sz w:val="18"/>
          <w:szCs w:val="18"/>
          <w:color w:val="auto"/>
        </w:rPr>
      </w:pPr>
    </w:p>
    <w:p>
      <w:pPr>
        <w:ind w:left="740" w:right="200" w:hanging="327"/>
        <w:spacing w:after="0" w:line="250"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failure to pay principal or premium, if any, when due (whether at maturity, upon redemption, by declaration or otherwise) on any debt securities of such series;</w:t>
      </w:r>
    </w:p>
    <w:p>
      <w:pPr>
        <w:ind w:left="740" w:right="160" w:hanging="327"/>
        <w:spacing w:after="0" w:line="250"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failure to observe or perform the covenant in the indenture described below under “Merger or Consolidation” after written notice from the trustee or holders of 25% or more in aggregate principal amount of debt securities of such series outstanding thereunder;</w:t>
      </w:r>
    </w:p>
    <w:p>
      <w:pPr>
        <w:ind w:left="740" w:right="20" w:hanging="327"/>
        <w:spacing w:after="0" w:line="250"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failure to observe or perform any of our covenants in the indenture or the debt securities of such series (other than a covenant included in the indenture or the debt securities solely for the benefit of a series of debt securities other than such series), continued for 60 days (except in the case of a violation of the covenant described below under “Merger or Consolidation”) after written notice from the trustee or the holders of 25% or more in aggregate principal amount, of debt securities of such series outstanding thereunder;</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events of our bankruptcy, insolvency or reorganization;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event of default as may be specified for such series.</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indenture provides that if an event of default with respect to any series of debt securities at the time outstanding occurs and is continuing, either the trustee or the holders of 25% or more in aggregate principal amount (or, if the debt securities of that series are original issue discount securities, such portion of the principal amount as may be specified in the terms of that series) of debt securities of such series outstanding may declare the principal amount of all debt securities of such series to be due and payable immediately. At any time after a declaration of acceleration with respect to the debt securities of any series has been made and before there has been a sale of property under a judgment or decree for the payment of moneys due, the holders of a majority in aggregate principal amount of the debt securities of such series outstanding may waive the default and rescind the declaration and its consequences if:</w:t>
      </w:r>
    </w:p>
    <w:p>
      <w:pPr>
        <w:spacing w:after="0" w:line="207"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matured installments of interest upon all the debt securities of such series;</w:t>
      </w:r>
    </w:p>
    <w:p>
      <w:pPr>
        <w:spacing w:after="0" w:line="9" w:lineRule="exact"/>
        <w:rPr>
          <w:rFonts w:ascii="Arial" w:cs="Arial" w:eastAsia="Arial" w:hAnsi="Arial"/>
          <w:sz w:val="18"/>
          <w:szCs w:val="18"/>
          <w:color w:val="auto"/>
        </w:rPr>
      </w:pPr>
    </w:p>
    <w:p>
      <w:pPr>
        <w:ind w:left="1300" w:right="640" w:hanging="320"/>
        <w:spacing w:after="0" w:line="262"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principal of and premium, if any, on any and all debt securities of such series which have become due other than by declaration;</w:t>
      </w:r>
    </w:p>
    <w:p>
      <w:pPr>
        <w:sectPr>
          <w:pgSz w:w="11900" w:h="16838" w:orient="portrait"/>
          <w:cols w:equalWidth="0" w:num="1">
            <w:col w:w="11420"/>
          </w:cols>
          <w:pgMar w:left="240" w:top="571" w:right="239" w:bottom="1440" w:gutter="0" w:footer="0" w:header="0"/>
        </w:sectPr>
      </w:pPr>
    </w:p>
    <w:bookmarkStart w:id="128" w:name="page129"/>
    <w:bookmarkEnd w:id="128"/>
    <w:p>
      <w:pPr>
        <w:ind w:left="1300" w:hanging="320"/>
        <w:spacing w:after="0" w:line="250"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interest on overdue installments of interest, to the extent legally enforceable under applicable law, and on such principal of and premium, if any, on each debt security of such series at the rate borne by such debt security to the date of such payment or deposit or yield to maturity (in the case of an original issue discount security);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expenses of the trustee, and reasonable compensation to the trustee, agents, attorneys and counsel; and</w:t>
      </w:r>
    </w:p>
    <w:p>
      <w:pPr>
        <w:spacing w:after="0" w:line="9" w:lineRule="exact"/>
        <w:rPr>
          <w:rFonts w:ascii="Arial" w:cs="Arial" w:eastAsia="Arial" w:hAnsi="Arial"/>
          <w:sz w:val="18"/>
          <w:szCs w:val="18"/>
          <w:color w:val="auto"/>
        </w:rPr>
      </w:pPr>
    </w:p>
    <w:p>
      <w:pPr>
        <w:ind w:left="980" w:right="220" w:hanging="324"/>
        <w:spacing w:after="0" w:line="262"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and all defaults under the indenture, other than the nonpayment of principal on the debt securities of such series which may have become due by declaration, have been remedied.</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indenture provides that the holders of a majority in aggregate principal amount of the debt securities of any series outstanding under the indenture may, subject to certain exceptions, direct the trustee as to the time, method and place of conducting any proceeding for any remedy available to the trustee, or exercising any power or trust conferred upon the trustee. The holders of a majority in aggregate principal amount of the debt securities of any series outstanding may on behalf of all holders of debt securities of such series waive any past default and its consequences with respect to debt securities of such series, except a default in the payment of the principal of, premium, if any, or interest, if any, on any of the debt securities of such series.</w:t>
      </w:r>
    </w:p>
    <w:p>
      <w:pPr>
        <w:spacing w:after="0" w:line="20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Holders of any debt securities of any series may not institute any proceeding to enforce the indenture or any remedy thereunder unless the trustee shall have failed to act for 60 days after a request and offer of reasonable indemnity by the holders of 25% or more in aggregate principal amount of the debt securities of such series outstanding. However, the right of any holder of any security of any series to enforce payment of the principal of or premium, if any, or interest, if any, on his debt securities when due shall not be impaired without the consent of such holder.</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trustee is required to give the holders of any debt security of any series notice of default with respect to such series known to it within 90 days after the happening of the default, unless cured before the giving of such notice. However, except for defaults in payments of the principal of or premium, if any, or interest, if any, on the debt securities of such series, the trustee may withhold notice if and so long as it determines in good faith that the withholding of such notice is in the interests of the holders of the debt securities of such series.</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are required to deliver to the trustee each year an officers’ certificate stating whether such officers have obtained knowledge of any default by our company in the performance of all covenants and, if so, specifying the nature of such default.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247"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The indenture provides that without the consent of the holders of any of the outstanding debt securities under the indenture, we may consolidate with or merge into, or transfer or lease substantially all of our assets to, any domestic corporation, association, company or business trust (as used in this subsection, a “corporation”), provided:</w:t>
      </w:r>
    </w:p>
    <w:p>
      <w:pPr>
        <w:spacing w:after="0" w:line="202" w:lineRule="exact"/>
        <w:rPr>
          <w:sz w:val="20"/>
          <w:szCs w:val="20"/>
          <w:color w:val="auto"/>
        </w:rPr>
      </w:pPr>
    </w:p>
    <w:p>
      <w:pPr>
        <w:ind w:left="740" w:right="260" w:hanging="327"/>
        <w:spacing w:after="0" w:line="250" w:lineRule="auto"/>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successor corporation assumes all of our payment obligations under the debt securities and the performance of all of our other covenants under the indenture; and</w:t>
      </w:r>
    </w:p>
    <w:p>
      <w:pPr>
        <w:ind w:left="740" w:hanging="327"/>
        <w:spacing w:after="0"/>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other conditions described in the indenture are met.</w:t>
      </w:r>
    </w:p>
    <w:p>
      <w:pPr>
        <w:spacing w:after="0" w:line="22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Although there is a limited body of case law interpreting the phrase “substantially all,” there is no precise established definition of the phrase under applicable law. As a result of this uncertainty:</w:t>
      </w:r>
    </w:p>
    <w:p>
      <w:pPr>
        <w:spacing w:after="0" w:line="196" w:lineRule="exact"/>
        <w:rPr>
          <w:sz w:val="20"/>
          <w:szCs w:val="20"/>
          <w:color w:val="auto"/>
        </w:rPr>
      </w:pPr>
    </w:p>
    <w:p>
      <w:pPr>
        <w:jc w:val="both"/>
        <w:ind w:left="980" w:right="80" w:hanging="648"/>
        <w:spacing w:after="0" w:line="250"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could be a disagreement between us and the holders of debt securities over whether, as a condition to a transfer or lease of our assets, the successor entity is required to assume our obligations under the indenture and, consequently, whether a failure to assume such obligations would result in an event of default under the indenture;</w:t>
      </w:r>
    </w:p>
    <w:p>
      <w:pPr>
        <w:spacing w:after="0" w:line="1" w:lineRule="exact"/>
        <w:rPr>
          <w:rFonts w:ascii="Arial" w:cs="Arial" w:eastAsia="Arial" w:hAnsi="Arial"/>
          <w:sz w:val="18"/>
          <w:szCs w:val="18"/>
          <w:color w:val="auto"/>
        </w:rPr>
      </w:pPr>
    </w:p>
    <w:p>
      <w:pPr>
        <w:ind w:left="980" w:right="240" w:hanging="648"/>
        <w:spacing w:after="0" w:line="250"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event that the holders of debt securities attempt to declare an event of default and exercise their acceleration rights under the indenture in such circumstances and we contest such action, there can be no assurance as to how a court interpreting applicable law would interpret the phrase “substantially all”; and</w:t>
      </w:r>
    </w:p>
    <w:p>
      <w:pPr>
        <w:spacing w:after="0" w:line="1" w:lineRule="exact"/>
        <w:rPr>
          <w:rFonts w:ascii="Arial" w:cs="Arial" w:eastAsia="Arial" w:hAnsi="Arial"/>
          <w:sz w:val="18"/>
          <w:szCs w:val="18"/>
          <w:color w:val="auto"/>
        </w:rPr>
      </w:pPr>
    </w:p>
    <w:p>
      <w:pPr>
        <w:ind w:left="980" w:hanging="648"/>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may be difficult for holders to debt securities to declare an event of default and exercise their acceleration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Legal Defeasance and Covenant Defeasance</w:t>
      </w:r>
    </w:p>
    <w:p>
      <w:pPr>
        <w:sectPr>
          <w:pgSz w:w="11900" w:h="16838" w:orient="portrait"/>
          <w:cols w:equalWidth="0" w:num="1">
            <w:col w:w="11360"/>
          </w:cols>
          <w:pgMar w:left="240" w:top="571" w:right="299" w:bottom="1440" w:gutter="0" w:footer="0" w:header="0"/>
        </w:sectPr>
      </w:pPr>
    </w:p>
    <w:bookmarkStart w:id="129" w:name="page130"/>
    <w:bookmarkEnd w:id="129"/>
    <w:p>
      <w:pPr>
        <w:ind w:right="100"/>
        <w:spacing w:after="0" w:line="252" w:lineRule="auto"/>
        <w:rPr>
          <w:sz w:val="20"/>
          <w:szCs w:val="20"/>
          <w:color w:val="auto"/>
        </w:rPr>
      </w:pPr>
      <w:r>
        <w:rPr>
          <w:rFonts w:ascii="Arial" w:cs="Arial" w:eastAsia="Arial" w:hAnsi="Arial"/>
          <w:sz w:val="18"/>
          <w:szCs w:val="18"/>
          <w:color w:val="auto"/>
        </w:rPr>
        <w:t>We may discharge certain obligations to holders of any series of debt securities that have not already been delivered to the trustee for cancellation and that either have become due and payable or will become due and payable within one year (or are to be called for redemption within one year under arrangements satisfactory to the trustee for the giving of notice) by irrevocably depositing with the trustee, in trust, funds in the currency or currencies in which those debt securities are payable in an amount sufficient to pay the entire indebtedness on those debt securities in respect of principal, premium, if any, and interest to the date of that deposit (if those debt securities have become due and payable) or to the maturity date, as the case may be.</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At our option, we may be discharged, subject to certain terms and conditions, from any and all obligations in respect of the debt securities of any series (except for certain obligations to register the transfer and exchange of debt securities, replace stolen, lost or mutilated debt securities and coupons, maintain paying agencies and hold moneys for payment in trust) or need not comply with certain restrictive covenants of the indenture if:</w:t>
      </w:r>
    </w:p>
    <w:p>
      <w:pPr>
        <w:spacing w:after="0" w:line="204" w:lineRule="exact"/>
        <w:rPr>
          <w:sz w:val="20"/>
          <w:szCs w:val="20"/>
          <w:color w:val="auto"/>
        </w:rPr>
      </w:pPr>
    </w:p>
    <w:p>
      <w:pPr>
        <w:ind w:left="980" w:right="20" w:hanging="324"/>
        <w:spacing w:after="0" w:line="250" w:lineRule="auto"/>
        <w:tabs>
          <w:tab w:leader="none" w:pos="9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have deposited with the trustee, in trust, money, and in the case of debt securities and coupons denominated in U.S. dollars, U.S. government obligations or, in the case of debt securities and coupons denominated in a foreign currency, foreign currency government securities, which through the payment of interest thereon and principal thereof in accordance with their terms will provide money or a combination of money, and either U.S. government securities or foreign currency government securities, as the case may be, in an amount sufficient to pay in the currency in which the debt securities are payable all the principal of and premium, if any, and interest on the debt securities on the date such payments are due in accordance with the debt securities;</w:t>
      </w:r>
    </w:p>
    <w:p>
      <w:pPr>
        <w:spacing w:after="0" w:line="2" w:lineRule="exact"/>
        <w:rPr>
          <w:rFonts w:ascii="Arial" w:cs="Arial" w:eastAsia="Arial" w:hAnsi="Arial"/>
          <w:sz w:val="18"/>
          <w:szCs w:val="18"/>
          <w:color w:val="auto"/>
        </w:rPr>
      </w:pPr>
    </w:p>
    <w:p>
      <w:pPr>
        <w:ind w:left="980" w:right="40" w:hanging="324"/>
        <w:spacing w:after="0" w:line="250" w:lineRule="auto"/>
        <w:tabs>
          <w:tab w:leader="none" w:pos="9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no event of default or event which with notice or lapse of time would become an event of default shall have occurred and be continuing on the date of such deposit, (ii) no event of default relating to our bankruptcy, insolvency or reorganization, or event which with notice or lapse of time or both would become such an event of default, shall have occurred within 90 days after the date of such deposit, and (iii) such deposit and discharge will not result in any default or event of default under any material indenture, agreement or other instrument binding upon us or any of our properties;</w:t>
      </w:r>
    </w:p>
    <w:p>
      <w:pPr>
        <w:spacing w:after="0" w:line="2" w:lineRule="exact"/>
        <w:rPr>
          <w:rFonts w:ascii="Arial" w:cs="Arial" w:eastAsia="Arial" w:hAnsi="Arial"/>
          <w:sz w:val="18"/>
          <w:szCs w:val="18"/>
          <w:color w:val="auto"/>
        </w:rPr>
      </w:pPr>
    </w:p>
    <w:p>
      <w:pPr>
        <w:ind w:left="980" w:right="20" w:hanging="324"/>
        <w:spacing w:after="0" w:line="250" w:lineRule="auto"/>
        <w:tabs>
          <w:tab w:leader="none" w:pos="9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deposit and discharge will not cause the holders of the debt securities of such series to recognize income, gain or loss for federal income tax purposes and that such holders will be subject to federal income tax in the same amounts, manner and time had such deposit and discharge not occurred; and</w:t>
      </w:r>
    </w:p>
    <w:p>
      <w:pPr>
        <w:spacing w:after="0" w:line="1" w:lineRule="exact"/>
        <w:rPr>
          <w:rFonts w:ascii="Arial" w:cs="Arial" w:eastAsia="Arial" w:hAnsi="Arial"/>
          <w:sz w:val="18"/>
          <w:szCs w:val="18"/>
          <w:color w:val="auto"/>
        </w:rPr>
      </w:pPr>
    </w:p>
    <w:p>
      <w:pPr>
        <w:ind w:left="980" w:hanging="324"/>
        <w:spacing w:after="0" w:line="256" w:lineRule="auto"/>
        <w:tabs>
          <w:tab w:leader="none" w:pos="9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from our counsel stating that we have complied with all conditions precedent set forth in the indenture or the applicable supplemental indenture relating to the satisfaction and discharge of the indebtedness of the series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indenture contains provisions permitting us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Deutsche Bank Trust Company Americas is the current trustee under the indenture. The trustee may acquire and hold debt securities and, subject to certain conditions, otherwise deal with us as if it were not trustee under the indenture. The trustee and its affiliates have in the past provided, and may from time to time in the future provide, trustee, commercial banking, investment banking and other services to us in the ordinary course of their respective businesses for which they have received, and will receive, customary compensation.</w:t>
      </w:r>
    </w:p>
    <w:p>
      <w:pPr>
        <w:sectPr>
          <w:pgSz w:w="11900" w:h="16838" w:orient="portrait"/>
          <w:cols w:equalWidth="0" w:num="1">
            <w:col w:w="11400"/>
          </w:cols>
          <w:pgMar w:left="240" w:top="787" w:right="259" w:bottom="1440" w:gutter="0" w:footer="0" w:header="0"/>
        </w:sectPr>
      </w:pPr>
    </w:p>
    <w:bookmarkStart w:id="130" w:name="page131"/>
    <w:bookmarkEnd w:id="130"/>
    <w:p>
      <w:pPr>
        <w:spacing w:after="0" w:line="254" w:lineRule="auto"/>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Exhibit 4.5 Description of the Company’s 6.77% notes due 2036</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following summary of Eli Lilly and Company’s above referenced debt securities is based on and qualified by the indenture, dated as of February 1, 1991, between us and Deutsche Bank Trust Company Americas (as successor to Citibank, N.A.), as trustee and the form of 6.77% notes due January 2036 (the “notes”). For a complete description of the terms of the notes, refer to the indenture, the form of officers’ certificate setting forth the terms and forms of the notes, all of which are filed as exhibits to the Form 8-A filed with the Securities and Exchange Commission on January 10, 1996. Throughout this exhibit, references to “we,” “the Company,” “our,” and “us” refer to Eli Lilly and Company, unless otherwise indicated.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9" w:lineRule="exact"/>
        <w:rPr>
          <w:sz w:val="20"/>
          <w:szCs w:val="20"/>
          <w:color w:val="auto"/>
        </w:rPr>
      </w:pPr>
    </w:p>
    <w:p>
      <w:pPr>
        <w:ind w:left="660" w:right="100" w:hanging="328"/>
        <w:spacing w:after="0" w:line="250"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were issued in an aggregate initial principal amount of $300,000,000, of which $174,445,000 remains outstanding as of December 31, 2019;</w:t>
      </w: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mature on January 1, 2036;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bear interest at a rate of 6.77%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rank equally with all of our other present and future unsecured and unsubordinated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issued as a separate series under the indenture, in registered, book-entry form only;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indenture and the notes do not limit the amount of indebtedness which may be incurred or the amount of securities which may be issued by us or our subsidiaries, and contain no financial or similar restrictions on us or our subsidiaries, except as described under the caption “Certain Covenants.”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notes will bear interest from January 1, 1996 at a rate of 6.77% per annum. Interest will be payable semi-annually on January 1 and July 1 of each year, beginning July 1, 1996, to the persons in whose names the notes (or any predecessor notes) are registered at the close of business on December 15 or June 15 preceding such January 1 or July 1, and may be paid at the option of the Company by checks mailed to such persons at their registered addresses.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4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notes will be redeemable in whole or in part, at the option of the Company at any time, at a redemption price equal to the greater of (i) 100% of their principal amount or (ii) the sum of the present values of the remaining scheduled payments of principal and interest thereon discounted to the date of redemption on a semiannual basis (assuming a 360-day year consisting of twelve 30-day months) at the Treasury Yield, plus in each case accrued interest to the date of redemption.</w:t>
      </w:r>
    </w:p>
    <w:p>
      <w:pPr>
        <w:spacing w:after="0" w:line="20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'Treasury Yield'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notes, which prior to 2007 will be deemed to be a 30-year Treasury security, that would be utilized, at the time of selection and in accordance with customary financial practice, in pricing new issues of corporate debt securities of comparable maturity to the remaining term of the notes.</w:t>
      </w:r>
    </w:p>
    <w:p>
      <w:pPr>
        <w:spacing w:after="0" w:line="20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'Independent Investment Banker' means Morgan Stanley &amp; Co. Incorporated or, if such firm is unwilling or unable to select the Comparable Treasury Issue, an independent investment banking institution of national standing appointed by the Trustee.</w:t>
      </w:r>
    </w:p>
    <w:p>
      <w:pPr>
        <w:sectPr>
          <w:pgSz w:w="11900" w:h="16838" w:orient="portrait"/>
          <w:cols w:equalWidth="0" w:num="1">
            <w:col w:w="11400"/>
          </w:cols>
          <w:pgMar w:left="240" w:top="765" w:right="259" w:bottom="1440" w:gutter="0" w:footer="0" w:header="0"/>
        </w:sectPr>
      </w:pPr>
    </w:p>
    <w:bookmarkStart w:id="132" w:name="page133"/>
    <w:bookmarkEnd w:id="132"/>
    <w:p>
      <w:pPr>
        <w:spacing w:after="0" w:line="253" w:lineRule="auto"/>
        <w:rPr>
          <w:sz w:val="20"/>
          <w:szCs w:val="20"/>
          <w:color w:val="auto"/>
        </w:rPr>
      </w:pPr>
      <w:r>
        <w:rPr>
          <w:rFonts w:ascii="Arial" w:cs="Arial" w:eastAsia="Arial" w:hAnsi="Arial"/>
          <w:sz w:val="18"/>
          <w:szCs w:val="18"/>
          <w:color w:val="auto"/>
        </w:rPr>
        <w:t>'Comparable Treasury Price' means, with respect to any redemption date, (i) the average of the bid and asked prices for the Comparable Treasury Issue (expressed in each case as a percentage of its principal amount) on the third business day preceding such redemption date, as set forth in the daily statistical release (or any successor release) published by the Federal Reserve Bank of New York and designated 'Composite 3:30 p.m. Quotations for U.S. Government Securities' or (ii) if such release (or any successor release) is not published or does not contain such prices on such business day, the average of the Reference Treasury Dealer Quotations for such redemption date.</w:t>
      </w:r>
    </w:p>
    <w:p>
      <w:pPr>
        <w:spacing w:after="0" w:line="20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redemption date.</w:t>
      </w:r>
    </w:p>
    <w:p>
      <w:pPr>
        <w:spacing w:after="0" w:line="20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'Reference Treasury Dealer' means each of Morgan Stanley &amp; Co. Incorporated, Goldman, Sachs &amp; Co. and J.P. Morgan Securities Inc. and their respective successors; provided however, that if any of the foregoing shall cease to be a primary U.S. Government securities dealer in New York City (a 'Primary Treasury Dealer'), the Company shall substitute therefor another Primary Treasury Dealer.</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Holders of notes to be redeemed will receive notice thereof by first-class mail at least 30 and not more than 60 days prior to the date fixed for redemption.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indenture contains a covenant by the Company not to create, assume or suffer to exist any lien on any Restricted Property (described below) to secure any debt of the Company, any subsidiary or any other person, or permit any subsidiary to do so, without securing the Indenture Securities of any series having the benefit of the covenant by such lien equally and ratably with such debt for so long as such debt shall be so secured, subject to certain exceptions specified in the indenture. Exceptions include: (a) existing liens or liens on facilities of corporations at the time they become subsidiaries; (b) liens existing on facilities when acquired, or incurred to finance the purchase price, construction or improvement thereof; (c) certain liens in favor of or required by contracts with governmental entities; and (d) liens otherwise prohibited by such covenant, securing indebtedness which, together with the aggregate amount of outstanding indebtedness secured by liens otherwise prohibited by such covenant and the value of certain sale and leaseback transactions, does not exceed 15% of the Company's consolidated net tangible assets (defined in the indenture as total assets less current liabilities and intangible assets).</w:t>
      </w:r>
    </w:p>
    <w:p>
      <w:pPr>
        <w:spacing w:after="0" w:line="2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indenture also contains a covenant by the Company not to, and not to permit any subsidiary to, enter into any sale and leaseback transaction covering any Restricted Property unless (a) the Company would be entitled under the provisions described above to incur debt equal to the value of such sale and leaseback transaction, secured by liens on the facilities to be leased, without equally and ratably securing the notes and other unsecured debt securities of the Company issued under the indenture (collectively, the “Indenture Securities”), or (b) the Company, during the six months following the effective date of such sale and leaseback transaction, applies an amount equal to the value of such sale and leaseback transaction to the voluntary retirement of long-term indebtedness or to the acquisition of Restricted Property.</w:t>
      </w:r>
    </w:p>
    <w:p>
      <w:pPr>
        <w:spacing w:after="0" w:line="20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indenture defines Restricted Property as (a) any manufacturing facility (or portion thereof) owned or leased by the Company or any subsidiary and located within the continental United States which, in the opinion of the Board of Directors, is of material importance to the business of the Company and its subsidiaries taken as a whole, but no such manufacturing facility (or portion thereof) shall be deemed of material importance if its gross book value (before deducting accumulated depreciation) is less than 2% of the Company's consolidated net tangible assets, or (b) any shares of capital stock or indebtedness of any subsidiary owning any such manufacturing facility.</w:t>
      </w:r>
    </w:p>
    <w:p>
      <w:pPr>
        <w:spacing w:after="0" w:line="20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Because the covenants described above cover only manufacturing facilities in the continental United States, the Company's manufacturing facilities in Puerto Rico are excluded from the operation of the covenants.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are no other restrictive covenants contained in the indenture. The indenture does not contain any provision which will restrict the Company from incurring, assuming or becoming liable with respect to any indebtedness or other obligations, whether secured or unsecured, or from paying dividends or making other distributions on its</w:t>
      </w:r>
    </w:p>
    <w:p>
      <w:pPr>
        <w:sectPr>
          <w:pgSz w:w="11900" w:h="16838" w:orient="portrait"/>
          <w:cols w:equalWidth="0" w:num="1">
            <w:col w:w="11360"/>
          </w:cols>
          <w:pgMar w:left="240" w:top="787" w:right="299" w:bottom="1440" w:gutter="0" w:footer="0" w:header="0"/>
        </w:sectPr>
      </w:pPr>
    </w:p>
    <w:bookmarkStart w:id="133" w:name="page134"/>
    <w:bookmarkEnd w:id="133"/>
    <w:p>
      <w:pPr>
        <w:ind w:right="40"/>
        <w:spacing w:after="0" w:line="254" w:lineRule="auto"/>
        <w:rPr>
          <w:sz w:val="20"/>
          <w:szCs w:val="20"/>
          <w:color w:val="auto"/>
        </w:rPr>
      </w:pPr>
      <w:r>
        <w:rPr>
          <w:rFonts w:ascii="Arial" w:cs="Arial" w:eastAsia="Arial" w:hAnsi="Arial"/>
          <w:sz w:val="18"/>
          <w:szCs w:val="18"/>
          <w:color w:val="auto"/>
        </w:rPr>
        <w:t>capital stock or purchasing or redeeming its capital stock. The indenture does not contain any financial ratios, or specified levels of net worth or liquidity to which the Company must adhere. In addition, the indenture does not contain any provision which would require that the Company repurchase or redeem or otherwise modify the terms of any of its Indenture Securities upon a highly-leveraged transaction, reorganization, restructuring, merger or similar transaction involving the Company which may adversely affect the creditworthiness of the Indenture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and Certain Rights on Default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indenture provides that upon the happening of any Event of Default with respect to any series of Indenture Securities specified therein (unless it is inapplicable to such series of Indenture Securities or it is specifically deleted in the supplemental indenture or board resolution under which such series of Indenture Securities is issued or has been modified in any such supplemental indenture), including (i) failure to pay interest when due on the Indenture Securities of such series outstanding thereunder, continued for 30 days; (ii) failure to pay principal or premium, if any, when due (whether at maturity, declaration or otherwise) on the Indenture Securities of such series outstanding thereunder; (iii) failure to observe or perform any covenant of the Company in the indenture or the Indenture Securities of such series (other than a covenant included in the Indenture or the Indenture Securities solely for the benefit of a series of Indenture Securities other than such series), continued for 60 days after written notice from the Trustee or the holders of 25% or more in aggregate principal amount of the Indenture Securities of such series outstanding thereunder; (iv) certain events of bankruptcy, insolvency or reorganization; and (v) any other Event of Default as may be specified for such series, the Trustee or the holders of 25% or more in aggregate principal amount of Indenture Securities of such series outstanding thereunder may declare the principal amount of all Indenture Securities of such series to be due and payable immediately, but if all defaults with respect to Indenture Securities of such series (other than non-payment of accelerated principal) are cured and there has been no sale of property under any judgment or decree for the payment of moneys due which shall have been obtained or entered, the holders of a majority in aggregate principal amount of the Indenture Securities of such series outstanding thereunder may waive the default and rescind the declaration and its consequences.</w:t>
      </w: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indenture provides that the holders of a majority in aggregate principal amount of the Indenture Securities of any series outstanding thereunder may, subject to certain exceptions, direct the time, method and place of conducting any proceeding for any remedy available to, or exercising any power or trust conferred upon, the Trustee with respect to Indenture Securities of such series and may on behalf of all holders of Indenture Securities of such series waive any past default and its consequences with respect to Indenture Securities of such series, except a default in the payment of the principal of, premium, if any, or interest, if any, on any of the Indenture Securities of such series.</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Holders of any Indenture Security of any series may not institute any proceeding to enforce the Indenture unless the Trustee shall have refused or neglected to act for 60 days after a request and offer of satisfactory indemnity by the holders of 25% or more in aggregate principal amount of the Indenture Securities of such series outstanding thereunder, but the right of any holder of any Indenture Security of any series to enforce payment of the principal of, premium, if any, or interest, if any, on his Indenture Securities when due shall not be impaired without the consent of such holder.</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Trustee is required to give the holders of any Indenture Security of any series notice of default with respect to such series (Events of Default summarized above, exclusive of any grace period and irrespective of any requirement that notice of default be given) known to it within 90 days after the happening thereof, unless cured before the giving of such notice, but, except for defaults in payments of the principal of, premium, if any, or interest, if any, on the Indenture Securities of such series, the Trustee may withhold notice if and so long as it determines in good faith that the withholding of such notice is in the interests of the holders of the Indenture Securities of such series.</w:t>
      </w:r>
    </w:p>
    <w:p>
      <w:pPr>
        <w:spacing w:after="0" w:line="2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Company is required to deliver to the Trustee each year an officers' certificate stating whether such officers have obtained knowledge of any default by the Company in the performance of certain covenants and, if so, specifying such default and the nature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without the consent of the holders of any of the outstanding Indenture Securities under the indenture, may consolidate or merge with or into, or transfer or lease substantially all of its assets to, any Person</w:t>
      </w:r>
    </w:p>
    <w:p>
      <w:pPr>
        <w:sectPr>
          <w:pgSz w:w="11900" w:h="16838" w:orient="portrait"/>
          <w:cols w:equalWidth="0" w:num="1">
            <w:col w:w="11420"/>
          </w:cols>
          <w:pgMar w:left="240" w:top="571" w:right="239" w:bottom="1440" w:gutter="0" w:footer="0" w:header="0"/>
        </w:sectPr>
      </w:pPr>
    </w:p>
    <w:bookmarkStart w:id="134" w:name="page135"/>
    <w:bookmarkEnd w:id="134"/>
    <w:p>
      <w:pPr>
        <w:spacing w:after="0" w:line="253" w:lineRule="auto"/>
        <w:rPr>
          <w:sz w:val="20"/>
          <w:szCs w:val="20"/>
          <w:color w:val="auto"/>
        </w:rPr>
      </w:pPr>
      <w:r>
        <w:rPr>
          <w:rFonts w:ascii="Arial" w:cs="Arial" w:eastAsia="Arial" w:hAnsi="Arial"/>
          <w:sz w:val="18"/>
          <w:szCs w:val="18"/>
          <w:color w:val="auto"/>
        </w:rPr>
        <w:t>(as such term is defined in the indenture) that is a corporation organized and validly existing under the laws of any domestic jurisdiction, or may permit any such Person to consolidate with or merge into the Company or convey, transfer or lease substantially all of its assets to the Company, provided (a) that any successor Person assumes the Company's obligations on the Indenture Securities under the indenture, (b) that after giving effect to the transaction, no Event of Default, and no event which, after notice or lapse of time, would become an Event of Default, shall have occurred and be continuing, and (c) that certain other conditions are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4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Company at its option (a) will be Discharged (as such term is defined in the indenture) from any and all obligations in respect of the notes (except for certain obligations to register the transfer and exchange of notes, replace stolen, lost or mutilated notes and coupons, maintain paying agencies and hold moneys for payment in trust) or (b) need not comply with certain restrictive covenants of the indenture, in each case after the Company deposits with the Trustee thereunder, in trust, money or U.S. Government Obligations (as such term is defined in the indenture) which through the payment of interest thereon and</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principal thereof in accordance with their terms will provide money, or a combination of money and U.S. Government Obligations, in an amount sufficient to pay all the principal of, and interest on, the notes on the dates such payments are due in accordance with the terms of the notes. Among the conditions to the Company's exercising any such option, the Company is required to deliver to the Trustee an opinion of independent counsel to the effect that the deposit and related defeasance would not cause the holders of the notes to recognize income, gain or loss for United States Federal income tax purposes and that the holders will be subject to United States Federal income tax in the same amounts in the same manner and at the same times as would have been the case if such deposit and related defeasance had not occurred.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w:t>
      </w:r>
    </w:p>
    <w:p>
      <w:pPr>
        <w:spacing w:after="0" w:line="247"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The indenture contains provisions permitting the Company and the Trustee, without the consent of the holders of the Indenture Securities, to establish, among other things, the form and terms of any series of Indenture Securities issuable thereunder by one or more supplemental indentures, to add covenants and to provide for security for the Indenture Securities, and, with the consent of the holders of not less than a majority of the aggregate principal amount of the Indenture Securities of any series at the time outstanding, evidenced as in the indenture provided, to execute supplemental indentures adding any provisions to or changing in any manner or eliminating any of the provisions of the Indenture or of any supplemental indenture with respect to Indenture Securities of such series or modifying in any manner the rights of the holders of the Indenture Securities of such series; provided, however, that no such supplemental indenture shall (i) extend the</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fixed maturity, or the earlier optional date of maturity, if any, of any Indenture Security of a particular series or reduce the principal amount thereof or the premium thereon, if any, or reduce the rate or extend the time of payment of interest, if any, thereon, or make the principal thereof or premium, if any, or interest, if any, thereon payable in any currency or currency unit other than as provided pursuant to the indenture or in the Indenture Securities of such series, without the consent of the holder of each Indenture Security so affected, or (ii) reduce the aforesaid percentage of Indenture Securities of any series, the holders of which are required to consent to any such supplemental indenture, without the consent of the holders of all Indenture Securities of such series outstanding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Deutsche Bank Trust Company Americas is the current Trustee under the indenture. The Trustee may acquire and hold Indenture Securities and, subject to certain conditions, otherwise deal with us as if it were not trustee under the indenture. The Trustee and its affiliates have in the past provided, and may from time to time in the future provide, trustee, commercial banking, investment banking and other services to us in the ordinary course of their respective businesses for which they have received, and will receive, customary compensation.</w:t>
      </w:r>
    </w:p>
    <w:p>
      <w:pPr>
        <w:sectPr>
          <w:pgSz w:w="11900" w:h="16838" w:orient="portrait"/>
          <w:cols w:equalWidth="0" w:num="1">
            <w:col w:w="11400"/>
          </w:cols>
          <w:pgMar w:left="240" w:top="571"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Exhibit 4.6 Description of the Company’s 7 1/8 % notes due 2025</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The following summary of Eli Lilly and Company’s above referenced debt securities is based on and qualified by the indenture, dated as of February 1, 1991, between us and Deutsche Bank Trust Company Americas (as successor to Citibank, N.A.), as trustee and form of 7 1/8% notes due 2025 (the “notes”). For a complete description of the terms of the notes, refer to the indenture, the form of officers’ certificate setting forth the terms and forms of the notes, all of which are filed as exhibits to the Form 8-A filed with the Securities and Exchange Commission on June 9, 1995. Throughout this exhibit, references to “we,” “the Company,” “our,” and “us” refer to Eli Lilly and Company, unless otherwise indicated.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9" w:lineRule="exact"/>
        <w:rPr>
          <w:sz w:val="20"/>
          <w:szCs w:val="20"/>
          <w:color w:val="auto"/>
        </w:rPr>
      </w:pPr>
    </w:p>
    <w:p>
      <w:pPr>
        <w:ind w:left="660" w:right="100" w:hanging="328"/>
        <w:spacing w:after="0" w:line="250"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were issued in an aggregate initial principal amount of $500,000,000, of which $229,692,000 remains outstanding as of December 31, 2019;</w:t>
      </w: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mature on June 1, 2025;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bear interest at a rate of 7 1/8%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rank equally with all of our other present and future unsecured and unsubordinated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issued as a separate series under the indenture, in registered, book-entry form only;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indenture and the notes do not limit the amount of indebtedness which may be incurred or the amount of securities which may be issued by us or our subsidiaries, and contain no financial or similar restrictions on us or our subsidiaries, except as described under the caption “Certain Covenants.”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notes will bear interest from June 1, 1995 at a rate of 7 1/8% per annum. Interest will be payable semi-annually on June 1 and December 1 of each year, beginning December 1, 1995, to the persons in whose names the notes (or any predecessor notes) are registered at the close of business on May 15 or November 15 preceding such June 1 or December 1, and may be paid at the option of the Company by checks mailed to such persons at their registered addresses.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4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indenture contains a covenant by the Company not to create, assume or suffer to exist any lien on any Restricted Property (described below) to secure any debt of the Company, any subsidiary or any other person, or permit any subsidiary to do so, without securing the Indenture Securities of any series having the benefit of the covenant by such lien equally and ratably with such debt for so long as such debt shall be so secured, subject to certain exceptions specified in the indenture. Exceptions include: (a) existing liens or liens on facilities of corporations at the time they become subsidiaries; (b) liens existing on facilities when acquired, or incurred to finance the purchase price, construction or improvement thereof; (c) certain liens in favor of or required by contracts with governmental entities; and (d) liens otherwise prohibited by such covenant, securing indebtedness which, together with the aggregate amount of outstanding indebtedness secured by liens otherwise prohibited by such covenant and the value of certain sale and leaseback transactions, does not exceed 15% of the Company's consolidated net tangible assets (defined in the indenture as total assets less current liabilities and intangible assets).</w:t>
      </w:r>
    </w:p>
    <w:p>
      <w:pPr>
        <w:spacing w:after="0" w:line="21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indenture also contains a covenant by the Company not to, and not to permit any subsidiary to, enter into any sale and leaseback transaction covering any Restricted Property unless (a) the Company would be entitled under the provisions described above to incur debt equal to the value of such sale and leaseback transaction, secured by liens on the facilities to be leased, without equally and ratably securing the notes and other unsecured debt securities of the Company issued under the indenture (collectively, the “Indenture Securities”), or (b) the Company, during the six months following the effective date of such sale and leaseback transaction, applies an amount equal to the value of such sale and leaseback transaction to the voluntary retirement of long-term indebtedness or to the acquisition of Restricted Property.</w:t>
      </w:r>
    </w:p>
    <w:p>
      <w:pPr>
        <w:sectPr>
          <w:pgSz w:w="11900" w:h="16838" w:orient="portrait"/>
          <w:cols w:equalWidth="0" w:num="1">
            <w:col w:w="11400"/>
          </w:cols>
          <w:pgMar w:left="240" w:top="549" w:right="259" w:bottom="1440" w:gutter="0" w:footer="0" w:header="0"/>
        </w:sectPr>
      </w:pPr>
    </w:p>
    <w:bookmarkStart w:id="136" w:name="page137"/>
    <w:bookmarkEnd w:id="136"/>
    <w:p>
      <w:pPr>
        <w:ind w:right="380"/>
        <w:spacing w:after="0" w:line="253" w:lineRule="auto"/>
        <w:rPr>
          <w:sz w:val="20"/>
          <w:szCs w:val="20"/>
          <w:color w:val="auto"/>
        </w:rPr>
      </w:pPr>
      <w:r>
        <w:rPr>
          <w:rFonts w:ascii="Arial" w:cs="Arial" w:eastAsia="Arial" w:hAnsi="Arial"/>
          <w:sz w:val="18"/>
          <w:szCs w:val="18"/>
          <w:color w:val="auto"/>
        </w:rPr>
        <w:t>The indenture defines Restricted Property as (a) any manufacturing facility (or portion thereof) owned or leased by the Company or any subsidiary and located within the continental United States which, in the opinion of the Board of Directors, is of material importance to the business of the Company and its subsidiaries taken as a whole, but no such manufacturing facility (or portion thereof) shall be deemed of material importance if its gross book value (before deducting accumulated depreciation) is less than 2% of the Company's consolidated net tangible assets, or (b) any shares of capital stock or indebtedness of any subsidiary owning any such manufacturing facility.</w:t>
      </w:r>
    </w:p>
    <w:p>
      <w:pPr>
        <w:spacing w:after="0" w:line="20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Because the covenants described above cover only manufacturing facilities in the continental United States, the Company's manufacturing facilities in Puerto Rico are excluded from the operation of the covenants.</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There are no other restrictive covenants contained in the indenture. The indenture does not contain any provision which will restrict the Company from incurring, assuming or becoming liable with respect to any indebtedness or other obligations, whether secured or unsecured, or from paying dividends or making other distributions on its capital stock or purchasing or redeeming its capital stock. The indenture does not contain any financial ratios, or specified levels of net worth or liquidity to which the Company must adhere. In addition, the indenture does not contain any provision which would require that the Company repurchase or redeem or otherwise modify the terms of any of its Indenture Securities upon a highly-leveraged transaction, reorganization, restructuring, merger or similar transaction involving the Company which may adversely affect the creditworthiness of the Indenture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and Certain Rights on Default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indenture provides that upon the happening of any Event of Default with respect to any series of Indenture Securities specified therein (unless it is inapplicable to such series of Indenture Securities or it is specifically deleted in the supplemental indenture or board resolution under which such series of Indenture Securities is issued or has been modified in any such supplemental indenture), including (i) failure to pay interest when due on the Indenture Securities of such series outstanding thereunder, continued for 30 days; (ii) failure to pay principal or premium, if any, when due (whether at maturity, declaration or otherwise) on the Indenture Securities of such series outstanding thereunder; (iii) failure to observe or perform any covenant of the Company in the indenture or the Indenture Securities of such series (other than a covenant included in the indenture or the Indenture Securities solely for the benefit of a series of Indenture Securities other than such series), continued for 60 days after written notice from the Trustee or the holders of 25% or more in aggregate principal amount of the Indenture Securities of such series outstanding thereunder; (iv) certain events of bankruptcy, insolvency or reorganization; and (v) any other Event of Default as may be specified for such series, the Trustee or the holders of 25% or more in aggregate principal amount of Indenture Securities of such series outstanding thereunder may declare the principal amount of all Indenture Securities of such series to be due and payable immediately, but if all defaults with respect to Indenture Securities of such series (other than non-payment of accelerated principal) are cured and there has been no sale of property under any judgment or decree for the payment of moneys due which shall have been obtained or entered, the holders of a majority in aggregate principal amount of the Indenture Securities of such series outstanding thereunder may waive the default and rescind the declaration and its consequences.</w:t>
      </w: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indenture provides that the holders of a majority in aggregate principal amount of the Indenture Securities of any series outstanding thereunder may, subject to certain exceptions, direct the time, method and place of conducting any proceeding for any remedy available to, or exercising any power or trust conferred upon, the Trustee with respect to Indenture Securities of such series and may on behalf of all holders of Indenture Securities of such series waive any past default and its consequences with respect to Indenture Securities of such series, except a default in the payment of the principal of, premium, if any, or interest, if any, on any of the Indenture Securities of such series.</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Holders of any Indenture Security of any series may not institute any proceeding to enforce the indenture unless the Trustee shall have refused or neglected to act for 60 days after a request and offer of satisfactory indemnity by the holders of 25% or more in aggregate principal amount of the Indenture Securities of such series outstanding thereunder, but the right of any holder of any Indenture Security of any series to enforce payment of the principal of, premium, if any, or interest, if any, on his Indenture Securities when due shall not be impaired without the consent of such holder.</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Trustee is required to give the holders of any Indenture Security of any series notice of default with respect to such series (Events of Default summarized above, exclusive of any grace period and irrespective of any requirement that notice of default be given) known to it within 90 days after the happening thereof, unless cured</w:t>
      </w:r>
    </w:p>
    <w:p>
      <w:pPr>
        <w:sectPr>
          <w:pgSz w:w="11900" w:h="16838" w:orient="portrait"/>
          <w:cols w:equalWidth="0" w:num="1">
            <w:col w:w="11420"/>
          </w:cols>
          <w:pgMar w:left="240" w:top="571" w:right="239" w:bottom="1440" w:gutter="0" w:footer="0" w:header="0"/>
        </w:sectPr>
      </w:pPr>
    </w:p>
    <w:bookmarkStart w:id="137" w:name="page138"/>
    <w:bookmarkEnd w:id="137"/>
    <w:p>
      <w:pPr>
        <w:ind w:right="200"/>
        <w:spacing w:after="0" w:line="256" w:lineRule="auto"/>
        <w:rPr>
          <w:sz w:val="20"/>
          <w:szCs w:val="20"/>
          <w:color w:val="auto"/>
        </w:rPr>
      </w:pPr>
      <w:r>
        <w:rPr>
          <w:rFonts w:ascii="Arial" w:cs="Arial" w:eastAsia="Arial" w:hAnsi="Arial"/>
          <w:sz w:val="18"/>
          <w:szCs w:val="18"/>
          <w:color w:val="auto"/>
        </w:rPr>
        <w:t>before the giving of such notice, but, except for defaults in payments of the principal of, premium, if any, or interest, if any, on the Indenture Securities of such series, the Trustee may withhold notice if and so long as it determines in good faith that the withholding of such notice is in the interests of the holders of the Indenture Securities of such series.</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Company is required to deliver to the Trustee each year an officers' certificate stating whether such officers have obtained knowledge of any default by the Company in the performance of certain covenants and, if so, specifying such default and the nature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without the consent of the holders of any of the outstanding Indenture Securities under the indenture, may consolidate or merge with or into, or transfer or lease substantially all of its assets to, any Person (as such term is defined in the indenture) that is a corporation organized and validly existing under the laws of any domestic jurisdiction, or may permit any such Person to consolidate with or merge into the Company or convey, transfer or lease substantially all of its assets to the Company, provided (a) that any successor Person assumes the Company's obligations on the Indenture Securities under the indenture, (b) that after giving effect to the transaction, no Event of Default, and no event which, after notice or lapse of time, would become an Event of Default, shall have occurred and be continuing, and (c) that certain other conditions are met.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4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Company at its option (a) will be Discharged (as such term is defined in the indenture) from any and all obligations in respect of the notes (except for certain obligations to register the transfer and exchange of notes, replace stolen, lost or mutilated notes and coupons, maintain paying agencies and hold moneys for payment in trust) or (b) need not comply with certain restrictive covenants of the indenture, in each case after the Company deposits with the Trustee thereunder, in trust, money or U.S. Government Obligations (as such term is defined in the indenture) which through the payment of interest thereon and</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principal thereof in accordance with their terms will provide money, or a combination of money and U.S. Government Obligations, in an amount sufficient to pay all the principal of, and interest on, the notes on the dates such payments are due in accordance with the terms of the notes. Among the conditions to the Company's exercising any such option, the Company is required to deliver to the Trustee an opinion of independent counsel to the effect that the deposit and related defeasance would not cause the holders of the notes to recognize income, gain or loss for United States Federal income tax purposes and that the holders will be subject to United States Federal income tax in the same amounts in the same manner and at the same times as would have been the case if such deposit and related defeasance had not occurred.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indenture contains provisions permitting us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Deutsche Bank Trust Company Americas is the current Trustee under the indenture. The Trustee may acquire and hold Indenture Securities and, subject to certain conditions, otherwise deal with us as if it were not trustee under the</w:t>
      </w:r>
    </w:p>
    <w:p>
      <w:pPr>
        <w:sectPr>
          <w:pgSz w:w="11900" w:h="16838" w:orient="portrait"/>
          <w:cols w:equalWidth="0" w:num="1">
            <w:col w:w="11400"/>
          </w:cols>
          <w:pgMar w:left="240" w:top="571" w:right="259" w:bottom="1440" w:gutter="0" w:footer="0" w:header="0"/>
        </w:sectPr>
      </w:pPr>
    </w:p>
    <w:bookmarkStart w:id="138" w:name="page139"/>
    <w:bookmarkEnd w:id="138"/>
    <w:p>
      <w:pPr>
        <w:spacing w:after="0" w:line="256" w:lineRule="auto"/>
        <w:rPr>
          <w:sz w:val="20"/>
          <w:szCs w:val="20"/>
          <w:color w:val="auto"/>
        </w:rPr>
      </w:pPr>
      <w:r>
        <w:rPr>
          <w:rFonts w:ascii="Arial" w:cs="Arial" w:eastAsia="Arial" w:hAnsi="Arial"/>
          <w:sz w:val="18"/>
          <w:szCs w:val="18"/>
          <w:color w:val="auto"/>
        </w:rPr>
        <w:t>indenture. The Trustee and its affiliates have in the past provided, and may from time to time in the future provide, trustee, commercial banking, investment banking and other services to us in the ordinary course of their respective businesses for which they have received, and will receive, customary compensation.</w:t>
      </w:r>
    </w:p>
    <w:p>
      <w:pPr>
        <w:sectPr>
          <w:pgSz w:w="11900" w:h="16838" w:orient="portrait"/>
          <w:cols w:equalWidth="0" w:num="1">
            <w:col w:w="11400"/>
          </w:cols>
          <w:pgMar w:left="240" w:top="571"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Exhibit 4.7 Description of the Company’s 0.625% notes due 2031 and 1.700% notes due 2049</w:t>
      </w:r>
    </w:p>
    <w:p>
      <w:pPr>
        <w:spacing w:after="0" w:line="229"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The following summary of Eli Lilly and Company’s above referenced debt securities is based on and qualified by the indenture, dated as of February 1, 1991, between us and Deutsche Bank Trust Company Americas (as successor to Citibank, N.A.), as trustee and the forms of 0.625% notes due November 2031 (the “0.625% notes”) and 1.700% notes due November 2049 (the “1.700% notes, and together with the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0.625% notes, the “notes”). For a complete description of the terms and provisions of the notes, refer to the indenture, the form of officers’ certificate setting forth the terms and forms of the notes, all of which are filed as exhibits to the Form 8-A filed with the Securities and Exchange Commission on November 7, 2019. Throughout this exhibit, references to “we,” “the Company,” “our,” and “us” refer to Eli Lilly and Company, unless otherwise indicated.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0.625% notes:</w:t>
      </w:r>
    </w:p>
    <w:p>
      <w:pPr>
        <w:spacing w:after="0" w:line="9" w:lineRule="exact"/>
        <w:rPr>
          <w:sz w:val="20"/>
          <w:szCs w:val="20"/>
          <w:color w:val="auto"/>
        </w:rPr>
      </w:pPr>
    </w:p>
    <w:p>
      <w:pPr>
        <w:ind w:left="660" w:right="120" w:hanging="328"/>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were issued in an aggregate initial principal amount of €600,000,000, which remains outstanding as of December 31, 2019 and are subject to our ability to issue additional 0.625% notes which may be of the same series as the EUR 0.625% notes as described under “-Further Issues;”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mature on November 1, 2031;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bear interest at a rate of 0.625%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rank equally with all of our other present and future unsecured and unsubordinated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issued as a separate series under the indenture, in registered, book-entry form only;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 and in connection with certain events involving United States taxation;</w:t>
      </w: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1.700% notes:</w:t>
      </w:r>
    </w:p>
    <w:p>
      <w:pPr>
        <w:spacing w:after="0" w:line="9" w:lineRule="exact"/>
        <w:rPr>
          <w:sz w:val="20"/>
          <w:szCs w:val="20"/>
          <w:color w:val="auto"/>
        </w:rPr>
      </w:pPr>
    </w:p>
    <w:p>
      <w:pPr>
        <w:ind w:left="660" w:right="160" w:hanging="328"/>
        <w:spacing w:after="0" w:line="250"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were issued in an aggregate initial principal amount of €1,000,000,000, which remains outstanding as of December 31, 2019 and are subject to our ability to issue additional 1.700% notes which may be of the same series as the 1.700% Notes as described under “-Further Issues;”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mature on November 1, 2049;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bear interest at a rate of 1.700%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rank equally with all of our other present and future unsecured and unsubordinated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are issued as a separate series under the indenture, in registered, book-entry form only;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 and in connection with certain events involving United States taxation;</w:t>
      </w: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indenture and the notes do not limit the amount of indebtedness which may be incurred or the amount of securities which may be issued by us or our subsidiaries, and contain no financial or similar restrictions on us or our subsidiaries, except as described under the captions “Limitation on Liens” and “Limitation on Sale and Leaseback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47"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We pay interest on the notes annually on November 1 of each year, commencing November 1, 2020, to the persons in whose names such notes are registered at the close of business on October 15 (whether or not a business day), immediately preceding such interest payment date.</w:t>
      </w:r>
    </w:p>
    <w:p>
      <w:pPr>
        <w:spacing w:after="0" w:line="2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Interest on the notes will be computed on the basis of the actual number of days in the period for which interest is being calculated and the actual number of days from and including the last date on which interest was paid on the notes (or from November 7, 2019, if no interest has been paid on the notes), to but excluding the next scheduled</w:t>
      </w:r>
    </w:p>
    <w:p>
      <w:pPr>
        <w:sectPr>
          <w:pgSz w:w="11900" w:h="16838" w:orient="portrait"/>
          <w:cols w:equalWidth="0" w:num="1">
            <w:col w:w="11380"/>
          </w:cols>
          <w:pgMar w:left="240" w:top="549" w:right="279" w:bottom="1440" w:gutter="0" w:footer="0" w:header="0"/>
        </w:sectPr>
      </w:pPr>
    </w:p>
    <w:bookmarkStart w:id="140" w:name="page141"/>
    <w:bookmarkEnd w:id="140"/>
    <w:p>
      <w:pPr>
        <w:ind w:right="80"/>
        <w:spacing w:after="0" w:line="262" w:lineRule="auto"/>
        <w:rPr>
          <w:sz w:val="20"/>
          <w:szCs w:val="20"/>
          <w:color w:val="auto"/>
        </w:rPr>
      </w:pPr>
      <w:r>
        <w:rPr>
          <w:rFonts w:ascii="Arial" w:cs="Arial" w:eastAsia="Arial" w:hAnsi="Arial"/>
          <w:sz w:val="18"/>
          <w:szCs w:val="18"/>
          <w:color w:val="auto"/>
        </w:rPr>
        <w:t>interest payment date. This payment convention, which is set forth in the rulebook of the International Capital Market Association, is referred to as ACTUAL/ACTUAL (ICMA).</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any interest payment date falls on a day that is not a business day, we will make the required interest payment on the next business day, and no interest on such payment will accrue for the period from and after such interest payment date. Similarly, if the stated maturity date or the date of earlier redemption, as the case may be, of the notes falls on a day that is not a business day, we will make the required payment of principal, premium, if any, and interest, if any, on the next succeeding business day, and no interest on such payment will accrue for the period from and after the maturity date or redemption date, as the case may be.</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“Business day” means any day, other than a Saturday or Sunday, that is (i) neither a legal holiday nor a day on which banking institutions are authorized or required by law or regulation to close in The City of New York or London, and (ii) on which the Trans-European Automated Real-time Gross Settlement Express Transfer system, or any successor thereto, is open.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Euro</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Initial holders will be required to pay for the notes in euro, and all payments of interest and principal, including payments made upon any redemption of the notes, will be payable in euro. If, on or after the date of the issuance of the notes,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dollars until the euro is again available to us or so used. The amount payable on any date in euro will be converted into dollars at the rate mandated by the U.S. Federal Reserve Board as of the close of business on the second business day prior to the relevant payment date or, in the event the U.S. Federal Reserve Board has not mandated a rate of conversion, on the basis of the most recent euro/dollar exchange rate available on or prior to the second business day prior to the relevant payment date, as reported by Bloomberg. Any payment in respect of the notes so made in dollars will not constitute an event of default under the notes or the indenture.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At our option, we may redeem the notes, in whole or in part, at any time or from time to time as described below.</w:t>
      </w:r>
    </w:p>
    <w:p>
      <w:pPr>
        <w:spacing w:after="0" w:line="22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If we redeem all or any part of the 0.625% notes or the 1.700% notes prior to the applicable Par Call Date (as defined below), we will pay a redemption price equal to the greater of:</w:t>
      </w:r>
    </w:p>
    <w:p>
      <w:pPr>
        <w:spacing w:after="0" w:line="196" w:lineRule="exact"/>
        <w:rPr>
          <w:sz w:val="20"/>
          <w:szCs w:val="20"/>
          <w:color w:val="auto"/>
        </w:rPr>
      </w:pPr>
    </w:p>
    <w:p>
      <w:pPr>
        <w:ind w:left="740" w:hanging="327"/>
        <w:spacing w:after="0"/>
        <w:tabs>
          <w:tab w:leader="none" w:pos="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on the redemption date; and</w:t>
      </w:r>
    </w:p>
    <w:p>
      <w:pPr>
        <w:spacing w:after="0" w:line="9" w:lineRule="exact"/>
        <w:rPr>
          <w:rFonts w:ascii="Arial" w:cs="Arial" w:eastAsia="Arial" w:hAnsi="Arial"/>
          <w:sz w:val="18"/>
          <w:szCs w:val="18"/>
          <w:color w:val="auto"/>
        </w:rPr>
      </w:pPr>
    </w:p>
    <w:p>
      <w:pPr>
        <w:ind w:left="740" w:right="80" w:hanging="327"/>
        <w:spacing w:after="0" w:line="252" w:lineRule="auto"/>
        <w:tabs>
          <w:tab w:leader="none" w:pos="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calculated by the Quotation Agent (as defined below) the sum of the present values of the remaining scheduled payments of principal and interest on the notes being redeemed, with respect to the 0.625% notes or the 1.700% notes, that would be due if such series of notes matured on the applicable Par Call Date (in each case, not including the amount, if any, of unpaid interest accrued to, but excluding, the redemption date) discounted to the redemption date, on an annual basis (ACTUAL/ACTUAL (ICMA)) using a discount rate equal to the sum of the Reference Dealer Rate (as defined below), plus 0.2000% (or 20 basis points) with respect to the 0.625% notes or 0.2500% (or 25 basis points) with respect to the 1.700% notes;</w:t>
      </w:r>
    </w:p>
    <w:p>
      <w:pPr>
        <w:spacing w:after="0" w:line="191"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each case, unpaid interest accrued on such notes to, but excluding, the redemption date. If we redeem all or any part of the 0.625%</w:t>
      </w:r>
      <w:r>
        <w:rPr>
          <w:rFonts w:ascii="Arial" w:cs="Arial" w:eastAsia="Arial" w:hAnsi="Arial"/>
          <w:sz w:val="18"/>
          <w:szCs w:val="18"/>
          <w:i w:val="1"/>
          <w:iCs w:val="1"/>
          <w:color w:val="auto"/>
        </w:rPr>
        <w:t xml:space="preserve"> </w:t>
      </w:r>
      <w:r>
        <w:rPr>
          <w:rFonts w:ascii="Arial" w:cs="Arial" w:eastAsia="Arial" w:hAnsi="Arial"/>
          <w:sz w:val="18"/>
          <w:szCs w:val="18"/>
          <w:color w:val="auto"/>
        </w:rPr>
        <w:t>notes or the 1.700% notes on or after the applicable Par Call Date, we will pay a redemption price equal to 100% of the principal amount of such series of notes being redeemed plus accrued and unpaid interest thereon.</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Notwithstanding the foregoing, installments of interest on notes that are due and payable on an interest payment date falling on or prior to a redemption date will be payable on such interest payment date to the registered holders as of the close of business on the relevant record date. We will mail notice of any redemption at least 10 days but not more than 60 days before the redemption date to each registered holder of the notes to be redeemed. Subject to any delay in the redemption date or rescission of the notice of redemption described below, once notice of redemption is mailed, the notes called for redemption will become due and payable on the redemption date. Any redemption notice may, at our discretion, be subject to one or more conditions precedent, including completion of a</w:t>
      </w:r>
    </w:p>
    <w:p>
      <w:pPr>
        <w:sectPr>
          <w:pgSz w:w="11900" w:h="16838" w:orient="portrait"/>
          <w:cols w:equalWidth="0" w:num="1">
            <w:col w:w="11420"/>
          </w:cols>
          <w:pgMar w:left="240" w:top="571" w:right="239" w:bottom="1440" w:gutter="0" w:footer="0" w:header="0"/>
        </w:sectPr>
      </w:pPr>
    </w:p>
    <w:bookmarkStart w:id="141" w:name="page142"/>
    <w:bookmarkEnd w:id="141"/>
    <w:p>
      <w:pPr>
        <w:ind w:right="20"/>
        <w:spacing w:after="0" w:line="252" w:lineRule="auto"/>
        <w:rPr>
          <w:sz w:val="20"/>
          <w:szCs w:val="20"/>
          <w:color w:val="auto"/>
        </w:rPr>
      </w:pPr>
      <w:r>
        <w:rPr>
          <w:rFonts w:ascii="Arial" w:cs="Arial" w:eastAsia="Arial" w:hAnsi="Arial"/>
          <w:sz w:val="18"/>
          <w:szCs w:val="18"/>
          <w:color w:val="auto"/>
        </w:rPr>
        <w:t>corporate transaction. In such event, the related notice of redemption will describe each such condition and, if applicable, will state that, at our discretion, the date of redemption may be delayed until such time (including more than 60 days after the notice of redemption was given) as any or all such conditions are satisfied or waived, or such redemption may not occur and such notice may be rescinded in the event that any or all such conditions have not been satisfied (or waived by us in our sole discretion) by the date of redemption, or by the date of redemption as so delayed. In the case of such delay or rescission, we will provide written notice to the trustee prior to the close of business two business days before the date of redemption and, upon receipt, the trustee will provide such notice to each holder.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August 1, 2031 for the 0.625% notes and May 1, 2049 for the 1.700%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“Quotation Agent” means the Reference Dealer selected by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Dealer” means any Euro security dealer(s) selected by us.</w:t>
      </w:r>
    </w:p>
    <w:p>
      <w:pPr>
        <w:spacing w:after="0" w:line="225"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“Reference Dealer Rate” means, with respect to each Reference Dealer and any redemption date prior to the applicable Par Call Date for the 0.625% notes and the 1.700% notes, the arithmetic average of the quotations quoted in writing to us by each Reference Dealer of the average midmarket annual yield to maturity of the 0.000% German Bundesobligationen due August 15, 2029 with respect to the 0.625% notes and the 1.250% German Bundesobligationen due August 15, 2048 with respect to the 1.700% notes, or, if the applicable reference security is no longer outstanding, a similar security in the reasonable judgment of such Reference Dealer at 11:00 a.m. (London time) on the third business day preceding such redemption date.</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Before the redemption date, we will deposit with a paying agent (or the trustee) money sufficient to pay the redemption price of the notes of the particular series to be redeemed on that date. If fewer than all of the notes of such series are to be redeemed, the notes to be redeemed shall be selected by lot by the trustee by a method the trustee deems to be fair and appropriate. In addition, we may at any time purchase the notes by tender, in the open market or by private agreement, subject to applicable laws.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entitled to the benefit of any mandatory redemption or sinking fund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so that the net payment by us or a paying agent of the principal of and interest on the notes to a person that is a non-U.S. holder,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 notes had no withholding or deduction been required.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obligation to pay additional amounts shall not apply:</w:t>
      </w:r>
    </w:p>
    <w:p>
      <w:pPr>
        <w:spacing w:after="0" w:line="225" w:lineRule="exact"/>
        <w:rPr>
          <w:sz w:val="20"/>
          <w:szCs w:val="20"/>
          <w:color w:val="auto"/>
        </w:rPr>
      </w:pPr>
    </w:p>
    <w:p>
      <w:pPr>
        <w:ind w:left="1300" w:right="80" w:hanging="644"/>
        <w:spacing w:after="0" w:line="256"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the beneficial owner, or a fiduciary, settlor, beneficiary or member of the beneficial owner if the beneficial owner is an estate, trust or partnership, or a person holding a power over an estate or trust administered by a fiduciary holder:</w:t>
      </w:r>
    </w:p>
    <w:p>
      <w:pPr>
        <w:spacing w:after="0" w:line="201" w:lineRule="exact"/>
        <w:rPr>
          <w:rFonts w:ascii="Arial" w:cs="Arial" w:eastAsia="Arial" w:hAnsi="Arial"/>
          <w:sz w:val="18"/>
          <w:szCs w:val="18"/>
          <w:color w:val="auto"/>
        </w:rPr>
      </w:pPr>
    </w:p>
    <w:p>
      <w:pPr>
        <w:ind w:left="1620" w:right="240" w:hanging="315"/>
        <w:spacing w:after="0" w:line="250"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is or was present or engaged in a trade or business in the United States or has or had a permanent establishment in the United States;</w:t>
      </w:r>
    </w:p>
    <w:p>
      <w:pPr>
        <w:ind w:left="1620" w:hanging="315"/>
        <w:spacing w:after="0"/>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is or was a citizen or resident or is or was treated as a resident of the United States;</w:t>
      </w:r>
    </w:p>
    <w:p>
      <w:pPr>
        <w:spacing w:after="0" w:line="9" w:lineRule="exact"/>
        <w:rPr>
          <w:rFonts w:ascii="Arial" w:cs="Arial" w:eastAsia="Arial" w:hAnsi="Arial"/>
          <w:sz w:val="18"/>
          <w:szCs w:val="18"/>
          <w:color w:val="auto"/>
        </w:rPr>
      </w:pPr>
    </w:p>
    <w:p>
      <w:pPr>
        <w:jc w:val="both"/>
        <w:ind w:left="1620" w:right="240" w:hanging="315"/>
        <w:spacing w:after="0" w:line="250"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is or was a foreign or domestic personal holding company, a passive foreign investment company or a controlled foreign corporation for the United States federal income tax purposes, is or was a corporation that has accumulated earnings to avoid United States federal income tax or is or was a private foundation or other tax-exempt organization;</w:t>
      </w:r>
    </w:p>
    <w:p>
      <w:pPr>
        <w:spacing w:after="0" w:line="1" w:lineRule="exact"/>
        <w:rPr>
          <w:rFonts w:ascii="Arial" w:cs="Arial" w:eastAsia="Arial" w:hAnsi="Arial"/>
          <w:sz w:val="18"/>
          <w:szCs w:val="18"/>
          <w:color w:val="auto"/>
        </w:rPr>
      </w:pPr>
    </w:p>
    <w:p>
      <w:pPr>
        <w:ind w:left="1620" w:right="320" w:hanging="315"/>
        <w:spacing w:after="0" w:line="262"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is or was an actual or constructive “10-percent shareholder” of ours, as defined in Section 871(h)(3) of the U.S. Internal Revenue Code of 1986, as amended (the “Code”); or</w:t>
      </w:r>
    </w:p>
    <w:p>
      <w:pPr>
        <w:sectPr>
          <w:pgSz w:w="11900" w:h="16838" w:orient="portrait"/>
          <w:cols w:equalWidth="0" w:num="1">
            <w:col w:w="11400"/>
          </w:cols>
          <w:pgMar w:left="240" w:top="571" w:right="259" w:bottom="1440" w:gutter="0" w:footer="0" w:header="0"/>
        </w:sectPr>
      </w:pPr>
    </w:p>
    <w:bookmarkStart w:id="142" w:name="page143"/>
    <w:bookmarkEnd w:id="142"/>
    <w:p>
      <w:pPr>
        <w:ind w:left="1620" w:hanging="315"/>
        <w:spacing w:after="0"/>
        <w:tabs>
          <w:tab w:leader="none" w:pos="16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is or was a bank receiving interest described in Section 881(c)(3)(A) of the Code;</w:t>
      </w:r>
    </w:p>
    <w:p>
      <w:pPr>
        <w:spacing w:after="0" w:line="225" w:lineRule="exact"/>
        <w:rPr>
          <w:rFonts w:ascii="Arial" w:cs="Arial" w:eastAsia="Arial" w:hAnsi="Arial"/>
          <w:sz w:val="18"/>
          <w:szCs w:val="18"/>
          <w:color w:val="auto"/>
        </w:rPr>
      </w:pPr>
    </w:p>
    <w:p>
      <w:pPr>
        <w:ind w:left="1300" w:right="200" w:hanging="644"/>
        <w:spacing w:after="0" w:line="250"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notes,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 w:lineRule="exact"/>
        <w:rPr>
          <w:rFonts w:ascii="Arial" w:cs="Arial" w:eastAsia="Arial" w:hAnsi="Arial"/>
          <w:sz w:val="18"/>
          <w:szCs w:val="18"/>
          <w:color w:val="auto"/>
        </w:rPr>
      </w:pPr>
    </w:p>
    <w:p>
      <w:pPr>
        <w:ind w:left="1300" w:right="140" w:hanging="644"/>
        <w:spacing w:after="0" w:line="250"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the beneficial owner or any other person failed to comply with certification, identification or information reporting requirements concerning the nationality, residence, identity or connection with the United States of the holder or beneficial owner of notes,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2" w:lineRule="exact"/>
        <w:rPr>
          <w:rFonts w:ascii="Arial" w:cs="Arial" w:eastAsia="Arial" w:hAnsi="Arial"/>
          <w:sz w:val="18"/>
          <w:szCs w:val="18"/>
          <w:color w:val="auto"/>
        </w:rPr>
      </w:pPr>
    </w:p>
    <w:p>
      <w:pPr>
        <w:ind w:left="1300" w:right="40" w:hanging="644"/>
        <w:spacing w:after="0" w:line="250"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other than by deduction or withholding by us or a paying agent from the payment;</w:t>
      </w:r>
    </w:p>
    <w:p>
      <w:pPr>
        <w:ind w:left="1300" w:right="260" w:hanging="644"/>
        <w:spacing w:after="0" w:line="250"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of a change in law, regulation, or administrative or judicial interpretation that becomes effective after the day on which the payment becomes due or is duly provided for, whichever occurs later;</w:t>
      </w:r>
    </w:p>
    <w:p>
      <w:pPr>
        <w:spacing w:after="0" w:line="1" w:lineRule="exact"/>
        <w:rPr>
          <w:rFonts w:ascii="Arial" w:cs="Arial" w:eastAsia="Arial" w:hAnsi="Arial"/>
          <w:sz w:val="18"/>
          <w:szCs w:val="18"/>
          <w:color w:val="auto"/>
        </w:rPr>
      </w:pPr>
    </w:p>
    <w:p>
      <w:pPr>
        <w:ind w:left="1300" w:right="680" w:hanging="644"/>
        <w:spacing w:after="0" w:line="250"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or personal property tax or any similar tax, assessment or governmental charge;</w:t>
      </w:r>
    </w:p>
    <w:p>
      <w:pPr>
        <w:ind w:left="1300" w:right="260" w:hanging="644"/>
        <w:spacing w:after="0" w:line="250"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any paying agent (which term may include us) must withhold from any payment of principal of or interest on any note, if such payment can be made without such withholding by any other paying agent;</w:t>
      </w:r>
    </w:p>
    <w:p>
      <w:pPr>
        <w:spacing w:after="0" w:line="1" w:lineRule="exact"/>
        <w:rPr>
          <w:rFonts w:ascii="Arial" w:cs="Arial" w:eastAsia="Arial" w:hAnsi="Arial"/>
          <w:sz w:val="18"/>
          <w:szCs w:val="18"/>
          <w:color w:val="auto"/>
        </w:rPr>
      </w:pPr>
    </w:p>
    <w:p>
      <w:pPr>
        <w:ind w:left="1300" w:right="100" w:hanging="644"/>
        <w:spacing w:after="0" w:line="250"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would not have been so imposed or withheld but for the presentation by the holder of a note for payment on a date more than 30 days after the date on which such payment became due and payable or the date on which payment thereof is duly provided for, whichever occurs later;</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any withholding or deduction pursuant to an agreement described in Section 1471(b) of the Code or otherwise imposed pursuant to Sections 1471 through 1474 of the Code (or any regulations or agreements thereunder or official interpretations thereof) or any intergovernmental agreement between the United States and another jurisdiction for cooperation to facilitate the implementation thereof (or any law implementing such an intergovernmental agreement); or</w:t>
      </w:r>
    </w:p>
    <w:p>
      <w:pPr>
        <w:spacing w:after="0" w:line="1" w:lineRule="exact"/>
        <w:rPr>
          <w:rFonts w:ascii="Arial" w:cs="Arial" w:eastAsia="Arial" w:hAnsi="Arial"/>
          <w:sz w:val="18"/>
          <w:szCs w:val="18"/>
          <w:color w:val="auto"/>
        </w:rPr>
      </w:pPr>
    </w:p>
    <w:p>
      <w:pPr>
        <w:ind w:left="620" w:hanging="412"/>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any combination of the above items.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notes are subject in all cases to any applicable tax, fiscal or other law or regulation or administrative or judicial interpretation. Except as specifically provided under this heading “-Payment of Additional Amounts” and under the heading “-Redemption Upon a Tax Event,” we do not have to make any payment with respect to any tax, assessment or governmental charge imposed by any government or a political subdivision or taxing authority.</w:t>
      </w:r>
    </w:p>
    <w:p>
      <w:pPr>
        <w:spacing w:after="0" w:line="20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particular, we will not pay additional amounts on any note presented for payment by or on behalf of a beneficial owner who would have been able to avoid the withholding or deduction by presenting the relevant note to another paying agent in a member state of the European Union.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a Tax Event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(i) we become or will become obligated to pay additional amounts as described under the heading “-Payment of Additional Amounts” as a result of any change in, or amendment to, the laws (or any regulations or rulings promulgated thereunder) of the United States (or any political subdivision or taxing authority thereof or therein), or any change in, or amendment to, any official position regarding the application or interpretation of such laws, regulations or rulings, which change or amendment is announced or becomes effective on or after the date of the issuance of the notes, or (ii) a taxing authority of the United States takes an action on or after the date of the issuance of the notes, whether or not with respect to us or any of our affiliates, that results in a substantial probability that we will or may be required to pay such additional amounts, in either case, with respect to the notes for reasons outside our control and after taking reasonable measures available to us to avoid such obligation, then we may, at our option, redeem, as a whole, but not in part, each series of the notes at any time prior to maturity on not less than 30 nor more than 60 calendar days’ prior notice to the holders, at a redemption price equal to 100% of their principal amount, together with unpaid interest accrued thereon to the date fixed for redemption. No redemption pursuant to (ii) above may be made unless we shall have received an opinion of independent counsel to</w:t>
      </w:r>
    </w:p>
    <w:p>
      <w:pPr>
        <w:sectPr>
          <w:pgSz w:w="11900" w:h="16838" w:orient="portrait"/>
          <w:cols w:equalWidth="0" w:num="1">
            <w:col w:w="11420"/>
          </w:cols>
          <w:pgMar w:left="240" w:top="571" w:right="239" w:bottom="1440" w:gutter="0" w:footer="0" w:header="0"/>
        </w:sectPr>
      </w:pPr>
    </w:p>
    <w:bookmarkStart w:id="143" w:name="page144"/>
    <w:bookmarkEnd w:id="143"/>
    <w:p>
      <w:pPr>
        <w:ind w:right="140"/>
        <w:spacing w:after="0" w:line="256" w:lineRule="auto"/>
        <w:rPr>
          <w:sz w:val="20"/>
          <w:szCs w:val="20"/>
          <w:color w:val="auto"/>
        </w:rPr>
      </w:pPr>
      <w:r>
        <w:rPr>
          <w:rFonts w:ascii="Arial" w:cs="Arial" w:eastAsia="Arial" w:hAnsi="Arial"/>
          <w:sz w:val="18"/>
          <w:szCs w:val="18"/>
          <w:color w:val="auto"/>
        </w:rPr>
        <w:t>the effect that an act taken by a taxing authority of the United States results in a substantial probability that we will or may be required to pay the additional amounts described under the heading “-Payment of Additional Amounts” and we shall have delivered to the trustee a certificate, signed by duly authorized officers, stating that based on such opinion, we are entitled to redeem the notes pursuant to their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may, without the consent of the holders of the notes, issue additional debt securities having the same ranking, interest rate, maturity, redemption provisions and other terms as the notes of a particular series. Any additional debt securities having such similar terms, together with the notes of such series, will constitute a single series of debt securities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247"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We will not, and will not permit any of our subsidiaries to, create, assume or suffer to exist any lien on restricted property to secure any of our debt, any debt of any of our subsidiaries or any debt of any other person unless we also secure the debt securities of any series having the benefit of this covenant by a lien equally and ratably with such other debt for so long as such other debt shall be so secured. The indenture contains the following exceptions to the foregoing prohibition:</w:t>
      </w:r>
    </w:p>
    <w:p>
      <w:pPr>
        <w:spacing w:after="0" w:line="2"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existing on property owned or leased by a corporation existing when such corporation becomes a subsidiary;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existing on the date of issuance of the first debt security of the particular series;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existing on property when the property was acquired by us or any of our subsidiaries;</w:t>
      </w:r>
    </w:p>
    <w:p>
      <w:pPr>
        <w:spacing w:after="0" w:line="9" w:lineRule="exact"/>
        <w:rPr>
          <w:rFonts w:ascii="Arial" w:cs="Arial" w:eastAsia="Arial" w:hAnsi="Arial"/>
          <w:sz w:val="18"/>
          <w:szCs w:val="18"/>
          <w:color w:val="auto"/>
        </w:rPr>
      </w:pPr>
    </w:p>
    <w:p>
      <w:pPr>
        <w:ind w:left="1300" w:right="100" w:hanging="644"/>
        <w:spacing w:after="0" w:line="250"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to secure debt incurred prior to, at the time of or within 12 months after the acquisition of restricted property or the completion of the construction, alteration, repair or improvement of restricted property, as the case may be, for the purpose of financing all or a part of the purchase price or cost thereof and liens to the extent they secure debt in excess of such purchase price or cost and for the payment of which recourse may be had only against such restricted property;</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certain liens in favor of governmental entities that are required by the provisions of any contract or statute, or any liens securing industrial development, pollution control or similar revenue bonds;</w:t>
      </w: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lien securing debt of a subsidiary owing to us or to another subsidiary;</w:t>
      </w:r>
    </w:p>
    <w:p>
      <w:pPr>
        <w:spacing w:after="0" w:line="9" w:lineRule="exact"/>
        <w:rPr>
          <w:rFonts w:ascii="Arial" w:cs="Arial" w:eastAsia="Arial" w:hAnsi="Arial"/>
          <w:sz w:val="18"/>
          <w:szCs w:val="18"/>
          <w:color w:val="auto"/>
        </w:rPr>
      </w:pPr>
    </w:p>
    <w:p>
      <w:pPr>
        <w:ind w:left="1300" w:right="80" w:hanging="644"/>
        <w:spacing w:after="0" w:line="250"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lien referred to in clauses (i) through (vi) above, inclusive, so long as (1) the principal amount of the debt secured thereby does not exceed the principal amount of debt so secured at the time of the extension, renewal or replacement (except that, where an additional principal amount of debt is incurred to provide funds for the completion of a specific project, the additional principal amount, and any related financing costs, may be secured by the lien as well) and (2) the lien is limited to the same property subject to the lien so extended, renewed or replaced (and improvements on the property); and</w:t>
      </w:r>
    </w:p>
    <w:p>
      <w:pPr>
        <w:spacing w:after="0" w:line="2"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lien that would not otherwise be permitted by clauses (i) through (vii) above, inclusive, securing debt which, together with:</w:t>
      </w:r>
    </w:p>
    <w:p>
      <w:pPr>
        <w:spacing w:after="0" w:line="9" w:lineRule="exact"/>
        <w:rPr>
          <w:rFonts w:ascii="Arial" w:cs="Arial" w:eastAsia="Arial" w:hAnsi="Arial"/>
          <w:sz w:val="18"/>
          <w:szCs w:val="18"/>
          <w:color w:val="auto"/>
        </w:rPr>
      </w:pPr>
    </w:p>
    <w:p>
      <w:pPr>
        <w:ind w:left="2040" w:right="260" w:hanging="330"/>
        <w:spacing w:after="0" w:line="250" w:lineRule="auto"/>
        <w:tabs>
          <w:tab w:leader="none" w:pos="20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aggregate outstanding principal amount of all other debt of ours and our subsidiaries owning restricted property which would otherwise be subject to the foregoing restrictions, and</w:t>
      </w:r>
    </w:p>
    <w:p>
      <w:pPr>
        <w:ind w:left="2040" w:right="200" w:hanging="330"/>
        <w:spacing w:after="0" w:line="262" w:lineRule="auto"/>
        <w:tabs>
          <w:tab w:leader="none" w:pos="20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aggregate value of existing sale and leaseback transactions which would be subject to the foregoing restrictions absent this clause (viii), does not exceed 15% of our consolidated net tangible assets.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will not, and will not permit any of our subsidiaries owning restricted property to, enter into any sale and leaseback transaction unless:</w:t>
      </w:r>
    </w:p>
    <w:p>
      <w:pPr>
        <w:spacing w:after="0" w:line="225" w:lineRule="exact"/>
        <w:rPr>
          <w:sz w:val="20"/>
          <w:szCs w:val="20"/>
          <w:color w:val="auto"/>
        </w:rPr>
      </w:pPr>
    </w:p>
    <w:p>
      <w:pPr>
        <w:ind w:left="980" w:right="280" w:hanging="324"/>
        <w:spacing w:after="0" w:line="254"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company or such subsidiary could incur debt, in a principal amount at least equal to the value of such sale and leaseback transaction, secured by a lien on the property to be leased (without equally and ratably securing the outstanding debt securities) because such lien would be of a character that no violation of the covenant described under “ Limitations on Liens” above would result; or</w:t>
      </w:r>
    </w:p>
    <w:p>
      <w:pPr>
        <w:sectPr>
          <w:pgSz w:w="11900" w:h="16838" w:orient="portrait"/>
          <w:cols w:equalWidth="0" w:num="1">
            <w:col w:w="11420"/>
          </w:cols>
          <w:pgMar w:left="240" w:top="571" w:right="239" w:bottom="1440" w:gutter="0" w:footer="0" w:header="0"/>
        </w:sectPr>
      </w:pPr>
    </w:p>
    <w:bookmarkStart w:id="144" w:name="page145"/>
    <w:bookmarkEnd w:id="144"/>
    <w:p>
      <w:pPr>
        <w:jc w:val="both"/>
        <w:ind w:left="980" w:right="100" w:hanging="324"/>
        <w:spacing w:after="0" w:line="256"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apply, during the six months following the effective date of the sale and leaseback transaction, an amount equal to the value of the sale and leaseback transaction to the voluntary retirement of funded debt (whether by redemption, defeasance, repurchase, or otherwise) or to the acquisition of restricted property.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meanings of terms that are important in understanding the covenants previously described:</w:t>
      </w:r>
    </w:p>
    <w:p>
      <w:pPr>
        <w:spacing w:after="0" w:line="225" w:lineRule="exact"/>
        <w:rPr>
          <w:sz w:val="20"/>
          <w:szCs w:val="20"/>
          <w:color w:val="auto"/>
        </w:rPr>
      </w:pPr>
    </w:p>
    <w:p>
      <w:pPr>
        <w:ind w:left="740" w:right="160" w:hanging="327"/>
        <w:spacing w:after="0" w:line="250" w:lineRule="auto"/>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“consolidated net tangible assets” means the total assets (less applicable reserves and other properly deductible items) less current liabilities (excluding the amount of those which are by their terms extendable or renewable at the option of the obligor to a date more than 12 months after the date as of which the amount is being determined) and all goodwill, tradenames, trademarks, patents, unamortized debt discount and expense and other like intangible assets, all as set forth on our most recent consolidated balance sheet determined in accordance with generally accepted accounting principles.</w:t>
      </w:r>
    </w:p>
    <w:p>
      <w:pPr>
        <w:spacing w:after="0" w:line="2" w:lineRule="exact"/>
        <w:rPr>
          <w:rFonts w:ascii="Arial" w:cs="Arial" w:eastAsia="Arial" w:hAnsi="Arial"/>
          <w:sz w:val="18"/>
          <w:szCs w:val="18"/>
          <w:color w:val="auto"/>
        </w:rPr>
      </w:pPr>
    </w:p>
    <w:p>
      <w:pPr>
        <w:ind w:left="740" w:right="40" w:hanging="327"/>
        <w:spacing w:after="0" w:line="250" w:lineRule="auto"/>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“funded debt” means our indebtedness or the indebtedness of a subsidiary owning restricted property maturing by its terms more than one year after its creation and indebtedness classified as long-term debt under generally accepted accounting principles and in each case ranking at least pari passu with the debt securities.</w:t>
      </w:r>
    </w:p>
    <w:p>
      <w:pPr>
        <w:spacing w:after="0" w:line="1" w:lineRule="exact"/>
        <w:rPr>
          <w:rFonts w:ascii="Arial" w:cs="Arial" w:eastAsia="Arial" w:hAnsi="Arial"/>
          <w:sz w:val="18"/>
          <w:szCs w:val="18"/>
          <w:color w:val="auto"/>
        </w:rPr>
      </w:pPr>
    </w:p>
    <w:p>
      <w:pPr>
        <w:ind w:left="740" w:right="220" w:hanging="327"/>
        <w:spacing w:after="0" w:line="250" w:lineRule="auto"/>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“original issue discount security” means any debt security which provides for an amount less than the principal amount thereof to be due and payable upon a declaration of acceleration of maturity thereof pursuant to the indenture.</w:t>
      </w:r>
    </w:p>
    <w:p>
      <w:pPr>
        <w:ind w:left="740" w:hanging="327"/>
        <w:spacing w:after="0"/>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property” means</w:t>
      </w:r>
    </w:p>
    <w:p>
      <w:pPr>
        <w:spacing w:after="0" w:line="9" w:lineRule="exact"/>
        <w:rPr>
          <w:rFonts w:ascii="Arial" w:cs="Arial" w:eastAsia="Arial" w:hAnsi="Arial"/>
          <w:sz w:val="18"/>
          <w:szCs w:val="18"/>
          <w:color w:val="auto"/>
        </w:rPr>
      </w:pPr>
    </w:p>
    <w:p>
      <w:pPr>
        <w:ind w:left="1380" w:right="40" w:hanging="319"/>
        <w:spacing w:after="0" w:line="250" w:lineRule="auto"/>
        <w:tabs>
          <w:tab w:leader="none" w:pos="13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manufacturing facility (or portion thereof) owned or leased by us or any of our subsidiaries and located within the continental United States which, in the opinion of our board of directors (or a committee thereof), is of material importance to our business and the business of our subsidiaries taken as a whole, but no such manufacturing facility (or portion thereof) shall be deemed of material importance if its gross book value, before deducting accumulated depreciation, is less than 2% of our consolidated net tangible assets; or</w:t>
      </w:r>
    </w:p>
    <w:p>
      <w:pPr>
        <w:spacing w:after="0" w:line="2" w:lineRule="exact"/>
        <w:rPr>
          <w:rFonts w:ascii="Arial" w:cs="Arial" w:eastAsia="Arial" w:hAnsi="Arial"/>
          <w:sz w:val="18"/>
          <w:szCs w:val="18"/>
          <w:color w:val="auto"/>
        </w:rPr>
      </w:pPr>
    </w:p>
    <w:p>
      <w:pPr>
        <w:ind w:left="1380" w:hanging="319"/>
        <w:spacing w:after="0"/>
        <w:tabs>
          <w:tab w:leader="none" w:pos="13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shares of capital stock or indebtedness of any subsidiary owning any such manufacturing facility.</w:t>
      </w:r>
    </w:p>
    <w:p>
      <w:pPr>
        <w:spacing w:after="0" w:line="225" w:lineRule="exact"/>
        <w:rPr>
          <w:rFonts w:ascii="Arial" w:cs="Arial" w:eastAsia="Arial" w:hAnsi="Arial"/>
          <w:sz w:val="18"/>
          <w:szCs w:val="18"/>
          <w:color w:val="auto"/>
        </w:rPr>
      </w:pPr>
    </w:p>
    <w:p>
      <w:pPr>
        <w:ind w:left="740" w:right="60" w:hanging="327"/>
        <w:spacing w:after="0" w:line="250" w:lineRule="auto"/>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“sale and leaseback transaction” means any arrangement with any person providing for the leasing by us or any subsidiary of any restricted property which has been or is to be sold or transferred by us or such subsidiary to such person, excluding (1) temporary leases for a term, including renewals at the option of the lessee, of not more than three years, (2) leases between us and a subsidiary or between subsidiaries, (3) leases of a restricted property executed by the time of, or within 12 months after the latest of, the acquisition, the completion of construction or improvement, or the commencement of commercial operation of the restricted property, and (4) arrangements pursuant to any provision of law with an effect similar to the former Section 168(f)(8) of the Internal Revenue Code of 1954, as amended.</w:t>
      </w:r>
    </w:p>
    <w:p>
      <w:pPr>
        <w:spacing w:after="0" w:line="3" w:lineRule="exact"/>
        <w:rPr>
          <w:rFonts w:ascii="Arial" w:cs="Arial" w:eastAsia="Arial" w:hAnsi="Arial"/>
          <w:sz w:val="18"/>
          <w:szCs w:val="18"/>
          <w:color w:val="auto"/>
        </w:rPr>
      </w:pPr>
    </w:p>
    <w:p>
      <w:pPr>
        <w:ind w:left="740" w:right="60" w:hanging="327"/>
        <w:spacing w:after="0" w:line="250" w:lineRule="auto"/>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“subsidiary” means any corporation more than 50% of the voting stock of which shall at the time be owned by us or by one or more subsidiaries or by us and one or more subsidiaries, but shall not include any corporation of which we and/or one or more subsidiaries owns directly or indirectly, less than 50% of the outstanding stock of all classes having ordinary voting power for the election of directors but more than 50% of the outstanding shares of stock of a class having by its terms ordinary voting power as a class to elect a majority of the board of directors of such corporation.</w:t>
      </w:r>
    </w:p>
    <w:p>
      <w:pPr>
        <w:spacing w:after="0" w:line="2" w:lineRule="exact"/>
        <w:rPr>
          <w:rFonts w:ascii="Arial" w:cs="Arial" w:eastAsia="Arial" w:hAnsi="Arial"/>
          <w:sz w:val="18"/>
          <w:szCs w:val="18"/>
          <w:color w:val="auto"/>
        </w:rPr>
      </w:pPr>
    </w:p>
    <w:p>
      <w:pPr>
        <w:ind w:left="740" w:right="60" w:hanging="327"/>
        <w:spacing w:after="0" w:line="253" w:lineRule="auto"/>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“value” means, with respect to a sale and leaseback transaction, an amount equal to the net present value of the lease payments with respect to the term of the lease remaining on the date as of which the amount is being determined, without regard to any renewal or extension options contained in the lease, discounted at the weighted average interest rate on the debt securities of all series (including the yield to maturity on any original issue discount securities) which are outstanding on the effective date of such sale and leaseback transaction.</w:t>
      </w:r>
    </w:p>
    <w:p>
      <w:pPr>
        <w:spacing w:after="0" w:line="20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Because the covenants described above cover only manufacturing facilities in the continental United States, our manufacturing facilities in Puerto Rico and elsewhere in the world are excluded from the operation of the covenants described above.</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Except as described in “Merger or Consolidation” below, there are no other restrictive covenants contained in the indenture. The indenture does not contain any provision which restricts us from incurring, assuming or becoming</w:t>
      </w:r>
    </w:p>
    <w:p>
      <w:pPr>
        <w:sectPr>
          <w:pgSz w:w="11900" w:h="16838" w:orient="portrait"/>
          <w:cols w:equalWidth="0" w:num="1">
            <w:col w:w="11420"/>
          </w:cols>
          <w:pgMar w:left="240" w:top="571" w:right="239" w:bottom="1440" w:gutter="0" w:footer="0" w:header="0"/>
        </w:sectPr>
      </w:pPr>
    </w:p>
    <w:bookmarkStart w:id="145" w:name="page146"/>
    <w:bookmarkEnd w:id="145"/>
    <w:p>
      <w:pPr>
        <w:ind w:right="80"/>
        <w:spacing w:after="0" w:line="253" w:lineRule="auto"/>
        <w:rPr>
          <w:sz w:val="20"/>
          <w:szCs w:val="20"/>
          <w:color w:val="auto"/>
        </w:rPr>
      </w:pPr>
      <w:r>
        <w:rPr>
          <w:rFonts w:ascii="Arial" w:cs="Arial" w:eastAsia="Arial" w:hAnsi="Arial"/>
          <w:sz w:val="18"/>
          <w:szCs w:val="18"/>
          <w:color w:val="auto"/>
        </w:rPr>
        <w:t>liable with respect to any indebtedness or other obligations, whether secured or unsecured, or from paying dividends or making other distributions on our capital stock or purchasing or redeeming our capital stock. The indenture does not contain any financial ratios, or specified levels of net worth or liquidity to which we must adhere. In addition, the indenture does not contain any provision which would require that we repurchase or redeem or otherwise modify the terms of any of our debt securities upon a change in control or other events involving us which may adversely affect the creditworthiness of the debt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provides that, with respect to any series of debt securities, an event of default consists of:</w:t>
      </w:r>
    </w:p>
    <w:p>
      <w:pPr>
        <w:spacing w:after="0" w:line="225" w:lineRule="exact"/>
        <w:rPr>
          <w:sz w:val="20"/>
          <w:szCs w:val="20"/>
          <w:color w:val="auto"/>
        </w:rPr>
      </w:pPr>
    </w:p>
    <w:p>
      <w:pPr>
        <w:ind w:left="740" w:hanging="327"/>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failure to pay interest when due on any debt securities of such series that continues for 30 days;</w:t>
      </w:r>
    </w:p>
    <w:p>
      <w:pPr>
        <w:spacing w:after="0" w:line="9" w:lineRule="exact"/>
        <w:rPr>
          <w:rFonts w:ascii="Arial" w:cs="Arial" w:eastAsia="Arial" w:hAnsi="Arial"/>
          <w:sz w:val="18"/>
          <w:szCs w:val="18"/>
          <w:color w:val="auto"/>
        </w:rPr>
      </w:pPr>
    </w:p>
    <w:p>
      <w:pPr>
        <w:ind w:left="740" w:right="180" w:hanging="327"/>
        <w:spacing w:after="0" w:line="250" w:lineRule="auto"/>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failure to pay principal or premium, if any, when due (whether at maturity, upon redemption, by declaration or otherwise) on any debt securities of such series;</w:t>
      </w:r>
    </w:p>
    <w:p>
      <w:pPr>
        <w:ind w:left="740" w:right="140" w:hanging="327"/>
        <w:spacing w:after="0" w:line="250" w:lineRule="auto"/>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failure to observe or perform the covenant in the indenture described below under “Merger or Consolidation” after written notice from the trustee or holders of 25% or more in aggregate principal amount of debt securities of such series outstanding thereunder;</w:t>
      </w:r>
    </w:p>
    <w:p>
      <w:pPr>
        <w:ind w:left="740" w:hanging="327"/>
        <w:spacing w:after="0" w:line="250" w:lineRule="auto"/>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failure to observe or perform any of our covenants in the indenture or the debt securities of such series (other than a covenant included in the indenture or the debt securities solely for the benefit of a series of debt securities other than such series), continued for 60 days (except in the case of a violation of the covenant described below under “Merger or Consolidation”) after written notice from the trustee or the holders of 25% or more in aggregate principal amount, of debt securities of such series outstanding thereunder;</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events of our bankruptcy, insolvency or reorganization;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other event of default as may be specified for such series.</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indenture provides that if an event of default with respect to any series of debt securities at the time outstanding occurs and is continuing, either the trustee or the holders of 25% or more in aggregate principal amount (or, if the debt securities of that series are original issue discount securities, such portion of the principal amount as may be specified in the terms of that series) of debt securities of such series outstanding may declare the principal amount of all debt securities of such series to be due and payable immediately. At any time after a declaration of acceleration with respect to the debt securities of any series has been made and before there has been a sale of property under a judgment or decree for the payment of moneys due, the holders of a majority in aggregate principal amount of the debt securities of such series outstanding may waive the default and rescind the declaration and its consequences if:</w:t>
      </w:r>
    </w:p>
    <w:p>
      <w:pPr>
        <w:spacing w:after="0" w:line="207"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matured installments of interest upon all the debt securities of such series;</w:t>
      </w:r>
    </w:p>
    <w:p>
      <w:pPr>
        <w:spacing w:after="0" w:line="9" w:lineRule="exact"/>
        <w:rPr>
          <w:rFonts w:ascii="Arial" w:cs="Arial" w:eastAsia="Arial" w:hAnsi="Arial"/>
          <w:sz w:val="18"/>
          <w:szCs w:val="18"/>
          <w:color w:val="auto"/>
        </w:rPr>
      </w:pPr>
    </w:p>
    <w:p>
      <w:pPr>
        <w:ind w:left="980" w:right="940" w:hanging="324"/>
        <w:spacing w:after="0" w:line="250"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principal of and premium, if any, on any and all debt securities of such series which have become due other than by declaration;</w:t>
      </w:r>
    </w:p>
    <w:p>
      <w:pPr>
        <w:ind w:left="980" w:hanging="324"/>
        <w:spacing w:after="0" w:line="250"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interest on overdue installments of interest, to the extent legally enforceable under applicable law, and on such principal of and premium, if any, on each debt security of such series at the rate borne by such debt security to the date of such payment or deposit or yield to maturity (in the case of an original issue discount security);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expenses of the trustee, and reasonable compensation to the trustee, agents, attorneys and counsel; and</w:t>
      </w:r>
    </w:p>
    <w:p>
      <w:pPr>
        <w:spacing w:after="0" w:line="9"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and all defaults under the indenture, other than the nonpayment of principal on the debt securities of such series which may have become due by declaration, have been remedied.</w:t>
      </w:r>
    </w:p>
    <w:p>
      <w:pPr>
        <w:spacing w:after="0" w:line="1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indenture provides that the holders of a majority in aggregate principal amount of the debt securities of any series outstanding under the indenture may, subject to certain exceptions, direct the trustee as to the time, method and place of conducting any proceeding for any remedy available to the trustee, or exercising any power or trust conferred upon the trustee. The holders of a majority in aggregate principal amount of the debt securities of any series outstanding may on behalf of all holders of debt securities of such series waive any past default and its consequences with respect to debt securities of such series, except a default in the payment of the principal of, premium, if any, or interest, if any, on any of the debt securities of such series.</w:t>
      </w:r>
    </w:p>
    <w:p>
      <w:pPr>
        <w:spacing w:after="0" w:line="20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Holders of any debt securities of any series may not institute any proceeding to enforce the indenture or any remedy thereunder unless the trustee shall have failed to act for 60 days after a request and offer of reasonable</w:t>
      </w:r>
    </w:p>
    <w:p>
      <w:pPr>
        <w:sectPr>
          <w:pgSz w:w="11900" w:h="16838" w:orient="portrait"/>
          <w:cols w:equalWidth="0" w:num="1">
            <w:col w:w="11400"/>
          </w:cols>
          <w:pgMar w:left="240" w:top="571" w:right="259" w:bottom="1440" w:gutter="0" w:footer="0" w:header="0"/>
        </w:sectPr>
      </w:pPr>
    </w:p>
    <w:bookmarkStart w:id="146" w:name="page147"/>
    <w:bookmarkEnd w:id="146"/>
    <w:p>
      <w:pPr>
        <w:jc w:val="both"/>
        <w:ind w:right="140"/>
        <w:spacing w:after="0" w:line="256" w:lineRule="auto"/>
        <w:rPr>
          <w:sz w:val="20"/>
          <w:szCs w:val="20"/>
          <w:color w:val="auto"/>
        </w:rPr>
      </w:pPr>
      <w:r>
        <w:rPr>
          <w:rFonts w:ascii="Arial" w:cs="Arial" w:eastAsia="Arial" w:hAnsi="Arial"/>
          <w:sz w:val="18"/>
          <w:szCs w:val="18"/>
          <w:color w:val="auto"/>
        </w:rPr>
        <w:t>indemnity by the holders of 25% or more in aggregate principal amount of the debt securities of such series outstanding. However, the right of any holder of any security of any series to enforce payment of the principal of or premium, if any, or interest, if any, on its debt securities when due shall not be impaired without the consent of such holder.</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trustee is required to give the holders of any debt security of any series notice of default with respect to such series known to it within 90 days after the happening of the default, unless cured before the giving of such notice. However, except for defaults in payments of the principal of or premium, if any, or interest, if any, on the debt securities of such series, the trustee may withhold notice if and so long as it determines in good faith that the withholding of such notice is in the interests of the holders of the debt securities of such series.</w:t>
      </w:r>
    </w:p>
    <w:p>
      <w:pPr>
        <w:spacing w:after="0" w:line="20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are required to deliver to the trustee each year an officers’ certificate stating whether such officers have obtained knowledge of any default by our company in the performance of all covenants and, if so, specifying the nature of such default.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247"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The indenture provides that without the consent of the holders of any of the outstanding debt securities under the indenture, we may consolidate with or merge into, or transfer or lease substantially all of our assets to, any domestic corporation, association, company or business trust (as used in this subsection, a “corporation”), provided:</w:t>
      </w:r>
    </w:p>
    <w:p>
      <w:pPr>
        <w:spacing w:after="0" w:line="202" w:lineRule="exact"/>
        <w:rPr>
          <w:sz w:val="20"/>
          <w:szCs w:val="20"/>
          <w:color w:val="auto"/>
        </w:rPr>
      </w:pPr>
    </w:p>
    <w:p>
      <w:pPr>
        <w:ind w:left="740" w:right="300" w:hanging="327"/>
        <w:spacing w:after="0" w:line="250" w:lineRule="auto"/>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successor corporation assumes all of our payment obligations under the debt securities and the performance of all of our other covenants under the indenture; and</w:t>
      </w:r>
    </w:p>
    <w:p>
      <w:pPr>
        <w:ind w:left="740" w:hanging="327"/>
        <w:spacing w:after="0"/>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certain other conditions described in the indenture are met.</w:t>
      </w:r>
    </w:p>
    <w:p>
      <w:pPr>
        <w:spacing w:after="0" w:line="225"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Although there is a limited body of case law interpreting the phrase “substantially all,” there is no precise established definition of the phrase under applicable law. As a result of this uncertainty:</w:t>
      </w:r>
    </w:p>
    <w:p>
      <w:pPr>
        <w:spacing w:after="0" w:line="1" w:lineRule="exact"/>
        <w:rPr>
          <w:sz w:val="20"/>
          <w:szCs w:val="20"/>
          <w:color w:val="auto"/>
        </w:rPr>
      </w:pPr>
    </w:p>
    <w:p>
      <w:pPr>
        <w:ind w:left="1300" w:hanging="644"/>
        <w:spacing w:after="0" w:line="250"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there could be a disagreement between us and the holders of debt securities over whether, as a condition to a transfer or lease of our assets, the successor entity is required to assume our obligations under the indenture and, consequently, whether a failure to assume such obligations would result in an event of default under the indenture;</w:t>
      </w:r>
    </w:p>
    <w:p>
      <w:pPr>
        <w:spacing w:after="0" w:line="1" w:lineRule="exact"/>
        <w:rPr>
          <w:rFonts w:ascii="Arial" w:cs="Arial" w:eastAsia="Arial" w:hAnsi="Arial"/>
          <w:sz w:val="18"/>
          <w:szCs w:val="18"/>
          <w:color w:val="auto"/>
        </w:rPr>
      </w:pPr>
    </w:p>
    <w:p>
      <w:pPr>
        <w:ind w:left="1300" w:right="460" w:hanging="644"/>
        <w:spacing w:after="0" w:line="250"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event that the holders of debt securities attempt to declare an event of default and exercise their acceleration rights under the indenture in such circumstances and we contest such action, there can be no assurance as to how a court interpreting applicable law would interpret the phrase “substantially all”; and</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may be difficult for holders to debt securities to declare an event of default and exercise their acceleration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Legal Defeasance and Covenant Defeasance</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may discharge certain obligations to holders of any series of debt securities that have not already been delivered to the trustee for cancellation and that either have become due and payable or will become due and payable within one year (or are to be called for redemption within one year under arrangements satisfactory to the trustee for the giving of notice) by irrevocably depositing with the trustee, in trust, funds in the currency or currencies in which those debt securities are payable in an amount sufficient to pay the entire indebtedness on those debt securities in respect of principal, premium, if any, and interest, if any, to the date of that deposit (if those debt securities have become due and payable) or to the maturity date, as the case may be.</w:t>
      </w:r>
    </w:p>
    <w:p>
      <w:pPr>
        <w:spacing w:after="0" w:line="20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At our option, we may be discharged, subject to certain terms and conditions, from any and all obligations in respect of the debt securities of any series (except for certain obligations to register the transfer and exchange of debt securities, replace, stolen, lost or mutilated debt securities and coupons, maintain paying agencies and hold moneys for payment in trust) or need not comply with certain restrictive covenants of the indenture if:</w:t>
      </w:r>
    </w:p>
    <w:p>
      <w:pPr>
        <w:spacing w:after="0" w:line="2" w:lineRule="exact"/>
        <w:rPr>
          <w:sz w:val="20"/>
          <w:szCs w:val="20"/>
          <w:color w:val="auto"/>
        </w:rPr>
      </w:pPr>
    </w:p>
    <w:p>
      <w:pPr>
        <w:ind w:right="80" w:firstLine="656"/>
        <w:spacing w:after="0" w:line="252" w:lineRule="auto"/>
        <w:tabs>
          <w:tab w:leader="none" w:pos="9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have deposited with the trustee, in trust, money, and in the case of debt securities and coupons denominated in U.S. dollars, U.S. government obligations or, in the case of debt securities and coupons denominated in a foreign currency, foreign currency government securities, which through the payment of interest thereon and principal thereof in accordance with their terms will provide money or a combination of money, and either U.S. government securities or foreign currency government securities, as the case may be, in an amount sufficient to pay in the currency in which the debt securities are payable all the principal of and premium, if any, and interest, if any, on the debt securities on the date such payments are due in accordance with the debt securities;</w:t>
      </w:r>
    </w:p>
    <w:p>
      <w:pPr>
        <w:sectPr>
          <w:pgSz w:w="11900" w:h="16838" w:orient="portrait"/>
          <w:cols w:equalWidth="0" w:num="1">
            <w:col w:w="11400"/>
          </w:cols>
          <w:pgMar w:left="240" w:top="571" w:right="259" w:bottom="1440" w:gutter="0" w:footer="0" w:header="0"/>
        </w:sectPr>
      </w:pPr>
    </w:p>
    <w:bookmarkStart w:id="147" w:name="page148"/>
    <w:bookmarkEnd w:id="147"/>
    <w:p>
      <w:pPr>
        <w:jc w:val="both"/>
        <w:ind w:right="220" w:firstLine="656"/>
        <w:spacing w:after="0" w:line="250" w:lineRule="auto"/>
        <w:tabs>
          <w:tab w:leader="none" w:pos="9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 no event of default or event which with notice or lapse of time would become an event of default shall have occurred and be continuing on the date of such deposit, (ii) no event of default relating to our bankruptcy, insolvency or reorganization, or event which with notice or lapse of time or both would become such an event of default, shall have occurred within 90 days after the date of such deposit, and</w:t>
      </w:r>
    </w:p>
    <w:p>
      <w:pPr>
        <w:spacing w:after="0" w:line="1" w:lineRule="exact"/>
        <w:rPr>
          <w:rFonts w:ascii="Arial" w:cs="Arial" w:eastAsia="Arial" w:hAnsi="Arial"/>
          <w:sz w:val="18"/>
          <w:szCs w:val="18"/>
          <w:color w:val="auto"/>
        </w:rPr>
      </w:pPr>
    </w:p>
    <w:p>
      <w:pPr>
        <w:ind w:right="340" w:firstLine="8"/>
        <w:spacing w:after="0" w:line="262" w:lineRule="auto"/>
        <w:tabs>
          <w:tab w:leader="none" w:pos="29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deposit and discharge will not result in any default or event of default under any material indenture, agreement or other instrument binding upon us or any of our properties;</w:t>
      </w:r>
    </w:p>
    <w:p>
      <w:pPr>
        <w:spacing w:after="0" w:line="196" w:lineRule="exact"/>
        <w:rPr>
          <w:rFonts w:ascii="Arial" w:cs="Arial" w:eastAsia="Arial" w:hAnsi="Arial"/>
          <w:sz w:val="18"/>
          <w:szCs w:val="18"/>
          <w:color w:val="auto"/>
        </w:rPr>
      </w:pPr>
    </w:p>
    <w:p>
      <w:pPr>
        <w:jc w:val="both"/>
        <w:ind w:right="20" w:firstLine="656"/>
        <w:spacing w:after="0" w:line="256" w:lineRule="auto"/>
        <w:tabs>
          <w:tab w:leader="none" w:pos="91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deposit and discharge will not cause the holders of the debt securities of such series to recognize income, gain or loss for federal income tax purposes and that such holders will be subject to federal income tax in the same amounts, manner and time had such deposit and discharge not occurred; and</w:t>
      </w:r>
    </w:p>
    <w:p>
      <w:pPr>
        <w:spacing w:after="0" w:line="201" w:lineRule="exact"/>
        <w:rPr>
          <w:rFonts w:ascii="Arial" w:cs="Arial" w:eastAsia="Arial" w:hAnsi="Arial"/>
          <w:sz w:val="18"/>
          <w:szCs w:val="18"/>
          <w:color w:val="auto"/>
        </w:rPr>
      </w:pPr>
    </w:p>
    <w:p>
      <w:pPr>
        <w:ind w:right="540" w:firstLine="656"/>
        <w:spacing w:after="0" w:line="256" w:lineRule="auto"/>
        <w:tabs>
          <w:tab w:leader="none" w:pos="91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from our counsel stating that we have complied with all conditions precedent set forth in the indenture or the applicable supplemental indenture relating to the satisfaction and discharge of the indebtedness of the series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indenture contains provisions permitting us and the trustee, with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this note,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Deutsche Bank Trust Company Americas is the current trustee under the indenture. The trustee may acquire and hold debt securities and, subject to certain conditions, otherwise deal with us as if it were not trustee under the indenture. The trustee and its affiliates have in the past provided, and may from time to time in the future provide, trustee, commercial banking, investment banking and other services to us in the ordinary course of their respective businesses for which they have received, and will receive, customary compensation.</w:t>
      </w:r>
    </w:p>
    <w:p>
      <w:pPr>
        <w:sectPr>
          <w:pgSz w:w="11900" w:h="16838" w:orient="portrait"/>
          <w:cols w:equalWidth="0" w:num="1">
            <w:col w:w="11400"/>
          </w:cols>
          <w:pgMar w:left="240" w:top="787" w:right="2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Exhibit 10.2 Form of Performance Award under the 2002 Lilly Stock Plan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Eli Lilly and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Performance Award Agreement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 Executive Officers)</w:t>
      </w:r>
    </w:p>
    <w:p>
      <w:pPr>
        <w:spacing w:after="0" w:line="200" w:lineRule="exact"/>
        <w:rPr>
          <w:sz w:val="20"/>
          <w:szCs w:val="20"/>
          <w:color w:val="auto"/>
        </w:rPr>
      </w:pPr>
    </w:p>
    <w:p>
      <w:pPr>
        <w:spacing w:after="0" w:line="238"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This Performance Award has been granted on February 12, 2020 (“Grant Date”) by Eli Lilly and Company, an Indiana corporation, with its principal offices in Indianapolis, Indiana (“Lilly” or the “Company”), to the Eligible Individual who has received this Performance Award Agreement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174740" cy="18097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617474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Performance Period:</w:t>
      </w:r>
      <w:r>
        <w:rPr>
          <w:sz w:val="20"/>
          <w:szCs w:val="20"/>
          <w:color w:val="auto"/>
        </w:rPr>
        <w:tab/>
      </w:r>
      <w:r>
        <w:rPr>
          <w:rFonts w:ascii="Arial" w:cs="Arial" w:eastAsia="Arial" w:hAnsi="Arial"/>
          <w:sz w:val="18"/>
          <w:szCs w:val="18"/>
          <w:color w:val="auto"/>
        </w:rPr>
        <w:t>January 1, 2020 - December 31, 2021</w:t>
      </w:r>
    </w:p>
    <w:p>
      <w:pPr>
        <w:spacing w:after="0" w:line="22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Service Vesting Date:</w:t>
      </w:r>
      <w:r>
        <w:rPr>
          <w:sz w:val="20"/>
          <w:szCs w:val="20"/>
          <w:color w:val="auto"/>
        </w:rPr>
        <w:tab/>
      </w:r>
      <w:r>
        <w:rPr>
          <w:rFonts w:ascii="Arial" w:cs="Arial" w:eastAsia="Arial" w:hAnsi="Arial"/>
          <w:sz w:val="17"/>
          <w:szCs w:val="17"/>
          <w:color w:val="auto"/>
        </w:rPr>
        <w:t>February 1, 2023</w:t>
      </w:r>
    </w:p>
    <w:p>
      <w:pPr>
        <w:spacing w:after="0" w:line="22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Grant of Performance Award</w:t>
      </w:r>
    </w:p>
    <w:p>
      <w:pPr>
        <w:spacing w:after="0" w:line="139"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Performance Award Agreement (the “Grantee”) a Performance-Based Award (the “Performance Award” or the “Award”) with respect to the target number of shares of Lilly Common Stock (the “Shares”) that the Grantee may view by logging on to the Merrill Lynch website at </w:t>
      </w:r>
      <w:r>
        <w:rPr>
          <w:rFonts w:ascii="Arial" w:cs="Arial" w:eastAsia="Arial" w:hAnsi="Arial"/>
          <w:sz w:val="18"/>
          <w:szCs w:val="18"/>
          <w:b w:val="1"/>
          <w:bCs w:val="1"/>
          <w:color w:val="auto"/>
        </w:rPr>
        <w:t xml:space="preserve">http://myequity.lilly.com </w:t>
      </w:r>
      <w:r>
        <w:rPr>
          <w:rFonts w:ascii="Arial" w:cs="Arial" w:eastAsia="Arial" w:hAnsi="Arial"/>
          <w:sz w:val="18"/>
          <w:szCs w:val="18"/>
          <w:color w:val="auto"/>
        </w:rPr>
        <w:t>(the "Target Number of Shares").</w:t>
      </w:r>
    </w:p>
    <w:p>
      <w:pPr>
        <w:spacing w:after="0" w:line="96"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Performance Award Agreement, including all appendices, exhibits and addenda hereto (the “Award Agreement”). In the event of any conflict between the terms of the Plan and this Award Agreement, the terms of the Plan shall govern.</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0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Vesting</w:t>
      </w:r>
    </w:p>
    <w:p>
      <w:pPr>
        <w:spacing w:after="0" w:line="139"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units eligible to vest (“Performance Units”) based on the actual cumulative Earnings Per Share ("EPS") for the Performance Period and using the Non-GAAP EPS (as adjusted to the extent determined by the Committee) for the year immediately prior to the commencement of the Performance Period as a reference point (as shown on page 1 of this document) (“EPS Growth”), the corresponding payout multiple and the Target Number of Shares.</w:t>
      </w:r>
    </w:p>
    <w:p>
      <w:pPr>
        <w:spacing w:after="0" w:line="97"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actual cumulative EPS for the Performance Period shall be computed using the following procedures:</w:t>
      </w:r>
    </w:p>
    <w:p>
      <w:pPr>
        <w:spacing w:after="0" w:line="9" w:lineRule="exact"/>
        <w:rPr>
          <w:rFonts w:ascii="Arial" w:cs="Arial" w:eastAsia="Arial" w:hAnsi="Arial"/>
          <w:sz w:val="18"/>
          <w:szCs w:val="18"/>
          <w:color w:val="auto"/>
        </w:rPr>
      </w:pPr>
    </w:p>
    <w:p>
      <w:pPr>
        <w:ind w:left="1960" w:hanging="331"/>
        <w:spacing w:after="0" w:line="262" w:lineRule="auto"/>
        <w:tabs>
          <w:tab w:leader="none" w:pos="19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determination of adjusted consolidated net income ascertained from the Company's audited consolidated financial statements shall be made for each fiscal year in the Performance Period in</w:t>
      </w:r>
    </w:p>
    <w:p>
      <w:pPr>
        <w:sectPr>
          <w:pgSz w:w="11900" w:h="16838" w:orient="portrait"/>
          <w:cols w:equalWidth="0" w:num="1">
            <w:col w:w="11420"/>
          </w:cols>
          <w:pgMar w:left="240" w:top="846" w:right="239" w:bottom="1440" w:gutter="0" w:footer="0" w:header="0"/>
        </w:sectPr>
      </w:pPr>
    </w:p>
    <w:bookmarkStart w:id="149" w:name="page150"/>
    <w:bookmarkEnd w:id="149"/>
    <w:p>
      <w:pPr>
        <w:ind w:left="1620" w:right="20"/>
        <w:spacing w:after="0" w:line="250" w:lineRule="auto"/>
        <w:rPr>
          <w:sz w:val="20"/>
          <w:szCs w:val="20"/>
          <w:color w:val="auto"/>
        </w:rPr>
      </w:pPr>
      <w:r>
        <w:rPr>
          <w:rFonts w:ascii="Arial" w:cs="Arial" w:eastAsia="Arial" w:hAnsi="Arial"/>
          <w:sz w:val="18"/>
          <w:szCs w:val="18"/>
          <w:color w:val="auto"/>
        </w:rPr>
        <w:t>accordance with accounting principles currently applicable in the United States ("US GAAP"), adjusted to the extent deemed appropriate by the Committee for any unusual items deemed significant by the Committee.</w:t>
      </w:r>
    </w:p>
    <w:p>
      <w:pPr>
        <w:spacing w:after="0" w:line="1" w:lineRule="exact"/>
        <w:rPr>
          <w:sz w:val="20"/>
          <w:szCs w:val="20"/>
          <w:color w:val="auto"/>
        </w:rPr>
      </w:pPr>
    </w:p>
    <w:p>
      <w:pPr>
        <w:jc w:val="both"/>
        <w:ind w:left="1620" w:hanging="331"/>
        <w:spacing w:after="0" w:line="250"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number of shares of outstanding Lilly Common Stock used to compute consolidated EPS shall be determined as of the end of each fiscal year in the Performance Period on a diluted basis or its equivalent in accordance with US GAAP.</w:t>
      </w:r>
    </w:p>
    <w:p>
      <w:pPr>
        <w:spacing w:after="0" w:line="1"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calculate consolidated EPS for each fiscal year in the Performance Period, the adjusted consolidated net income shall be divided by the number of shares of outstanding Lilly Common Stock as computed in accordance with subsection (ii) above and the quotient rounded to the nearest cent.</w:t>
      </w:r>
    </w:p>
    <w:p>
      <w:pPr>
        <w:spacing w:after="0" w:line="1" w:lineRule="exact"/>
        <w:rPr>
          <w:rFonts w:ascii="Arial" w:cs="Arial" w:eastAsia="Arial" w:hAnsi="Arial"/>
          <w:sz w:val="18"/>
          <w:szCs w:val="18"/>
          <w:color w:val="auto"/>
        </w:rPr>
      </w:pPr>
    </w:p>
    <w:p>
      <w:pPr>
        <w:ind w:left="1620" w:hanging="331"/>
        <w:spacing w:after="0" w:line="250" w:lineRule="auto"/>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determine the cumulative EPS for the Performance Period, the EPS amounts for each fiscal year as determined above shall be added.</w:t>
      </w:r>
    </w:p>
    <w:p>
      <w:pPr>
        <w:ind w:left="960" w:hanging="644"/>
        <w:spacing w:after="0" w:line="250"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payout multiple corresponding to the EPS Growth (as shown on page 1 of this document) shall then be applied to the Target Number of Shares.</w:t>
      </w:r>
    </w:p>
    <w:p>
      <w:pPr>
        <w:ind w:left="960" w:hanging="644"/>
        <w:spacing w:after="0" w:line="250"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Performance Units under this Performance Award will be the number resulting from the calculation described in subsection (b) above.</w:t>
      </w:r>
    </w:p>
    <w:p>
      <w:pPr>
        <w:ind w:left="960" w:right="20" w:hanging="644"/>
        <w:spacing w:after="0" w:line="262"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event the Grantee’s Service is terminated prior to the Service Vesting Date for any reason or in any circumstance other than as described in Section 3 below, the Award, including any accrued Dividend Equivalent Rights, shall be forfeited.</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Impact of Certain Employment Status Changes</w:t>
      </w:r>
    </w:p>
    <w:p>
      <w:pPr>
        <w:spacing w:after="0" w:line="139"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94" w:lineRule="exact"/>
        <w:rPr>
          <w:sz w:val="20"/>
          <w:szCs w:val="20"/>
          <w:color w:val="auto"/>
        </w:rPr>
      </w:pPr>
    </w:p>
    <w:p>
      <w:pPr>
        <w:ind w:left="960" w:hanging="644"/>
        <w:spacing w:after="0" w:line="250" w:lineRule="auto"/>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ind w:left="960" w:hanging="644"/>
        <w:spacing w:after="0" w:line="250" w:lineRule="auto"/>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In the event the Grantee’s Service is terminated (i) due to the Grantee’s death, or (ii) by reason of Grantee’s Disability, the number of Shares eligible to vest shall be the number determined in accordance with Section 2 above.</w:t>
      </w:r>
    </w:p>
    <w:p>
      <w:pPr>
        <w:jc w:val="both"/>
        <w:ind w:left="960" w:hanging="644"/>
        <w:spacing w:after="0" w:line="254" w:lineRule="auto"/>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Performance Units shall vest, provided that if the Qualifying Termination occurs prior to the last day of the Performance Period, the number of Performance Units shall be reduced proportionally for the portion of the total days during the Performance Period in which the Grantee was not in active Service.</w:t>
      </w:r>
    </w:p>
    <w:p>
      <w:pPr>
        <w:spacing w:after="0" w:line="96"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any one of the following:</w:t>
      </w:r>
    </w:p>
    <w:p>
      <w:pPr>
        <w:spacing w:after="0" w:line="117"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or (C) a retired employee under a retirement program specifically approved by the Committee;</w:t>
      </w:r>
    </w:p>
    <w:p>
      <w:pPr>
        <w:spacing w:after="0" w:line="1" w:lineRule="exact"/>
        <w:rPr>
          <w:rFonts w:ascii="Arial" w:cs="Arial" w:eastAsia="Arial" w:hAnsi="Arial"/>
          <w:sz w:val="18"/>
          <w:szCs w:val="18"/>
          <w:color w:val="auto"/>
        </w:rPr>
      </w:pPr>
    </w:p>
    <w:p>
      <w:pPr>
        <w:ind w:left="1620" w:hanging="331"/>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Grantee’s Service is terminated due to a plant closing or reduction in workforce (as defined below);</w:t>
      </w:r>
    </w:p>
    <w:p>
      <w:pPr>
        <w:spacing w:after="0" w:line="9" w:lineRule="exact"/>
        <w:rPr>
          <w:rFonts w:ascii="Arial" w:cs="Arial" w:eastAsia="Arial" w:hAnsi="Arial"/>
          <w:sz w:val="18"/>
          <w:szCs w:val="18"/>
          <w:color w:val="auto"/>
        </w:rPr>
      </w:pPr>
    </w:p>
    <w:p>
      <w:pPr>
        <w:jc w:val="both"/>
        <w:ind w:left="1620" w:hanging="331"/>
        <w:spacing w:after="0" w:line="262"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88" w:lineRule="exact"/>
        <w:rPr>
          <w:sz w:val="20"/>
          <w:szCs w:val="20"/>
          <w:color w:val="auto"/>
        </w:rPr>
      </w:pPr>
    </w:p>
    <w:p>
      <w:pPr>
        <w:ind w:left="960" w:right="200"/>
        <w:spacing w:after="0" w:line="26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196" w:lineRule="exact"/>
        <w:rPr>
          <w:sz w:val="20"/>
          <w:szCs w:val="20"/>
          <w:color w:val="auto"/>
        </w:rPr>
      </w:pPr>
    </w:p>
    <w:p>
      <w:pPr>
        <w:ind w:left="960" w:right="720"/>
        <w:spacing w:after="0" w:line="26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88" w:lineRule="exact"/>
        <w:rPr>
          <w:sz w:val="20"/>
          <w:szCs w:val="20"/>
          <w:color w:val="auto"/>
        </w:rPr>
      </w:pPr>
    </w:p>
    <w:p>
      <w:pPr>
        <w:jc w:val="both"/>
        <w:ind w:left="960" w:hanging="644"/>
        <w:spacing w:after="0" w:line="254"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Notwithstanding Section 3(c)(i), in the event the Grantee's Service is terminated due to retirement as a “retiree” (as defined in Section 3(c)) subsequent to the last day of the Performance Period but prior to the Service Vesting Date, the Performance Units, if any, shall continue to accrue Dividend Equivalent Rights and the Performance Units and Dividend Equivalent Rights shall vest on the Service Vesting Date.</w:t>
      </w:r>
    </w:p>
    <w:p>
      <w:pPr>
        <w:spacing w:after="0" w:line="96" w:lineRule="exact"/>
        <w:rPr>
          <w:rFonts w:ascii="Arial" w:cs="Arial" w:eastAsia="Arial" w:hAnsi="Arial"/>
          <w:sz w:val="18"/>
          <w:szCs w:val="18"/>
          <w:color w:val="auto"/>
        </w:rPr>
      </w:pPr>
    </w:p>
    <w:p>
      <w:pPr>
        <w:jc w:val="both"/>
        <w:ind w:left="960"/>
        <w:spacing w:after="0" w:line="254" w:lineRule="auto"/>
        <w:rPr>
          <w:rFonts w:ascii="Arial" w:cs="Arial" w:eastAsia="Arial" w:hAnsi="Arial"/>
          <w:sz w:val="18"/>
          <w:szCs w:val="18"/>
          <w:color w:val="auto"/>
        </w:rPr>
      </w:pPr>
      <w:r>
        <w:rPr>
          <w:rFonts w:ascii="Arial" w:cs="Arial" w:eastAsia="Arial" w:hAnsi="Arial"/>
          <w:sz w:val="18"/>
          <w:szCs w:val="18"/>
          <w:color w:val="auto"/>
        </w:rPr>
        <w:t>A Grantee who has not received a year-end individual performance rating and (i) is on employment probation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w:t>
      </w:r>
    </w:p>
    <w:p>
      <w:pPr>
        <w:spacing w:after="0" w:line="30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80"/>
          </w:cols>
          <w:pgMar w:left="580" w:top="355" w:right="239" w:bottom="1440" w:gutter="0" w:footer="0" w:header="0"/>
        </w:sectPr>
      </w:pPr>
    </w:p>
    <w:bookmarkStart w:id="150" w:name="page151"/>
    <w:bookmarkEnd w:id="150"/>
    <w:p>
      <w:pPr>
        <w:ind w:left="960"/>
        <w:spacing w:after="0" w:line="262" w:lineRule="auto"/>
        <w:rPr>
          <w:sz w:val="20"/>
          <w:szCs w:val="20"/>
          <w:color w:val="auto"/>
        </w:rPr>
      </w:pPr>
      <w:r>
        <w:rPr>
          <w:rFonts w:ascii="Arial" w:cs="Arial" w:eastAsia="Arial" w:hAnsi="Arial"/>
          <w:sz w:val="18"/>
          <w:szCs w:val="18"/>
          <w:color w:val="auto"/>
        </w:rPr>
        <w:t>substance abuse policy, possession of firearms, misconduct) will not be considered to have terminated due to retirement as described herein.</w:t>
      </w:r>
    </w:p>
    <w:p>
      <w:pPr>
        <w:spacing w:after="0" w:line="88" w:lineRule="exact"/>
        <w:rPr>
          <w:sz w:val="20"/>
          <w:szCs w:val="20"/>
          <w:color w:val="auto"/>
        </w:rPr>
      </w:pPr>
    </w:p>
    <w:p>
      <w:pPr>
        <w:jc w:val="both"/>
        <w:ind w:left="960" w:hanging="644"/>
        <w:spacing w:after="0" w:line="250" w:lineRule="auto"/>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Company may, in its sole discretion, cancel this Performance Award or reduce the number of Performance Units, prorated according to time or other measure as determined appropriate by the Company, if during any period prior to the Service Vesting Date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2" w:lineRule="exact"/>
        <w:rPr>
          <w:rFonts w:ascii="Arial" w:cs="Arial" w:eastAsia="Arial" w:hAnsi="Arial"/>
          <w:sz w:val="18"/>
          <w:szCs w:val="18"/>
          <w:color w:val="auto"/>
        </w:rPr>
      </w:pPr>
    </w:p>
    <w:p>
      <w:pPr>
        <w:jc w:val="both"/>
        <w:ind w:left="960" w:hanging="644"/>
        <w:spacing w:after="0" w:line="252" w:lineRule="auto"/>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Employment Probation</w:t>
      </w:r>
      <w:r>
        <w:rPr>
          <w:rFonts w:ascii="Arial" w:cs="Arial" w:eastAsia="Arial" w:hAnsi="Arial"/>
          <w:sz w:val="18"/>
          <w:szCs w:val="18"/>
          <w:color w:val="auto"/>
        </w:rPr>
        <w:t>. If the Grantee is placed on employment probation (or its equivalent as determined by the Committee) at any time subsequent to the last day of the Performance Period but prior to the Service Vesting Date, the Grantee shall forfeit the Performance Units and Dividend Equivalent Rights scheduled to vest on the Service Vesting Date to the extent the Award is the next subsequent Award (when compared to other Awards held by the Grantee) that is scheduled to vest following the date that the Grantee is placed on employment probation (it being understood that all other Awards, if any, that are scheduled to vest on the Service Vesting Date shall also be forfeited).</w:t>
      </w:r>
    </w:p>
    <w:p>
      <w:pPr>
        <w:spacing w:after="0" w:line="101"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Committee’s determination as to whether (1) a leave of absence or a transfer of employment between Lilly and an Affiliate or between Affiliates constitutes a termination of Service, (2) the Grantee’s Service has been terminated by reason of Disability, (3) the Grantee’s Service has been terminated as a result of the failure to locate a position within the Company or an Affiliate following reallocation or medical reassignment (or equivalent as determined by the Committee), and (4) the Grantee’s Service has been terminated as a direct result of either a plant closing or a reduction in workforce shall be final and binding on the Grantee.</w:t>
      </w:r>
    </w:p>
    <w:p>
      <w:pPr>
        <w:spacing w:after="0" w:line="200" w:lineRule="exact"/>
        <w:rPr>
          <w:sz w:val="20"/>
          <w:szCs w:val="20"/>
          <w:color w:val="auto"/>
        </w:rPr>
      </w:pPr>
    </w:p>
    <w:p>
      <w:pPr>
        <w:spacing w:after="0" w:line="30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Change in Control</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117" w:lineRule="exact"/>
        <w:rPr>
          <w:sz w:val="20"/>
          <w:szCs w:val="20"/>
          <w:color w:val="auto"/>
        </w:rPr>
      </w:pPr>
    </w:p>
    <w:p>
      <w:pPr>
        <w:ind w:left="960" w:hanging="644"/>
        <w:spacing w:after="0" w:line="250"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jc w:val="both"/>
        <w:ind w:left="960" w:hanging="644"/>
        <w:spacing w:after="0" w:line="250"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last day of the Performance Period, the Grantee will be credited with an award of Restricted Stock Units equal to the number of Performance Units, to be calculated in a manner consistent with Section 2, but the cumulative EPS shall equal the Company’s cumulative EPS expected results (as determined by the Company’s last approved forecast prior to the consummation of the Transaction, not considering the impact of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2"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the event that (A) the Grantee is subject to a termination of Service as described in Sections 3(b) and (c) prior to the last day of the Performance Period or (B)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1" w:lineRule="exact"/>
        <w:rPr>
          <w:rFonts w:ascii="Arial" w:cs="Arial" w:eastAsia="Arial" w:hAnsi="Arial"/>
          <w:sz w:val="18"/>
          <w:szCs w:val="18"/>
          <w:color w:val="auto"/>
        </w:rPr>
      </w:pPr>
    </w:p>
    <w:p>
      <w:pPr>
        <w:jc w:val="both"/>
        <w:ind w:left="1620" w:hanging="169"/>
        <w:spacing w:after="0" w:line="254" w:lineRule="auto"/>
        <w:tabs>
          <w:tab w:leader="none" w:pos="162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96" w:lineRule="exact"/>
        <w:rPr>
          <w:sz w:val="20"/>
          <w:szCs w:val="20"/>
          <w:color w:val="auto"/>
        </w:rPr>
      </w:pPr>
    </w:p>
    <w:p>
      <w:pPr>
        <w:jc w:val="both"/>
        <w:ind w:left="960"/>
        <w:spacing w:after="0" w:line="254"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96" w:lineRule="exact"/>
        <w:rPr>
          <w:sz w:val="20"/>
          <w:szCs w:val="20"/>
          <w:color w:val="auto"/>
        </w:rPr>
      </w:pPr>
    </w:p>
    <w:p>
      <w:pPr>
        <w:ind w:left="960" w:hanging="644"/>
        <w:spacing w:after="0" w:line="250" w:lineRule="auto"/>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following shall apply in the event of a Transaction that occurs subsequent to the last day of the Performance Period but prior to the Service Vesting Date:</w:t>
      </w:r>
    </w:p>
    <w:p>
      <w:pPr>
        <w:ind w:left="1620" w:hanging="331"/>
        <w:spacing w:after="0" w:line="262" w:lineRule="auto"/>
        <w:tabs>
          <w:tab w:leader="none" w:pos="1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the event that the Performance Units are not converted, assumed, substituted, continued or replaced by a successor or surviving corporation, or a parent or subsidiary thereof, in connection</w:t>
      </w:r>
    </w:p>
    <w:p>
      <w:pPr>
        <w:spacing w:after="0" w:line="18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80"/>
          </w:cols>
          <w:pgMar w:left="580" w:top="463" w:right="239" w:bottom="1440" w:gutter="0" w:footer="0" w:header="0"/>
        </w:sectPr>
      </w:pPr>
    </w:p>
    <w:bookmarkStart w:id="151" w:name="page152"/>
    <w:bookmarkEnd w:id="151"/>
    <w:p>
      <w:pPr>
        <w:ind w:left="1620"/>
        <w:spacing w:after="0"/>
        <w:rPr>
          <w:sz w:val="20"/>
          <w:szCs w:val="20"/>
          <w:color w:val="auto"/>
        </w:rPr>
      </w:pPr>
      <w:r>
        <w:rPr>
          <w:rFonts w:ascii="Arial" w:cs="Arial" w:eastAsia="Arial" w:hAnsi="Arial"/>
          <w:sz w:val="18"/>
          <w:szCs w:val="18"/>
          <w:color w:val="auto"/>
        </w:rPr>
        <w:t>with a Transaction, then immediately prior to the Transaction, the Performance Units shall vest automatically in full.</w:t>
      </w:r>
    </w:p>
    <w:p>
      <w:pPr>
        <w:spacing w:after="0" w:line="9" w:lineRule="exact"/>
        <w:rPr>
          <w:sz w:val="20"/>
          <w:szCs w:val="20"/>
          <w:color w:val="auto"/>
        </w:rPr>
      </w:pPr>
    </w:p>
    <w:p>
      <w:pPr>
        <w:jc w:val="both"/>
        <w:ind w:left="1620" w:hanging="169"/>
        <w:spacing w:after="0" w:line="254"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that the Performance Units are converted, assumed, substituted, continued or replaced by a successor or surviving corporation, or a parent or subsidiary thereof, in connection with the Transaction and the Grantee is subject to a Covered Termination prior to the Service Vesting Date, then immediately as of the date of the Covered Termination, the Performance Units shall vest automatically in full.</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Settlement</w:t>
      </w:r>
    </w:p>
    <w:p>
      <w:pPr>
        <w:spacing w:after="0" w:line="31" w:lineRule="exact"/>
        <w:rPr>
          <w:sz w:val="20"/>
          <w:szCs w:val="20"/>
          <w:color w:val="auto"/>
        </w:rPr>
      </w:pPr>
    </w:p>
    <w:p>
      <w:pPr>
        <w:ind w:left="960" w:hanging="644"/>
        <w:spacing w:after="0" w:line="250"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provided below, a vested Award shall be paid to the Grantee as soon as practicable, but in no event later than sixty (60) days following the Service Vesting Date, including if the Award vests pursuant to Sections 3(b), 3(c) or 3(d).</w:t>
      </w:r>
    </w:p>
    <w:p>
      <w:pPr>
        <w:jc w:val="both"/>
        <w:ind w:left="960" w:hanging="644"/>
        <w:spacing w:after="0" w:line="250"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Award vests pursuant to Section 3(b) subsequent to the last day of the Performance Period, the Award shall be paid to the Grantee no later than sixty (60) days following the date of the Grantee’s termination of Service under Section 3(b), provided that if the Award is considered an item of nonqualified deferred compensation subject to Section 409A of the Code (“NQ Deferred Compensation”), the Award shall be paid within sixty (60) days following (i) the date the Grantee experiences a Disability or (ii) the date of the Grantee’s death, as applicable.</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Award vests pursuant to Section 4(b)(i) or Section 4(c)(i), the Award shall be paid to the Grantee immediately prior to the Transaction, provided that if the Award is considered NQ Deferred Compensation and the Transaction does not constitute a “change in control event” under Section 409A of the Code (a “409A CIC”), then the Award shall be paid in cash (calculated based on the value of the Shares established for the consideration to be paid to holders of Shares in the Transaction) on the Service Vesting Date.</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Award vests pursuant to Section 4(b)(ii) or Section 4(c)(ii),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“separation from service” within the meaning of Section 409A of the Code (a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3"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5(f) below, to the Grantee. In the event the Grantee is entitled to a fractional Share, the fraction may be paid in cash or rounded, in the Committee’s discretion.</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any time prior to the Service Vesting Date or until the Performance Units are paid in accordance with this Section 5, the Committee may, if it so elects, determine to pay part or all of the Performance Units in cash in lieu of issuing or transferring Shares. The amount of cash shall be calculated based on the Fair Market Value of the Shares on the last day of the Restriction Period in the case of payment pursuant to Section 5(a) and on the date of payment in the case of a payment pursuant to Section 5(d).</w:t>
      </w:r>
    </w:p>
    <w:p>
      <w:pPr>
        <w:spacing w:after="0" w:line="2" w:lineRule="exact"/>
        <w:rPr>
          <w:rFonts w:ascii="Arial" w:cs="Arial" w:eastAsia="Arial" w:hAnsi="Arial"/>
          <w:sz w:val="18"/>
          <w:szCs w:val="18"/>
          <w:color w:val="auto"/>
        </w:rPr>
      </w:pPr>
    </w:p>
    <w:p>
      <w:pPr>
        <w:ind w:left="960" w:hanging="64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Dividend Equivalent Rights, if any, that accrue hereunder shall be settled in cash.</w:t>
      </w:r>
    </w:p>
    <w:p>
      <w:pPr>
        <w:spacing w:after="0" w:line="9" w:lineRule="exact"/>
        <w:rPr>
          <w:rFonts w:ascii="Arial" w:cs="Arial" w:eastAsia="Arial" w:hAnsi="Arial"/>
          <w:sz w:val="18"/>
          <w:szCs w:val="18"/>
          <w:color w:val="auto"/>
        </w:rPr>
      </w:pPr>
    </w:p>
    <w:p>
      <w:pPr>
        <w:ind w:left="960" w:hanging="64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w:t>
      </w:r>
    </w:p>
    <w:p>
      <w:pPr>
        <w:spacing w:after="0" w:line="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Rights of the Grantee</w:t>
      </w:r>
    </w:p>
    <w:p>
      <w:pPr>
        <w:spacing w:after="0" w:line="9" w:lineRule="exact"/>
        <w:rPr>
          <w:sz w:val="20"/>
          <w:szCs w:val="20"/>
          <w:color w:val="auto"/>
        </w:rPr>
      </w:pPr>
    </w:p>
    <w:p>
      <w:pPr>
        <w:ind w:left="960" w:hanging="644"/>
        <w:spacing w:after="0" w:line="250" w:lineRule="auto"/>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Performance Award does not entitle the Grantee to any rights of a shareholder of Lilly until such time as the Performance Award is settled and Shares are issued or transferred to the Grantee.</w:t>
      </w:r>
    </w:p>
    <w:p>
      <w:pPr>
        <w:jc w:val="both"/>
        <w:ind w:left="960" w:hanging="644"/>
        <w:spacing w:after="0" w:line="250" w:lineRule="auto"/>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On each date that the Company pays a cash dividend to holders of Shares during the period commencing on the date the number of Performance Units are determined continuing through the date the Performance Units are settled, the Grantee shall be credited with Dividend Equivalent Rights in an amount equal to the total number of Performance Units, multiplied by the dollar amount of the cash dividend paid per Share by the Company on such date. Dividend Equivalent Rights shall accrue in an account denominated in U.S. dollars and shall not accrue interest or other credits prior to being paid. The Dividend Equivalent Rights shall be subject to the same vesting conditions and restrictions as the Performance Units to which the Dividend Equivalent Rights relate, and the Dividend Equivalent Rights shall be forfeited in the event that the Performance Units with respect to which such Dividend Equivalent Rights were credited are forfeited.</w:t>
      </w:r>
    </w:p>
    <w:p>
      <w:pPr>
        <w:spacing w:after="0" w:line="3" w:lineRule="exact"/>
        <w:rPr>
          <w:rFonts w:ascii="Arial" w:cs="Arial" w:eastAsia="Arial" w:hAnsi="Arial"/>
          <w:sz w:val="18"/>
          <w:szCs w:val="18"/>
          <w:color w:val="auto"/>
        </w:rPr>
      </w:pPr>
    </w:p>
    <w:p>
      <w:pPr>
        <w:ind w:left="960" w:right="20" w:hanging="644"/>
        <w:spacing w:after="0" w:line="262" w:lineRule="auto"/>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w:t>
      </w:r>
    </w:p>
    <w:p>
      <w:pPr>
        <w:spacing w:after="0" w:line="18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580" w:top="355" w:right="239" w:bottom="1440" w:gutter="0" w:footer="0" w:header="0"/>
        </w:sectPr>
      </w:pPr>
    </w:p>
    <w:bookmarkStart w:id="152" w:name="page153"/>
    <w:bookmarkEnd w:id="152"/>
    <w:p>
      <w:pPr>
        <w:ind w:left="960" w:right="20"/>
        <w:spacing w:after="0" w:line="262" w:lineRule="auto"/>
        <w:rPr>
          <w:sz w:val="20"/>
          <w:szCs w:val="20"/>
          <w:color w:val="auto"/>
        </w:rPr>
      </w:pPr>
      <w:r>
        <w:rPr>
          <w:rFonts w:ascii="Arial" w:cs="Arial" w:eastAsia="Arial" w:hAnsi="Arial"/>
          <w:sz w:val="18"/>
          <w:szCs w:val="18"/>
          <w:color w:val="auto"/>
        </w:rPr>
        <w:t>payments of cash or Shares pursuant to this Award Agreement shall be an unsecured claim against the general assets of the Company.</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color w:val="auto"/>
        </w:rPr>
        <w:t>Prohibition Against Transfer</w:t>
      </w:r>
    </w:p>
    <w:p>
      <w:pPr>
        <w:spacing w:after="0" w:line="139" w:lineRule="exact"/>
        <w:rPr>
          <w:sz w:val="20"/>
          <w:szCs w:val="20"/>
          <w:color w:val="auto"/>
        </w:rPr>
      </w:pPr>
    </w:p>
    <w:p>
      <w:pPr>
        <w:jc w:val="both"/>
        <w:ind w:left="60"/>
        <w:spacing w:after="0" w:line="25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Responsibility for Taxes</w:t>
      </w:r>
    </w:p>
    <w:p>
      <w:pPr>
        <w:spacing w:after="0" w:line="9" w:lineRule="exact"/>
        <w:rPr>
          <w:sz w:val="20"/>
          <w:szCs w:val="20"/>
          <w:color w:val="auto"/>
        </w:rPr>
      </w:pPr>
    </w:p>
    <w:p>
      <w:pPr>
        <w:jc w:val="both"/>
        <w:ind w:left="960" w:hanging="644"/>
        <w:spacing w:after="0" w:line="250"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Regardless of any action Lilly and/or the Grantee’s employer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Performance Award, the vesting of the Performance Award, the transfer and issuance of any Shares, the receipt of any cash payment pursuant to the Award, the accrual and payment of Dividend Equivalent Rights,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 w:lineRule="exact"/>
        <w:rPr>
          <w:rFonts w:ascii="Arial" w:cs="Arial" w:eastAsia="Arial" w:hAnsi="Arial"/>
          <w:sz w:val="18"/>
          <w:szCs w:val="18"/>
          <w:color w:val="auto"/>
        </w:rPr>
      </w:pPr>
    </w:p>
    <w:p>
      <w:pPr>
        <w:ind w:left="960" w:hanging="644"/>
        <w:spacing w:after="0" w:line="250"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jc w:val="both"/>
        <w:ind w:left="1620" w:hanging="331"/>
        <w:spacing w:after="0" w:line="250" w:lineRule="auto"/>
        <w:tabs>
          <w:tab w:leader="none" w:pos="1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1"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not subject to the short-swing profit rules of Section 16(b) of the Exchange Act, the Grantee authorizes Lilly and/or the Employer, or their respective agents, at their discretion, to (i) withhold from the Grantee’s wages or other cash compensation paid to the Grantee by the Company and/or the Employer, (ii)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(iii) withhold in Shares otherwise issuable to the Grantee pursuant to this Award, and/or (iv) apply any other method of withholding determined by the Company and, to the extent required by Applicable Laws or the Plan, approved by the Committee.</w:t>
      </w:r>
    </w:p>
    <w:p>
      <w:pPr>
        <w:spacing w:after="0" w:line="4"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 and 8(b)(ii) above.</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3" w:lineRule="exact"/>
        <w:rPr>
          <w:rFonts w:ascii="Arial" w:cs="Arial" w:eastAsia="Arial" w:hAnsi="Arial"/>
          <w:sz w:val="18"/>
          <w:szCs w:val="18"/>
          <w:color w:val="auto"/>
        </w:rPr>
      </w:pPr>
    </w:p>
    <w:p>
      <w:pPr>
        <w:ind w:left="960" w:right="20" w:hanging="644"/>
        <w:spacing w:after="0" w:line="262"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18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580" w:top="355" w:right="239" w:bottom="1440" w:gutter="0" w:footer="0" w:header="0"/>
        </w:sectPr>
      </w:pPr>
    </w:p>
    <w:bookmarkStart w:id="153" w:name="page154"/>
    <w:bookmarkEnd w:id="153"/>
    <w:p>
      <w:pPr>
        <w:spacing w:after="0"/>
        <w:tabs>
          <w:tab w:leader="none" w:pos="12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Section 409A Compliance</w:t>
      </w:r>
    </w:p>
    <w:p>
      <w:pPr>
        <w:spacing w:after="0" w:line="31" w:lineRule="exact"/>
        <w:rPr>
          <w:sz w:val="20"/>
          <w:szCs w:val="20"/>
          <w:color w:val="auto"/>
        </w:rPr>
      </w:pPr>
    </w:p>
    <w:p>
      <w:pPr>
        <w:jc w:val="both"/>
        <w:ind w:left="60"/>
        <w:spacing w:after="0" w:line="25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8"/>
          <w:szCs w:val="18"/>
          <w:b w:val="1"/>
          <w:bCs w:val="1"/>
          <w:color w:val="auto"/>
        </w:rPr>
        <w:t>Grantee’s Acknowledgments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117" w:lineRule="exact"/>
        <w:rPr>
          <w:sz w:val="20"/>
          <w:szCs w:val="20"/>
          <w:color w:val="auto"/>
        </w:rPr>
      </w:pPr>
    </w:p>
    <w:p>
      <w:pPr>
        <w:ind w:left="960" w:hanging="644"/>
        <w:spacing w:after="0" w:line="250"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ind w:left="960" w:hanging="644"/>
        <w:spacing w:after="0" w:line="250"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ind w:left="960" w:right="20" w:hanging="644"/>
        <w:spacing w:after="0" w:line="250"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ind w:left="960" w:hanging="644"/>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9" w:lineRule="exact"/>
        <w:rPr>
          <w:rFonts w:ascii="Arial" w:cs="Arial" w:eastAsia="Arial" w:hAnsi="Arial"/>
          <w:sz w:val="18"/>
          <w:szCs w:val="18"/>
          <w:color w:val="auto"/>
        </w:rPr>
      </w:pPr>
    </w:p>
    <w:p>
      <w:pPr>
        <w:ind w:left="960" w:hanging="644"/>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9"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1" w:lineRule="exact"/>
        <w:rPr>
          <w:rFonts w:ascii="Arial" w:cs="Arial" w:eastAsia="Arial" w:hAnsi="Arial"/>
          <w:sz w:val="18"/>
          <w:szCs w:val="18"/>
          <w:color w:val="auto"/>
        </w:rPr>
      </w:pPr>
    </w:p>
    <w:p>
      <w:pPr>
        <w:ind w:left="960" w:hanging="644"/>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9"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and any Dividend Equivalent Rights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5"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1" w:lineRule="exact"/>
        <w:rPr>
          <w:rFonts w:ascii="Arial" w:cs="Arial" w:eastAsia="Arial" w:hAnsi="Arial"/>
          <w:sz w:val="18"/>
          <w:szCs w:val="18"/>
          <w:color w:val="auto"/>
        </w:rPr>
      </w:pPr>
    </w:p>
    <w:p>
      <w:pPr>
        <w:ind w:left="960" w:right="20" w:hanging="644"/>
        <w:spacing w:after="0" w:line="250"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ind w:left="960" w:right="20" w:hanging="644"/>
        <w:spacing w:after="0" w:line="262"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has communicated share ownership guidelines that apply to the Grantee, and the Grantee understands and agrees that those guidelines may impact any shares of Lilly Stock that may be issued pursuant to this Award.</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color w:val="auto"/>
        </w:rPr>
        <w:t>Data Privacy</w:t>
      </w:r>
    </w:p>
    <w:p>
      <w:pPr>
        <w:spacing w:after="0" w:line="31" w:lineRule="exact"/>
        <w:rPr>
          <w:sz w:val="20"/>
          <w:szCs w:val="20"/>
          <w:color w:val="auto"/>
        </w:rPr>
      </w:pPr>
    </w:p>
    <w:p>
      <w:pPr>
        <w:jc w:val="both"/>
        <w:ind w:left="960" w:hanging="644"/>
        <w:spacing w:after="0" w:line="256"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w:t>
      </w:r>
    </w:p>
    <w:p>
      <w:pPr>
        <w:spacing w:after="0" w:line="19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80"/>
          </w:cols>
          <w:pgMar w:left="580" w:top="549" w:right="239" w:bottom="1440" w:gutter="0" w:footer="0" w:header="0"/>
        </w:sectPr>
      </w:pPr>
    </w:p>
    <w:bookmarkStart w:id="154" w:name="page155"/>
    <w:bookmarkEnd w:id="154"/>
    <w:p>
      <w:pPr>
        <w:jc w:val="both"/>
        <w:ind w:left="644"/>
        <w:spacing w:after="0" w:line="253" w:lineRule="auto"/>
        <w:rPr>
          <w:sz w:val="20"/>
          <w:szCs w:val="20"/>
          <w:color w:val="auto"/>
        </w:rPr>
      </w:pPr>
      <w:r>
        <w:rPr>
          <w:rFonts w:ascii="Arial" w:cs="Arial" w:eastAsia="Arial" w:hAnsi="Arial"/>
          <w:sz w:val="18"/>
          <w:szCs w:val="18"/>
          <w:i w:val="1"/>
          <w:iCs w:val="1"/>
          <w:color w:val="auto"/>
        </w:rPr>
        <w:t>number, passport or other identification number (e.g., resident registration number), salary, nationality, job title, any shares of stock or directorships held in the Company, details of all Performance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3" w:lineRule="exact"/>
        <w:rPr>
          <w:sz w:val="20"/>
          <w:szCs w:val="20"/>
          <w:color w:val="auto"/>
        </w:rPr>
      </w:pPr>
    </w:p>
    <w:p>
      <w:pPr>
        <w:jc w:val="both"/>
        <w:ind w:left="644" w:hanging="644"/>
        <w:spacing w:after="0" w:line="250" w:lineRule="auto"/>
        <w:tabs>
          <w:tab w:leader="none" w:pos="644"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3"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For example, the European Commission has issued a limited adequacy finding with respect to the United States that applies only to the extent companies register for the EU-U.S. Privacy Shield program, which is open to companies subject to Federal Trade Commission jurisdiction and in which the Company participates with respect to employee data. The Company also participates in the Swiss-U.S. Privacy Shield program under which the Company certifies compliance with certain Swiss data protection requirements with respect to employee data. The Company’s legal basis, where required, for the transfer of Data is Grantee’s consent.</w:t>
      </w:r>
    </w:p>
    <w:p>
      <w:pPr>
        <w:spacing w:after="0" w:line="3"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6" w:lineRule="exact"/>
        <w:rPr>
          <w:rFonts w:ascii="Arial" w:cs="Arial" w:eastAsia="Arial" w:hAnsi="Arial"/>
          <w:sz w:val="18"/>
          <w:szCs w:val="18"/>
          <w:color w:val="auto"/>
        </w:rPr>
      </w:pPr>
    </w:p>
    <w:p>
      <w:pPr>
        <w:jc w:val="both"/>
        <w:ind w:left="644" w:hanging="644"/>
        <w:spacing w:after="0" w:line="253" w:lineRule="auto"/>
        <w:tabs>
          <w:tab w:leader="none" w:pos="644" w:val="left"/>
        </w:tabs>
        <w:numPr>
          <w:ilvl w:val="0"/>
          <w:numId w:val="124"/>
        </w:numPr>
        <w:rPr>
          <w:rFonts w:ascii="Arial" w:cs="Arial" w:eastAsia="Arial" w:hAnsi="Arial"/>
          <w:sz w:val="18"/>
          <w:szCs w:val="18"/>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200" w:lineRule="exact"/>
        <w:rPr>
          <w:sz w:val="20"/>
          <w:szCs w:val="20"/>
          <w:color w:val="auto"/>
        </w:rPr>
      </w:pPr>
    </w:p>
    <w:p>
      <w:pPr>
        <w:spacing w:after="0" w:line="215"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4"/>
          </w:cols>
          <w:pgMar w:left="896" w:top="337" w:right="239" w:bottom="1440" w:gutter="0" w:footer="0" w:header="0"/>
        </w:sectPr>
      </w:pPr>
    </w:p>
    <w:bookmarkStart w:id="155" w:name="page156"/>
    <w:bookmarkEnd w:id="155"/>
    <w:p>
      <w:pPr>
        <w:spacing w:after="0"/>
        <w:tabs>
          <w:tab w:leader="none" w:pos="126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Additional Terms and Conditions</w:t>
      </w:r>
    </w:p>
    <w:p>
      <w:pPr>
        <w:spacing w:after="0" w:line="139" w:lineRule="exact"/>
        <w:rPr>
          <w:sz w:val="20"/>
          <w:szCs w:val="20"/>
          <w:color w:val="auto"/>
        </w:rPr>
      </w:pPr>
    </w:p>
    <w:p>
      <w:pPr>
        <w:jc w:val="both"/>
        <w:ind w:left="60"/>
        <w:spacing w:after="0" w:line="252" w:lineRule="auto"/>
        <w:rPr>
          <w:sz w:val="20"/>
          <w:szCs w:val="20"/>
          <w:color w:val="auto"/>
        </w:rPr>
      </w:pPr>
      <w:r>
        <w:rPr>
          <w:rFonts w:ascii="Arial" w:cs="Arial" w:eastAsia="Arial" w:hAnsi="Arial"/>
          <w:sz w:val="18"/>
          <w:szCs w:val="18"/>
          <w:color w:val="auto"/>
        </w:rPr>
        <w:t>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Performance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29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7"/>
          <w:szCs w:val="17"/>
          <w:b w:val="1"/>
          <w:bCs w:val="1"/>
          <w:color w:val="auto"/>
        </w:rPr>
        <w:t>Governing Law and Choice of Venue</w:t>
      </w:r>
    </w:p>
    <w:p>
      <w:pPr>
        <w:spacing w:after="0" w:line="139"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2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7"/>
          <w:szCs w:val="17"/>
          <w:b w:val="1"/>
          <w:bCs w:val="1"/>
          <w:color w:val="auto"/>
        </w:rPr>
        <w:t>Miscellaneous Provisions</w:t>
      </w:r>
    </w:p>
    <w:p>
      <w:pPr>
        <w:spacing w:after="0" w:line="31" w:lineRule="exact"/>
        <w:rPr>
          <w:sz w:val="20"/>
          <w:szCs w:val="20"/>
          <w:color w:val="auto"/>
        </w:rPr>
      </w:pPr>
    </w:p>
    <w:p>
      <w:pPr>
        <w:jc w:val="both"/>
        <w:ind w:left="960" w:hanging="644"/>
        <w:spacing w:after="0" w:line="250"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1" w:lineRule="exact"/>
        <w:rPr>
          <w:rFonts w:ascii="Arial" w:cs="Arial" w:eastAsia="Arial" w:hAnsi="Arial"/>
          <w:sz w:val="18"/>
          <w:szCs w:val="18"/>
          <w:color w:val="auto"/>
        </w:rPr>
      </w:pPr>
    </w:p>
    <w:p>
      <w:pPr>
        <w:jc w:val="both"/>
        <w:ind w:left="960" w:hanging="644"/>
        <w:spacing w:after="0" w:line="253"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97" w:lineRule="exact"/>
        <w:rPr>
          <w:rFonts w:ascii="Arial" w:cs="Arial" w:eastAsia="Arial" w:hAnsi="Arial"/>
          <w:sz w:val="18"/>
          <w:szCs w:val="18"/>
          <w:color w:val="auto"/>
        </w:rPr>
      </w:pPr>
    </w:p>
    <w:p>
      <w:pPr>
        <w:ind w:left="960"/>
        <w:spacing w:after="0" w:line="26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88" w:lineRule="exact"/>
        <w:rPr>
          <w:rFonts w:ascii="Arial" w:cs="Arial" w:eastAsia="Arial" w:hAnsi="Arial"/>
          <w:sz w:val="18"/>
          <w:szCs w:val="18"/>
          <w:color w:val="auto"/>
        </w:rPr>
      </w:pPr>
    </w:p>
    <w:p>
      <w:pPr>
        <w:jc w:val="both"/>
        <w:ind w:left="960" w:hanging="644"/>
        <w:spacing w:after="0" w:line="254"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8"/>
          <w:szCs w:val="18"/>
          <w:b w:val="1"/>
          <w:bCs w:val="1"/>
          <w:color w:val="auto"/>
        </w:rPr>
        <w:t>Compensation Recovery</w:t>
      </w:r>
    </w:p>
    <w:p>
      <w:pPr>
        <w:spacing w:after="0" w:line="139"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At any time during the three years following the date on which the number of Performance Units subject to the Award has been determined under Section 2 above, the Company reserves the right to and, in appropriate cases, will seek restitution of all or part of any Shares that have been issued or cash that has been paid pursuant to this Award if:</w:t>
      </w:r>
    </w:p>
    <w:p>
      <w:pPr>
        <w:spacing w:after="0" w:line="30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80"/>
          </w:cols>
          <w:pgMar w:left="580" w:top="333" w:right="239" w:bottom="1440" w:gutter="0" w:footer="0" w:header="0"/>
        </w:sectPr>
      </w:pPr>
    </w:p>
    <w:bookmarkStart w:id="156" w:name="page157"/>
    <w:bookmarkEnd w:id="156"/>
    <w:p>
      <w:pPr>
        <w:jc w:val="both"/>
        <w:ind w:left="960" w:hanging="644"/>
        <w:spacing w:after="0" w:line="256" w:lineRule="auto"/>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the number of Shares or the amount of the cash payment was calculated based, directly or indirectly, upon the achievement of financial results that were subsequently the subject of a restatement of all or a portion of the Company’s financial statements; and</w:t>
      </w:r>
    </w:p>
    <w:p>
      <w:pPr>
        <w:spacing w:after="0" w:line="93" w:lineRule="exact"/>
        <w:rPr>
          <w:rFonts w:ascii="Arial" w:cs="Arial" w:eastAsia="Arial" w:hAnsi="Arial"/>
          <w:sz w:val="18"/>
          <w:szCs w:val="18"/>
          <w:color w:val="auto"/>
        </w:rPr>
      </w:pPr>
    </w:p>
    <w:p>
      <w:pPr>
        <w:ind w:left="1360" w:hanging="395"/>
        <w:spacing w:after="0"/>
        <w:tabs>
          <w:tab w:leader="none" w:pos="13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Grantee engaged in intentional misconduct that caused or partially caused the need for such a restatement; and</w:t>
      </w:r>
    </w:p>
    <w:p>
      <w:pPr>
        <w:spacing w:after="0" w:line="225" w:lineRule="exact"/>
        <w:rPr>
          <w:rFonts w:ascii="Arial" w:cs="Arial" w:eastAsia="Arial" w:hAnsi="Arial"/>
          <w:sz w:val="18"/>
          <w:szCs w:val="18"/>
          <w:color w:val="auto"/>
        </w:rPr>
      </w:pPr>
    </w:p>
    <w:p>
      <w:pPr>
        <w:jc w:val="both"/>
        <w:ind w:left="960" w:firstLine="5"/>
        <w:spacing w:after="0" w:line="256" w:lineRule="auto"/>
        <w:tabs>
          <w:tab w:leader="none" w:pos="149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93" w:lineRule="exact"/>
        <w:rPr>
          <w:rFonts w:ascii="Arial" w:cs="Arial" w:eastAsia="Arial" w:hAnsi="Arial"/>
          <w:sz w:val="18"/>
          <w:szCs w:val="18"/>
          <w:color w:val="auto"/>
        </w:rPr>
      </w:pPr>
    </w:p>
    <w:p>
      <w:pPr>
        <w:jc w:val="both"/>
        <w:ind w:left="960" w:hanging="644"/>
        <w:spacing w:after="0" w:line="256" w:lineRule="auto"/>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94" w:lineRule="exact"/>
        <w:rPr>
          <w:sz w:val="20"/>
          <w:szCs w:val="20"/>
          <w:color w:val="auto"/>
        </w:rPr>
      </w:pPr>
    </w:p>
    <w:p>
      <w:pPr>
        <w:ind w:left="60" w:right="20"/>
        <w:spacing w:after="0" w:line="252" w:lineRule="auto"/>
        <w:rPr>
          <w:sz w:val="20"/>
          <w:szCs w:val="20"/>
          <w:color w:val="auto"/>
        </w:rPr>
      </w:pPr>
      <w:r>
        <w:rPr>
          <w:rFonts w:ascii="Arial" w:cs="Arial" w:eastAsia="Arial" w:hAnsi="Arial"/>
          <w:sz w:val="18"/>
          <w:szCs w:val="18"/>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209" w:lineRule="exact"/>
        <w:rPr>
          <w:sz w:val="20"/>
          <w:szCs w:val="20"/>
          <w:color w:val="auto"/>
        </w:rPr>
      </w:pPr>
    </w:p>
    <w:p>
      <w:pPr>
        <w:ind w:left="60" w:right="280"/>
        <w:spacing w:after="0" w:line="256"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200" w:lineRule="exact"/>
        <w:rPr>
          <w:sz w:val="20"/>
          <w:szCs w:val="20"/>
          <w:color w:val="auto"/>
        </w:rPr>
      </w:pPr>
    </w:p>
    <w:p>
      <w:pPr>
        <w:spacing w:after="0" w:line="30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8"/>
          <w:szCs w:val="18"/>
          <w:b w:val="1"/>
          <w:bCs w:val="1"/>
          <w:color w:val="auto"/>
        </w:rPr>
        <w:t>Award Subject to Acknowledgement of Acceptance</w:t>
      </w:r>
    </w:p>
    <w:p>
      <w:pPr>
        <w:spacing w:after="0" w:line="139" w:lineRule="exact"/>
        <w:rPr>
          <w:sz w:val="20"/>
          <w:szCs w:val="20"/>
          <w:color w:val="auto"/>
        </w:rPr>
      </w:pPr>
    </w:p>
    <w:p>
      <w:pPr>
        <w:jc w:val="both"/>
        <w:ind w:left="60"/>
        <w:spacing w:after="0" w:line="25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April 30, 2020, through the website of Merrill Lynch, the Company’s stock plan administrator. If the Grantee does not acknowledge acceptance of the Award prior to 4:00 PM (EDT) April 30, 2020, the Award will be cancelled, subject to the Committee’s discretion for unforeseen circumstances.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32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143510</wp:posOffset>
            </wp:positionV>
            <wp:extent cx="1826895" cy="480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18268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______________________</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David A. Ricks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Officer</w:t>
      </w:r>
    </w:p>
    <w:p>
      <w:pPr>
        <w:spacing w:after="0" w:line="21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80"/>
          </w:cols>
          <w:pgMar w:left="580" w:top="35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Exhibit 10.3 Form of Shareholder Value Award under the 2002 Lilly Stock Plan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Shareholder Value Award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Executive Officers)</w:t>
      </w:r>
    </w:p>
    <w:p>
      <w:pPr>
        <w:spacing w:after="0" w:line="223"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color w:val="auto"/>
        </w:rPr>
        <w:t>This Shareholder Value Award has been granted on February 12, 2020 (“Grant Date”) by Eli Lilly and Company, an Indiana corporation, with its principal offices in Indianapolis, Indiana (“Lilly” or the “Company”), to the Eligible Individual who has received this Shareholder Value Award Agreement (the “Grantee”).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Lilly Stock Price Performance Levels:</w:t>
      </w:r>
    </w:p>
    <w:p>
      <w:pPr>
        <w:spacing w:after="0" w:line="147"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1440" w:type="dxa"/>
            <w:vAlign w:val="bottom"/>
            <w:tcBorders>
              <w:top w:val="single" w:sz="8" w:color="00000A"/>
              <w:left w:val="single" w:sz="8" w:color="00000A"/>
              <w:right w:val="single" w:sz="8" w:color="00000A"/>
            </w:tcBorders>
          </w:tcPr>
          <w:p>
            <w:pPr>
              <w:spacing w:after="0"/>
              <w:rPr>
                <w:sz w:val="22"/>
                <w:szCs w:val="22"/>
                <w:color w:val="auto"/>
              </w:rPr>
            </w:pPr>
          </w:p>
        </w:tc>
        <w:tc>
          <w:tcPr>
            <w:tcW w:w="1440" w:type="dxa"/>
            <w:vAlign w:val="bottom"/>
            <w:tcBorders>
              <w:top w:val="single" w:sz="8" w:color="00000A"/>
              <w:right w:val="single" w:sz="8" w:color="00000A"/>
            </w:tcBorders>
          </w:tcPr>
          <w:p>
            <w:pPr>
              <w:ind w:left="260"/>
              <w:spacing w:after="0"/>
              <w:rPr>
                <w:sz w:val="20"/>
                <w:szCs w:val="20"/>
                <w:color w:val="auto"/>
              </w:rPr>
            </w:pPr>
            <w:r>
              <w:rPr>
                <w:rFonts w:ascii="Arial" w:cs="Arial" w:eastAsia="Arial" w:hAnsi="Arial"/>
                <w:sz w:val="18"/>
                <w:szCs w:val="18"/>
                <w:b w:val="1"/>
                <w:bCs w:val="1"/>
                <w:color w:val="auto"/>
              </w:rPr>
              <w:t>No Payout</w:t>
            </w:r>
          </w:p>
        </w:tc>
        <w:tc>
          <w:tcPr>
            <w:tcW w:w="1200" w:type="dxa"/>
            <w:vAlign w:val="bottom"/>
            <w:tcBorders>
              <w:top w:val="single" w:sz="8" w:color="00000A"/>
              <w:right w:val="single" w:sz="8" w:color="00000A"/>
            </w:tcBorders>
          </w:tcPr>
          <w:p>
            <w:pPr>
              <w:ind w:left="280"/>
              <w:spacing w:after="0"/>
              <w:rPr>
                <w:sz w:val="20"/>
                <w:szCs w:val="20"/>
                <w:color w:val="auto"/>
              </w:rPr>
            </w:pPr>
            <w:r>
              <w:rPr>
                <w:rFonts w:ascii="Arial" w:cs="Arial" w:eastAsia="Arial" w:hAnsi="Arial"/>
                <w:sz w:val="18"/>
                <w:szCs w:val="18"/>
                <w:b w:val="1"/>
                <w:bCs w:val="1"/>
                <w:color w:val="auto"/>
              </w:rPr>
              <w:t>Level 1</w:t>
            </w:r>
          </w:p>
        </w:tc>
        <w:tc>
          <w:tcPr>
            <w:tcW w:w="1220" w:type="dxa"/>
            <w:vAlign w:val="bottom"/>
            <w:tcBorders>
              <w:top w:val="single" w:sz="8" w:color="00000A"/>
              <w:right w:val="single" w:sz="8" w:color="00000A"/>
            </w:tcBorders>
          </w:tcPr>
          <w:p>
            <w:pPr>
              <w:ind w:left="300"/>
              <w:spacing w:after="0"/>
              <w:rPr>
                <w:sz w:val="20"/>
                <w:szCs w:val="20"/>
                <w:color w:val="auto"/>
              </w:rPr>
            </w:pPr>
            <w:r>
              <w:rPr>
                <w:rFonts w:ascii="Arial" w:cs="Arial" w:eastAsia="Arial" w:hAnsi="Arial"/>
                <w:sz w:val="18"/>
                <w:szCs w:val="18"/>
                <w:b w:val="1"/>
                <w:bCs w:val="1"/>
                <w:color w:val="auto"/>
              </w:rPr>
              <w:t>Level 2</w:t>
            </w:r>
          </w:p>
        </w:tc>
        <w:tc>
          <w:tcPr>
            <w:tcW w:w="1440" w:type="dxa"/>
            <w:vAlign w:val="bottom"/>
            <w:tcBorders>
              <w:top w:val="single" w:sz="8" w:color="00000A"/>
              <w:right w:val="single" w:sz="8" w:color="00000A"/>
            </w:tcBorders>
          </w:tcPr>
          <w:p>
            <w:pPr>
              <w:ind w:left="400"/>
              <w:spacing w:after="0"/>
              <w:rPr>
                <w:sz w:val="20"/>
                <w:szCs w:val="20"/>
                <w:color w:val="auto"/>
              </w:rPr>
            </w:pPr>
            <w:r>
              <w:rPr>
                <w:rFonts w:ascii="Arial" w:cs="Arial" w:eastAsia="Arial" w:hAnsi="Arial"/>
                <w:sz w:val="18"/>
                <w:szCs w:val="18"/>
                <w:b w:val="1"/>
                <w:bCs w:val="1"/>
                <w:color w:val="auto"/>
              </w:rPr>
              <w:t>Level 3</w:t>
            </w:r>
          </w:p>
        </w:tc>
        <w:tc>
          <w:tcPr>
            <w:tcW w:w="1420" w:type="dxa"/>
            <w:vAlign w:val="bottom"/>
            <w:tcBorders>
              <w:top w:val="single" w:sz="8" w:color="00000A"/>
              <w:right w:val="single" w:sz="8" w:color="00000A"/>
            </w:tcBorders>
          </w:tcPr>
          <w:p>
            <w:pPr>
              <w:ind w:left="400"/>
              <w:spacing w:after="0"/>
              <w:rPr>
                <w:sz w:val="20"/>
                <w:szCs w:val="20"/>
                <w:color w:val="auto"/>
              </w:rPr>
            </w:pPr>
            <w:r>
              <w:rPr>
                <w:rFonts w:ascii="Arial" w:cs="Arial" w:eastAsia="Arial" w:hAnsi="Arial"/>
                <w:sz w:val="18"/>
                <w:szCs w:val="18"/>
                <w:b w:val="1"/>
                <w:bCs w:val="1"/>
                <w:color w:val="auto"/>
              </w:rPr>
              <w:t>Level 4</w:t>
            </w:r>
          </w:p>
        </w:tc>
        <w:tc>
          <w:tcPr>
            <w:tcW w:w="1440" w:type="dxa"/>
            <w:vAlign w:val="bottom"/>
            <w:tcBorders>
              <w:top w:val="single" w:sz="8" w:color="00000A"/>
              <w:right w:val="single" w:sz="8" w:color="00000A"/>
            </w:tcBorders>
          </w:tcPr>
          <w:p>
            <w:pPr>
              <w:ind w:left="400"/>
              <w:spacing w:after="0"/>
              <w:rPr>
                <w:sz w:val="20"/>
                <w:szCs w:val="20"/>
                <w:color w:val="auto"/>
              </w:rPr>
            </w:pPr>
            <w:r>
              <w:rPr>
                <w:rFonts w:ascii="Arial" w:cs="Arial" w:eastAsia="Arial" w:hAnsi="Arial"/>
                <w:sz w:val="18"/>
                <w:szCs w:val="18"/>
                <w:b w:val="1"/>
                <w:bCs w:val="1"/>
                <w:color w:val="auto"/>
              </w:rPr>
              <w:t>Level 5</w:t>
            </w:r>
          </w:p>
        </w:tc>
        <w:tc>
          <w:tcPr>
            <w:tcW w:w="1420" w:type="dxa"/>
            <w:vAlign w:val="bottom"/>
            <w:tcBorders>
              <w:top w:val="single" w:sz="8" w:color="00000A"/>
              <w:right w:val="single" w:sz="8" w:color="00000A"/>
            </w:tcBorders>
          </w:tcPr>
          <w:p>
            <w:pPr>
              <w:ind w:left="400"/>
              <w:spacing w:after="0"/>
              <w:rPr>
                <w:sz w:val="20"/>
                <w:szCs w:val="20"/>
                <w:color w:val="auto"/>
              </w:rPr>
            </w:pPr>
            <w:r>
              <w:rPr>
                <w:rFonts w:ascii="Arial" w:cs="Arial" w:eastAsia="Arial" w:hAnsi="Arial"/>
                <w:sz w:val="18"/>
                <w:szCs w:val="18"/>
                <w:b w:val="1"/>
                <w:bCs w:val="1"/>
                <w:color w:val="auto"/>
              </w:rPr>
              <w:t>Level 6</w:t>
            </w:r>
          </w:p>
        </w:tc>
        <w:tc>
          <w:tcPr>
            <w:tcW w:w="0" w:type="dxa"/>
            <w:vAlign w:val="bottom"/>
          </w:tcPr>
          <w:p>
            <w:pPr>
              <w:spacing w:after="0"/>
              <w:rPr>
                <w:sz w:val="1"/>
                <w:szCs w:val="1"/>
                <w:color w:val="auto"/>
              </w:rPr>
            </w:pPr>
          </w:p>
        </w:tc>
      </w:tr>
      <w:tr>
        <w:trPr>
          <w:trHeight w:val="27"/>
        </w:trPr>
        <w:tc>
          <w:tcPr>
            <w:tcW w:w="1440" w:type="dxa"/>
            <w:vAlign w:val="bottom"/>
            <w:tcBorders>
              <w:left w:val="single" w:sz="8" w:color="00000A"/>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14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14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4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8"/>
              </w:rPr>
              <w:t>Final Lilly</w:t>
            </w:r>
          </w:p>
        </w:tc>
        <w:tc>
          <w:tcPr>
            <w:tcW w:w="1440" w:type="dxa"/>
            <w:vAlign w:val="bottom"/>
            <w:tcBorders>
              <w:right w:val="single" w:sz="8" w:color="00000A"/>
            </w:tcBorders>
          </w:tcPr>
          <w:p>
            <w:pPr>
              <w:spacing w:after="0"/>
              <w:rPr>
                <w:sz w:val="19"/>
                <w:szCs w:val="19"/>
                <w:color w:val="auto"/>
              </w:rPr>
            </w:pPr>
          </w:p>
        </w:tc>
        <w:tc>
          <w:tcPr>
            <w:tcW w:w="12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$109.78</w:t>
            </w:r>
          </w:p>
        </w:tc>
        <w:tc>
          <w:tcPr>
            <w:tcW w:w="12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$125.26</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$140.74</w:t>
            </w: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$156.22</w:t>
            </w:r>
          </w:p>
        </w:tc>
        <w:tc>
          <w:tcPr>
            <w:tcW w:w="14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$171.70</w:t>
            </w:r>
          </w:p>
        </w:tc>
        <w:tc>
          <w:tcPr>
            <w:tcW w:w="14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1440" w:type="dxa"/>
            <w:vAlign w:val="bottom"/>
            <w:tcBorders>
              <w:left w:val="single" w:sz="8" w:color="00000A"/>
              <w:right w:val="single" w:sz="8" w:color="00000A"/>
            </w:tcBorders>
            <w:vMerge w:val="continue"/>
          </w:tcPr>
          <w:p>
            <w:pPr>
              <w:spacing w:after="0"/>
              <w:rPr>
                <w:sz w:val="6"/>
                <w:szCs w:val="6"/>
                <w:color w:val="auto"/>
              </w:rPr>
            </w:pPr>
          </w:p>
        </w:tc>
        <w:tc>
          <w:tcPr>
            <w:tcW w:w="1440" w:type="dxa"/>
            <w:vAlign w:val="bottom"/>
            <w:tcBorders>
              <w:right w:val="single" w:sz="8" w:color="00000A"/>
            </w:tcBorders>
            <w:vMerge w:val="restart"/>
          </w:tcPr>
          <w:p>
            <w:pPr>
              <w:jc w:val="right"/>
              <w:ind w:right="250"/>
              <w:spacing w:after="0" w:line="202" w:lineRule="exact"/>
              <w:rPr>
                <w:sz w:val="20"/>
                <w:szCs w:val="20"/>
                <w:color w:val="auto"/>
              </w:rPr>
            </w:pPr>
            <w:r>
              <w:rPr>
                <w:rFonts w:ascii="Arial" w:cs="Arial" w:eastAsia="Arial" w:hAnsi="Arial"/>
                <w:sz w:val="18"/>
                <w:szCs w:val="18"/>
                <w:color w:val="auto"/>
              </w:rPr>
              <w:t>&lt; $109.78</w:t>
            </w:r>
          </w:p>
        </w:tc>
        <w:tc>
          <w:tcPr>
            <w:tcW w:w="1200" w:type="dxa"/>
            <w:vAlign w:val="bottom"/>
            <w:tcBorders>
              <w:right w:val="single" w:sz="8" w:color="00000A"/>
            </w:tcBorders>
            <w:vMerge w:val="restart"/>
          </w:tcPr>
          <w:p>
            <w:pPr>
              <w:jc w:val="center"/>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00000A"/>
            </w:tcBorders>
            <w:vMerge w:val="restart"/>
          </w:tcPr>
          <w:p>
            <w:pPr>
              <w:jc w:val="center"/>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00000A"/>
            </w:tcBorders>
            <w:vMerge w:val="restart"/>
          </w:tcPr>
          <w:p>
            <w:pPr>
              <w:jc w:val="center"/>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00000A"/>
            </w:tcBorders>
            <w:vMerge w:val="restart"/>
          </w:tcPr>
          <w:p>
            <w:pPr>
              <w:jc w:val="center"/>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00000A"/>
            </w:tcBorders>
            <w:vMerge w:val="restart"/>
          </w:tcPr>
          <w:p>
            <w:pPr>
              <w:jc w:val="center"/>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00000A"/>
            </w:tcBorders>
            <w:vMerge w:val="restart"/>
          </w:tcPr>
          <w:p>
            <w:pPr>
              <w:jc w:val="right"/>
              <w:ind w:right="230"/>
              <w:spacing w:after="0" w:line="202" w:lineRule="exact"/>
              <w:rPr>
                <w:sz w:val="20"/>
                <w:szCs w:val="20"/>
                <w:color w:val="auto"/>
              </w:rPr>
            </w:pPr>
            <w:r>
              <w:rPr>
                <w:rFonts w:ascii="Arial" w:cs="Arial" w:eastAsia="Arial" w:hAnsi="Arial"/>
                <w:sz w:val="18"/>
                <w:szCs w:val="18"/>
                <w:color w:val="auto"/>
              </w:rPr>
              <w:t>&gt; $187.17</w:t>
            </w:r>
          </w:p>
        </w:tc>
        <w:tc>
          <w:tcPr>
            <w:tcW w:w="0" w:type="dxa"/>
            <w:vAlign w:val="bottom"/>
          </w:tcPr>
          <w:p>
            <w:pPr>
              <w:spacing w:after="0"/>
              <w:rPr>
                <w:sz w:val="1"/>
                <w:szCs w:val="1"/>
                <w:color w:val="auto"/>
              </w:rPr>
            </w:pPr>
          </w:p>
        </w:tc>
      </w:tr>
      <w:tr>
        <w:trPr>
          <w:trHeight w:val="130"/>
        </w:trPr>
        <w:tc>
          <w:tcPr>
            <w:tcW w:w="144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9"/>
              </w:rPr>
              <w:t>Stock Price</w:t>
            </w:r>
          </w:p>
        </w:tc>
        <w:tc>
          <w:tcPr>
            <w:tcW w:w="1440" w:type="dxa"/>
            <w:vAlign w:val="bottom"/>
            <w:tcBorders>
              <w:right w:val="single" w:sz="8" w:color="00000A"/>
            </w:tcBorders>
            <w:vMerge w:val="continue"/>
          </w:tcPr>
          <w:p>
            <w:pPr>
              <w:spacing w:after="0"/>
              <w:rPr>
                <w:sz w:val="11"/>
                <w:szCs w:val="11"/>
                <w:color w:val="auto"/>
              </w:rPr>
            </w:pPr>
          </w:p>
        </w:tc>
        <w:tc>
          <w:tcPr>
            <w:tcW w:w="1200" w:type="dxa"/>
            <w:vAlign w:val="bottom"/>
            <w:tcBorders>
              <w:right w:val="single" w:sz="8" w:color="00000A"/>
            </w:tcBorders>
            <w:vMerge w:val="continue"/>
          </w:tcPr>
          <w:p>
            <w:pPr>
              <w:spacing w:after="0"/>
              <w:rPr>
                <w:sz w:val="11"/>
                <w:szCs w:val="11"/>
                <w:color w:val="auto"/>
              </w:rPr>
            </w:pPr>
          </w:p>
        </w:tc>
        <w:tc>
          <w:tcPr>
            <w:tcW w:w="1220" w:type="dxa"/>
            <w:vAlign w:val="bottom"/>
            <w:tcBorders>
              <w:right w:val="single" w:sz="8" w:color="00000A"/>
            </w:tcBorders>
            <w:vMerge w:val="continue"/>
          </w:tcPr>
          <w:p>
            <w:pPr>
              <w:spacing w:after="0"/>
              <w:rPr>
                <w:sz w:val="11"/>
                <w:szCs w:val="11"/>
                <w:color w:val="auto"/>
              </w:rPr>
            </w:pPr>
          </w:p>
        </w:tc>
        <w:tc>
          <w:tcPr>
            <w:tcW w:w="1440" w:type="dxa"/>
            <w:vAlign w:val="bottom"/>
            <w:tcBorders>
              <w:right w:val="single" w:sz="8" w:color="00000A"/>
            </w:tcBorders>
            <w:vMerge w:val="continue"/>
          </w:tcPr>
          <w:p>
            <w:pPr>
              <w:spacing w:after="0"/>
              <w:rPr>
                <w:sz w:val="11"/>
                <w:szCs w:val="11"/>
                <w:color w:val="auto"/>
              </w:rPr>
            </w:pPr>
          </w:p>
        </w:tc>
        <w:tc>
          <w:tcPr>
            <w:tcW w:w="1420" w:type="dxa"/>
            <w:vAlign w:val="bottom"/>
            <w:tcBorders>
              <w:right w:val="single" w:sz="8" w:color="00000A"/>
            </w:tcBorders>
            <w:vMerge w:val="continue"/>
          </w:tcPr>
          <w:p>
            <w:pPr>
              <w:spacing w:after="0"/>
              <w:rPr>
                <w:sz w:val="11"/>
                <w:szCs w:val="11"/>
                <w:color w:val="auto"/>
              </w:rPr>
            </w:pPr>
          </w:p>
        </w:tc>
        <w:tc>
          <w:tcPr>
            <w:tcW w:w="1440" w:type="dxa"/>
            <w:vAlign w:val="bottom"/>
            <w:tcBorders>
              <w:right w:val="single" w:sz="8" w:color="00000A"/>
            </w:tcBorders>
            <w:vMerge w:val="continue"/>
          </w:tcPr>
          <w:p>
            <w:pPr>
              <w:spacing w:after="0"/>
              <w:rPr>
                <w:sz w:val="11"/>
                <w:szCs w:val="11"/>
                <w:color w:val="auto"/>
              </w:rPr>
            </w:pPr>
          </w:p>
        </w:tc>
        <w:tc>
          <w:tcPr>
            <w:tcW w:w="142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440" w:type="dxa"/>
            <w:vAlign w:val="bottom"/>
            <w:tcBorders>
              <w:left w:val="single" w:sz="8" w:color="00000A"/>
              <w:right w:val="single" w:sz="8" w:color="00000A"/>
            </w:tcBorders>
            <w:vMerge w:val="continue"/>
          </w:tcPr>
          <w:p>
            <w:pPr>
              <w:spacing w:after="0"/>
              <w:rPr>
                <w:sz w:val="9"/>
                <w:szCs w:val="9"/>
                <w:color w:val="auto"/>
              </w:rPr>
            </w:pPr>
          </w:p>
        </w:tc>
        <w:tc>
          <w:tcPr>
            <w:tcW w:w="1440" w:type="dxa"/>
            <w:vAlign w:val="bottom"/>
            <w:tcBorders>
              <w:right w:val="single" w:sz="8" w:color="00000A"/>
            </w:tcBorders>
          </w:tcPr>
          <w:p>
            <w:pPr>
              <w:spacing w:after="0"/>
              <w:rPr>
                <w:sz w:val="9"/>
                <w:szCs w:val="9"/>
                <w:color w:val="auto"/>
              </w:rPr>
            </w:pPr>
          </w:p>
        </w:tc>
        <w:tc>
          <w:tcPr>
            <w:tcW w:w="12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rPr>
              <w:t>$125.25</w:t>
            </w:r>
          </w:p>
        </w:tc>
        <w:tc>
          <w:tcPr>
            <w:tcW w:w="12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8"/>
              </w:rPr>
              <w:t>$140.73</w:t>
            </w:r>
          </w:p>
        </w:tc>
        <w:tc>
          <w:tcPr>
            <w:tcW w:w="14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rPr>
              <w:t>$156.21</w:t>
            </w:r>
          </w:p>
        </w:tc>
        <w:tc>
          <w:tcPr>
            <w:tcW w:w="14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8"/>
              </w:rPr>
              <w:t>$171.69</w:t>
            </w:r>
          </w:p>
        </w:tc>
        <w:tc>
          <w:tcPr>
            <w:tcW w:w="14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rPr>
              <w:t>$187.17</w:t>
            </w:r>
          </w:p>
        </w:tc>
        <w:tc>
          <w:tcPr>
            <w:tcW w:w="142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00000A"/>
              <w:bottom w:val="single" w:sz="8" w:color="00000A"/>
              <w:right w:val="single" w:sz="8" w:color="00000A"/>
            </w:tcBorders>
          </w:tcPr>
          <w:p>
            <w:pPr>
              <w:spacing w:after="0"/>
              <w:rPr>
                <w:sz w:val="10"/>
                <w:szCs w:val="10"/>
                <w:color w:val="auto"/>
              </w:rPr>
            </w:pPr>
          </w:p>
        </w:tc>
        <w:tc>
          <w:tcPr>
            <w:tcW w:w="1440" w:type="dxa"/>
            <w:vAlign w:val="bottom"/>
            <w:tcBorders>
              <w:bottom w:val="single" w:sz="8" w:color="00000A"/>
              <w:right w:val="single" w:sz="8" w:color="00000A"/>
            </w:tcBorders>
          </w:tcPr>
          <w:p>
            <w:pPr>
              <w:spacing w:after="0"/>
              <w:rPr>
                <w:sz w:val="10"/>
                <w:szCs w:val="10"/>
                <w:color w:val="auto"/>
              </w:rPr>
            </w:pPr>
          </w:p>
        </w:tc>
        <w:tc>
          <w:tcPr>
            <w:tcW w:w="1200" w:type="dxa"/>
            <w:vAlign w:val="bottom"/>
            <w:tcBorders>
              <w:bottom w:val="single" w:sz="8" w:color="00000A"/>
              <w:right w:val="single" w:sz="8" w:color="00000A"/>
            </w:tcBorders>
            <w:vMerge w:val="continue"/>
          </w:tcPr>
          <w:p>
            <w:pPr>
              <w:spacing w:after="0"/>
              <w:rPr>
                <w:sz w:val="10"/>
                <w:szCs w:val="10"/>
                <w:color w:val="auto"/>
              </w:rPr>
            </w:pPr>
          </w:p>
        </w:tc>
        <w:tc>
          <w:tcPr>
            <w:tcW w:w="1220" w:type="dxa"/>
            <w:vAlign w:val="bottom"/>
            <w:tcBorders>
              <w:bottom w:val="single" w:sz="8" w:color="00000A"/>
              <w:right w:val="single" w:sz="8" w:color="00000A"/>
            </w:tcBorders>
            <w:vMerge w:val="continue"/>
          </w:tcPr>
          <w:p>
            <w:pPr>
              <w:spacing w:after="0"/>
              <w:rPr>
                <w:sz w:val="10"/>
                <w:szCs w:val="10"/>
                <w:color w:val="auto"/>
              </w:rPr>
            </w:pPr>
          </w:p>
        </w:tc>
        <w:tc>
          <w:tcPr>
            <w:tcW w:w="1440" w:type="dxa"/>
            <w:vAlign w:val="bottom"/>
            <w:tcBorders>
              <w:bottom w:val="single" w:sz="8" w:color="00000A"/>
              <w:right w:val="single" w:sz="8" w:color="00000A"/>
            </w:tcBorders>
            <w:vMerge w:val="continue"/>
          </w:tcPr>
          <w:p>
            <w:pPr>
              <w:spacing w:after="0"/>
              <w:rPr>
                <w:sz w:val="10"/>
                <w:szCs w:val="10"/>
                <w:color w:val="auto"/>
              </w:rPr>
            </w:pPr>
          </w:p>
        </w:tc>
        <w:tc>
          <w:tcPr>
            <w:tcW w:w="1420" w:type="dxa"/>
            <w:vAlign w:val="bottom"/>
            <w:tcBorders>
              <w:bottom w:val="single" w:sz="8" w:color="00000A"/>
              <w:right w:val="single" w:sz="8" w:color="00000A"/>
            </w:tcBorders>
            <w:vMerge w:val="continue"/>
          </w:tcPr>
          <w:p>
            <w:pPr>
              <w:spacing w:after="0"/>
              <w:rPr>
                <w:sz w:val="10"/>
                <w:szCs w:val="10"/>
                <w:color w:val="auto"/>
              </w:rPr>
            </w:pPr>
          </w:p>
        </w:tc>
        <w:tc>
          <w:tcPr>
            <w:tcW w:w="1440" w:type="dxa"/>
            <w:vAlign w:val="bottom"/>
            <w:tcBorders>
              <w:bottom w:val="single" w:sz="8" w:color="00000A"/>
              <w:right w:val="single" w:sz="8" w:color="00000A"/>
            </w:tcBorders>
            <w:vMerge w:val="continue"/>
          </w:tcPr>
          <w:p>
            <w:pPr>
              <w:spacing w:after="0"/>
              <w:rPr>
                <w:sz w:val="10"/>
                <w:szCs w:val="10"/>
                <w:color w:val="auto"/>
              </w:rPr>
            </w:pPr>
          </w:p>
        </w:tc>
        <w:tc>
          <w:tcPr>
            <w:tcW w:w="142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4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9"/>
              </w:rPr>
              <w:t>Percent of</w:t>
            </w:r>
          </w:p>
        </w:tc>
        <w:tc>
          <w:tcPr>
            <w:tcW w:w="1440" w:type="dxa"/>
            <w:vAlign w:val="bottom"/>
            <w:tcBorders>
              <w:right w:val="single" w:sz="8" w:color="00000A"/>
            </w:tcBorders>
            <w:vMerge w:val="restart"/>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9"/>
              </w:rPr>
              <w:t>50%</w:t>
            </w:r>
          </w:p>
        </w:tc>
        <w:tc>
          <w:tcPr>
            <w:tcW w:w="12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9"/>
              </w:rPr>
              <w:t>75%</w:t>
            </w:r>
          </w:p>
        </w:tc>
        <w:tc>
          <w:tcPr>
            <w:tcW w:w="14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9"/>
              </w:rPr>
              <w:t>100%</w:t>
            </w:r>
          </w:p>
        </w:tc>
        <w:tc>
          <w:tcPr>
            <w:tcW w:w="14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9"/>
              </w:rPr>
              <w:t>125%</w:t>
            </w:r>
          </w:p>
        </w:tc>
        <w:tc>
          <w:tcPr>
            <w:tcW w:w="14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9"/>
              </w:rPr>
              <w:t>150%</w:t>
            </w:r>
          </w:p>
        </w:tc>
        <w:tc>
          <w:tcPr>
            <w:tcW w:w="1420" w:type="dxa"/>
            <w:vAlign w:val="bottom"/>
            <w:tcBorders>
              <w:right w:val="single" w:sz="8" w:color="00000A"/>
            </w:tcBorders>
            <w:vMerge w:val="restart"/>
          </w:tcPr>
          <w:p>
            <w:pPr>
              <w:jc w:val="right"/>
              <w:ind w:right="4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31"/>
        </w:trPr>
        <w:tc>
          <w:tcPr>
            <w:tcW w:w="144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8"/>
              </w:rPr>
              <w:t>Target</w:t>
            </w:r>
          </w:p>
        </w:tc>
        <w:tc>
          <w:tcPr>
            <w:tcW w:w="1440" w:type="dxa"/>
            <w:vAlign w:val="bottom"/>
            <w:tcBorders>
              <w:right w:val="single" w:sz="8" w:color="00000A"/>
            </w:tcBorders>
            <w:vMerge w:val="continue"/>
          </w:tcPr>
          <w:p>
            <w:pPr>
              <w:spacing w:after="0"/>
              <w:rPr>
                <w:sz w:val="11"/>
                <w:szCs w:val="11"/>
                <w:color w:val="auto"/>
              </w:rPr>
            </w:pPr>
          </w:p>
        </w:tc>
        <w:tc>
          <w:tcPr>
            <w:tcW w:w="1200" w:type="dxa"/>
            <w:vAlign w:val="bottom"/>
            <w:tcBorders>
              <w:right w:val="single" w:sz="8" w:color="00000A"/>
            </w:tcBorders>
            <w:vMerge w:val="continue"/>
          </w:tcPr>
          <w:p>
            <w:pPr>
              <w:spacing w:after="0"/>
              <w:rPr>
                <w:sz w:val="11"/>
                <w:szCs w:val="11"/>
                <w:color w:val="auto"/>
              </w:rPr>
            </w:pPr>
          </w:p>
        </w:tc>
        <w:tc>
          <w:tcPr>
            <w:tcW w:w="1220" w:type="dxa"/>
            <w:vAlign w:val="bottom"/>
            <w:tcBorders>
              <w:right w:val="single" w:sz="8" w:color="00000A"/>
            </w:tcBorders>
            <w:vMerge w:val="continue"/>
          </w:tcPr>
          <w:p>
            <w:pPr>
              <w:spacing w:after="0"/>
              <w:rPr>
                <w:sz w:val="11"/>
                <w:szCs w:val="11"/>
                <w:color w:val="auto"/>
              </w:rPr>
            </w:pPr>
          </w:p>
        </w:tc>
        <w:tc>
          <w:tcPr>
            <w:tcW w:w="1440" w:type="dxa"/>
            <w:vAlign w:val="bottom"/>
            <w:tcBorders>
              <w:right w:val="single" w:sz="8" w:color="00000A"/>
            </w:tcBorders>
            <w:vMerge w:val="continue"/>
          </w:tcPr>
          <w:p>
            <w:pPr>
              <w:spacing w:after="0"/>
              <w:rPr>
                <w:sz w:val="11"/>
                <w:szCs w:val="11"/>
                <w:color w:val="auto"/>
              </w:rPr>
            </w:pPr>
          </w:p>
        </w:tc>
        <w:tc>
          <w:tcPr>
            <w:tcW w:w="1420" w:type="dxa"/>
            <w:vAlign w:val="bottom"/>
            <w:tcBorders>
              <w:right w:val="single" w:sz="8" w:color="00000A"/>
            </w:tcBorders>
            <w:vMerge w:val="continue"/>
          </w:tcPr>
          <w:p>
            <w:pPr>
              <w:spacing w:after="0"/>
              <w:rPr>
                <w:sz w:val="11"/>
                <w:szCs w:val="11"/>
                <w:color w:val="auto"/>
              </w:rPr>
            </w:pPr>
          </w:p>
        </w:tc>
        <w:tc>
          <w:tcPr>
            <w:tcW w:w="1440" w:type="dxa"/>
            <w:vAlign w:val="bottom"/>
            <w:tcBorders>
              <w:right w:val="single" w:sz="8" w:color="00000A"/>
            </w:tcBorders>
            <w:vMerge w:val="continue"/>
          </w:tcPr>
          <w:p>
            <w:pPr>
              <w:spacing w:after="0"/>
              <w:rPr>
                <w:sz w:val="11"/>
                <w:szCs w:val="11"/>
                <w:color w:val="auto"/>
              </w:rPr>
            </w:pPr>
          </w:p>
        </w:tc>
        <w:tc>
          <w:tcPr>
            <w:tcW w:w="142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00000A"/>
              <w:bottom w:val="single" w:sz="8" w:color="00000A"/>
              <w:right w:val="single" w:sz="8" w:color="00000A"/>
            </w:tcBorders>
            <w:vMerge w:val="continue"/>
          </w:tcPr>
          <w:p>
            <w:pPr>
              <w:spacing w:after="0"/>
              <w:rPr>
                <w:sz w:val="10"/>
                <w:szCs w:val="10"/>
                <w:color w:val="auto"/>
              </w:rPr>
            </w:pPr>
          </w:p>
        </w:tc>
        <w:tc>
          <w:tcPr>
            <w:tcW w:w="1440" w:type="dxa"/>
            <w:vAlign w:val="bottom"/>
            <w:tcBorders>
              <w:bottom w:val="single" w:sz="8" w:color="00000A"/>
              <w:right w:val="single" w:sz="8" w:color="00000A"/>
            </w:tcBorders>
          </w:tcPr>
          <w:p>
            <w:pPr>
              <w:spacing w:after="0"/>
              <w:rPr>
                <w:sz w:val="10"/>
                <w:szCs w:val="10"/>
                <w:color w:val="auto"/>
              </w:rPr>
            </w:pPr>
          </w:p>
        </w:tc>
        <w:tc>
          <w:tcPr>
            <w:tcW w:w="1200" w:type="dxa"/>
            <w:vAlign w:val="bottom"/>
            <w:tcBorders>
              <w:bottom w:val="single" w:sz="8" w:color="00000A"/>
              <w:right w:val="single" w:sz="8" w:color="00000A"/>
            </w:tcBorders>
          </w:tcPr>
          <w:p>
            <w:pPr>
              <w:spacing w:after="0"/>
              <w:rPr>
                <w:sz w:val="10"/>
                <w:szCs w:val="10"/>
                <w:color w:val="auto"/>
              </w:rPr>
            </w:pPr>
          </w:p>
        </w:tc>
        <w:tc>
          <w:tcPr>
            <w:tcW w:w="1220" w:type="dxa"/>
            <w:vAlign w:val="bottom"/>
            <w:tcBorders>
              <w:bottom w:val="single" w:sz="8" w:color="00000A"/>
              <w:right w:val="single" w:sz="8" w:color="00000A"/>
            </w:tcBorders>
          </w:tcPr>
          <w:p>
            <w:pPr>
              <w:spacing w:after="0"/>
              <w:rPr>
                <w:sz w:val="10"/>
                <w:szCs w:val="10"/>
                <w:color w:val="auto"/>
              </w:rPr>
            </w:pPr>
          </w:p>
        </w:tc>
        <w:tc>
          <w:tcPr>
            <w:tcW w:w="1440" w:type="dxa"/>
            <w:vAlign w:val="bottom"/>
            <w:tcBorders>
              <w:bottom w:val="single" w:sz="8" w:color="00000A"/>
              <w:right w:val="single" w:sz="8" w:color="00000A"/>
            </w:tcBorders>
          </w:tcPr>
          <w:p>
            <w:pPr>
              <w:spacing w:after="0"/>
              <w:rPr>
                <w:sz w:val="10"/>
                <w:szCs w:val="10"/>
                <w:color w:val="auto"/>
              </w:rPr>
            </w:pPr>
          </w:p>
        </w:tc>
        <w:tc>
          <w:tcPr>
            <w:tcW w:w="1420" w:type="dxa"/>
            <w:vAlign w:val="bottom"/>
            <w:tcBorders>
              <w:bottom w:val="single" w:sz="8" w:color="00000A"/>
              <w:right w:val="single" w:sz="8" w:color="00000A"/>
            </w:tcBorders>
          </w:tcPr>
          <w:p>
            <w:pPr>
              <w:spacing w:after="0"/>
              <w:rPr>
                <w:sz w:val="10"/>
                <w:szCs w:val="10"/>
                <w:color w:val="auto"/>
              </w:rPr>
            </w:pPr>
          </w:p>
        </w:tc>
        <w:tc>
          <w:tcPr>
            <w:tcW w:w="1440" w:type="dxa"/>
            <w:vAlign w:val="bottom"/>
            <w:tcBorders>
              <w:bottom w:val="single" w:sz="8" w:color="00000A"/>
              <w:right w:val="single" w:sz="8" w:color="00000A"/>
            </w:tcBorders>
          </w:tcPr>
          <w:p>
            <w:pPr>
              <w:spacing w:after="0"/>
              <w:rPr>
                <w:sz w:val="10"/>
                <w:szCs w:val="10"/>
                <w:color w:val="auto"/>
              </w:rPr>
            </w:pPr>
          </w:p>
        </w:tc>
        <w:tc>
          <w:tcPr>
            <w:tcW w:w="1420" w:type="dxa"/>
            <w:vAlign w:val="bottom"/>
            <w:tcBorders>
              <w:bottom w:val="single" w:sz="8" w:color="00000A"/>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5300" w:type="dxa"/>
            <w:vAlign w:val="bottom"/>
            <w:gridSpan w:val="4"/>
          </w:tcPr>
          <w:p>
            <w:pPr>
              <w:ind w:left="120"/>
              <w:spacing w:after="0"/>
              <w:rPr>
                <w:sz w:val="20"/>
                <w:szCs w:val="20"/>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January 1, 2020 - December 31, 2022</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Grant of Shareholder Value Award</w:t>
      </w:r>
    </w:p>
    <w:p>
      <w:pPr>
        <w:spacing w:after="0" w:line="139"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Merrill Lynch website at </w:t>
      </w:r>
      <w:r>
        <w:rPr>
          <w:rFonts w:ascii="Arial" w:cs="Arial" w:eastAsia="Arial" w:hAnsi="Arial"/>
          <w:sz w:val="18"/>
          <w:szCs w:val="18"/>
          <w:b w:val="1"/>
          <w:bCs w:val="1"/>
          <w:color w:val="auto"/>
        </w:rPr>
        <w:t>http://myequity.lilly.com</w:t>
      </w:r>
      <w:r>
        <w:rPr>
          <w:rFonts w:ascii="Arial" w:cs="Arial" w:eastAsia="Arial" w:hAnsi="Arial"/>
          <w:sz w:val="18"/>
          <w:szCs w:val="18"/>
          <w:color w:val="auto"/>
        </w:rPr>
        <w:t xml:space="preserve"> (the "Target Number of Shares").</w:t>
      </w:r>
    </w:p>
    <w:p>
      <w:pPr>
        <w:spacing w:after="0" w:line="96"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0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Vesting</w:t>
      </w:r>
    </w:p>
    <w:p>
      <w:pPr>
        <w:spacing w:after="0" w:line="31"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1" w:lineRule="exact"/>
        <w:rPr>
          <w:sz w:val="20"/>
          <w:szCs w:val="20"/>
          <w:color w:val="auto"/>
        </w:rPr>
      </w:pPr>
    </w:p>
    <w:p>
      <w:pPr>
        <w:jc w:val="both"/>
        <w:ind w:left="1040" w:hanging="316"/>
        <w:spacing w:after="0" w:line="250" w:lineRule="auto"/>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 of Target</w:t>
      </w:r>
      <w:r>
        <w:rPr>
          <w:rFonts w:ascii="Arial" w:cs="Arial" w:eastAsia="Arial" w:hAnsi="Arial"/>
          <w:sz w:val="18"/>
          <w:szCs w:val="18"/>
          <w:color w:val="auto"/>
        </w:rPr>
        <w:t>” shall mean the percentage set forth in the Lilly Stock Price Performance Levels table set forth on the first page of this document representing the attainment level of the Final Lilly Stock Price measured against the performance goal attainment levels set forth in the table.</w:t>
      </w:r>
    </w:p>
    <w:p>
      <w:pPr>
        <w:spacing w:after="0" w:line="1" w:lineRule="exact"/>
        <w:rPr>
          <w:rFonts w:ascii="Arial" w:cs="Arial" w:eastAsia="Arial" w:hAnsi="Arial"/>
          <w:sz w:val="18"/>
          <w:szCs w:val="18"/>
          <w:color w:val="auto"/>
        </w:rPr>
      </w:pPr>
    </w:p>
    <w:p>
      <w:pPr>
        <w:ind w:left="1040" w:hanging="316"/>
        <w:spacing w:after="0" w:line="262" w:lineRule="auto"/>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Lilly Stock Price</w:t>
      </w:r>
      <w:r>
        <w:rPr>
          <w:rFonts w:ascii="Arial" w:cs="Arial" w:eastAsia="Arial" w:hAnsi="Arial"/>
          <w:sz w:val="18"/>
          <w:szCs w:val="18"/>
          <w:color w:val="auto"/>
        </w:rPr>
        <w:t>” shall mean the average of the closing price of a share of Lilly Common Stock on the New York Stock Exchange for each trading day in the last two months of the Performance Period, rounded to the nearest cent.</w:t>
      </w:r>
    </w:p>
    <w:p>
      <w:pPr>
        <w:spacing w:after="0" w:line="88"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In the event the Grantee’s Service is terminated prior to the end of the Performance Period for any reason or in any circumstance other than as described in Section 3 below, the Award shall be forfeited.</w:t>
      </w:r>
    </w:p>
    <w:p>
      <w:pPr>
        <w:spacing w:after="0" w:line="28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Impact of Certain Employment Status Changes</w:t>
      </w:r>
    </w:p>
    <w:p>
      <w:pPr>
        <w:spacing w:after="0" w:line="139"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1" w:lineRule="exact"/>
        <w:rPr>
          <w:sz w:val="20"/>
          <w:szCs w:val="20"/>
          <w:color w:val="auto"/>
        </w:rPr>
      </w:pPr>
    </w:p>
    <w:p>
      <w:pPr>
        <w:ind w:left="1040" w:hanging="316"/>
        <w:spacing w:after="0" w:line="262" w:lineRule="auto"/>
        <w:tabs>
          <w:tab w:leader="none" w:pos="10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9" w:right="239" w:bottom="1440" w:gutter="0" w:footer="0" w:header="0"/>
        </w:sectPr>
      </w:pPr>
    </w:p>
    <w:bookmarkStart w:id="158" w:name="page159"/>
    <w:bookmarkEnd w:id="158"/>
    <w:p>
      <w:pPr>
        <w:ind w:left="700" w:hanging="316"/>
        <w:spacing w:after="0" w:line="250" w:lineRule="auto"/>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In the event the Grantee’s Service is terminated (i) due to the Grantee’s death, or (ii) by reason of Grantee’s Disability, the number of Shares eligible to vest shall be the number determined in accordance with Section 2 above.</w:t>
      </w:r>
    </w:p>
    <w:p>
      <w:pPr>
        <w:jc w:val="both"/>
        <w:ind w:left="700" w:hanging="316"/>
        <w:spacing w:after="0" w:line="256" w:lineRule="auto"/>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number of Shares eligible to vest shall be reduced proportionally for the portion of the total days during the Performance Period in which the Grantee was not in active Service.</w:t>
      </w:r>
    </w:p>
    <w:p>
      <w:pPr>
        <w:spacing w:after="0" w:line="9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any one of the following:</w:t>
      </w:r>
    </w:p>
    <w:p>
      <w:pPr>
        <w:spacing w:after="0" w:line="117"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or (C) a retired employee under a retirement program specifically approved by the Committee;</w:t>
      </w:r>
    </w:p>
    <w:p>
      <w:pPr>
        <w:spacing w:after="0" w:line="1" w:lineRule="exact"/>
        <w:rPr>
          <w:rFonts w:ascii="Arial" w:cs="Arial" w:eastAsia="Arial" w:hAnsi="Arial"/>
          <w:sz w:val="18"/>
          <w:szCs w:val="18"/>
          <w:color w:val="auto"/>
        </w:rPr>
      </w:pPr>
    </w:p>
    <w:p>
      <w:pPr>
        <w:ind w:left="1620" w:hanging="331"/>
        <w:spacing w:after="0"/>
        <w:tabs>
          <w:tab w:leader="none" w:pos="1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Grantee’s Service is terminated due to a plant closing or reduction in workforce (as defined below);</w:t>
      </w:r>
    </w:p>
    <w:p>
      <w:pPr>
        <w:spacing w:after="0" w:line="9" w:lineRule="exact"/>
        <w:rPr>
          <w:rFonts w:ascii="Arial" w:cs="Arial" w:eastAsia="Arial" w:hAnsi="Arial"/>
          <w:sz w:val="18"/>
          <w:szCs w:val="18"/>
          <w:color w:val="auto"/>
        </w:rPr>
      </w:pPr>
    </w:p>
    <w:p>
      <w:pPr>
        <w:jc w:val="both"/>
        <w:ind w:left="1620" w:hanging="331"/>
        <w:spacing w:after="0" w:line="262" w:lineRule="auto"/>
        <w:tabs>
          <w:tab w:leader="none" w:pos="1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88" w:lineRule="exact"/>
        <w:rPr>
          <w:sz w:val="20"/>
          <w:szCs w:val="20"/>
          <w:color w:val="auto"/>
        </w:rPr>
      </w:pPr>
    </w:p>
    <w:p>
      <w:pPr>
        <w:ind w:left="1120" w:right="40"/>
        <w:spacing w:after="0" w:line="26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196" w:lineRule="exact"/>
        <w:rPr>
          <w:sz w:val="20"/>
          <w:szCs w:val="20"/>
          <w:color w:val="auto"/>
        </w:rPr>
      </w:pPr>
    </w:p>
    <w:p>
      <w:pPr>
        <w:ind w:left="1120"/>
        <w:spacing w:after="0" w:line="26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88" w:lineRule="exact"/>
        <w:rPr>
          <w:sz w:val="20"/>
          <w:szCs w:val="20"/>
          <w:color w:val="auto"/>
        </w:rPr>
      </w:pPr>
    </w:p>
    <w:p>
      <w:pPr>
        <w:jc w:val="both"/>
        <w:ind w:left="700" w:hanging="316"/>
        <w:spacing w:after="0" w:line="252" w:lineRule="auto"/>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Committee may, in its sole discretion, cancel this Shareholder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101"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Committee’s determination as to whether (1) a leave of absence or a transfer of employment between Lilly and an Affiliate or between Affiliates constitutes a termination of Service, (2) the Grantee’s Service has been terminated by reason of Disability, (3) the Grantee’s Service has been terminated as a result of the failure to locate a position within the Company or an Affiliate following reallocation or medical reassignment, and (4) the Grantee’s Service has been terminated as a direct result of either a plant closing or a reduction in workforce shall be final and binding on the Grantee.</w:t>
      </w:r>
    </w:p>
    <w:p>
      <w:pPr>
        <w:spacing w:after="0" w:line="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Change in Control</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225" w:lineRule="exact"/>
        <w:rPr>
          <w:sz w:val="20"/>
          <w:szCs w:val="20"/>
          <w:color w:val="auto"/>
        </w:rPr>
      </w:pPr>
    </w:p>
    <w:p>
      <w:pPr>
        <w:ind w:left="960" w:hanging="644"/>
        <w:spacing w:after="0" w:line="250"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jc w:val="both"/>
        <w:ind w:left="960" w:hanging="644"/>
        <w:spacing w:after="0" w:line="250"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2"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the event that (A) the Grantee is subject to a termination of Service as described in Sections 3(b) and (c) prior to the end of the Performance Period or (B)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1" w:lineRule="exact"/>
        <w:rPr>
          <w:rFonts w:ascii="Arial" w:cs="Arial" w:eastAsia="Arial" w:hAnsi="Arial"/>
          <w:sz w:val="18"/>
          <w:szCs w:val="18"/>
          <w:color w:val="auto"/>
        </w:rPr>
      </w:pPr>
    </w:p>
    <w:p>
      <w:pPr>
        <w:jc w:val="both"/>
        <w:ind w:left="1620" w:hanging="331"/>
        <w:spacing w:after="0" w:line="254" w:lineRule="auto"/>
        <w:tabs>
          <w:tab w:leader="none" w:pos="1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19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80"/>
          </w:cols>
          <w:pgMar w:left="580" w:top="355" w:right="239" w:bottom="1440" w:gutter="0" w:footer="0" w:header="0"/>
        </w:sectPr>
      </w:pPr>
    </w:p>
    <w:bookmarkStart w:id="159" w:name="page160"/>
    <w:bookmarkEnd w:id="159"/>
    <w:p>
      <w:pPr>
        <w:jc w:val="both"/>
        <w:ind w:left="960"/>
        <w:spacing w:after="0" w:line="254"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96" w:lineRule="exact"/>
        <w:rPr>
          <w:sz w:val="20"/>
          <w:szCs w:val="20"/>
          <w:color w:val="auto"/>
        </w:rPr>
      </w:pPr>
    </w:p>
    <w:p>
      <w:pPr>
        <w:jc w:val="both"/>
        <w:ind w:left="960" w:hanging="644"/>
        <w:spacing w:after="0" w:line="256" w:lineRule="auto"/>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Settlement</w:t>
      </w:r>
    </w:p>
    <w:p>
      <w:pPr>
        <w:spacing w:after="0" w:line="31" w:lineRule="exact"/>
        <w:rPr>
          <w:sz w:val="20"/>
          <w:szCs w:val="20"/>
          <w:color w:val="auto"/>
        </w:rPr>
      </w:pPr>
    </w:p>
    <w:p>
      <w:pPr>
        <w:ind w:left="960" w:hanging="644"/>
        <w:spacing w:after="0" w:line="250"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w:t>
      </w:r>
    </w:p>
    <w:p>
      <w:pPr>
        <w:jc w:val="both"/>
        <w:ind w:left="960" w:hanging="644"/>
        <w:spacing w:after="0" w:line="250"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the date that the Grantee experiences a “separation from service” within the meaning of Section 409A of the Code (a “Section 409A Separation”), the date of the Grantee’s death and the date set forth in Section 5(a) above.</w:t>
      </w:r>
    </w:p>
    <w:p>
      <w:pPr>
        <w:spacing w:after="0" w:line="3"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1" w:lineRule="exact"/>
        <w:rPr>
          <w:rFonts w:ascii="Arial" w:cs="Arial" w:eastAsia="Arial" w:hAnsi="Arial"/>
          <w:sz w:val="18"/>
          <w:szCs w:val="18"/>
          <w:color w:val="auto"/>
        </w:rPr>
      </w:pPr>
    </w:p>
    <w:p>
      <w:pPr>
        <w:ind w:left="960" w:hanging="644"/>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0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Rights of the Grantee</w:t>
      </w:r>
    </w:p>
    <w:p>
      <w:pPr>
        <w:spacing w:after="0" w:line="31" w:lineRule="exact"/>
        <w:rPr>
          <w:sz w:val="20"/>
          <w:szCs w:val="20"/>
          <w:color w:val="auto"/>
        </w:rPr>
      </w:pPr>
    </w:p>
    <w:p>
      <w:pPr>
        <w:ind w:left="960" w:hanging="644"/>
        <w:spacing w:after="0" w:line="250" w:lineRule="auto"/>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Shareholder Value Award does not entitle the Grantee to any rights of a shareholder of Lilly until such time as the Shareholder Value Award is settled and Shares are issued or transferred to the Grantee.</w:t>
      </w:r>
    </w:p>
    <w:p>
      <w:pPr>
        <w:jc w:val="both"/>
        <w:ind w:left="960" w:hanging="644"/>
        <w:spacing w:after="0" w:line="256" w:lineRule="auto"/>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color w:val="auto"/>
        </w:rPr>
        <w:t>Prohibition Against Transfer</w:t>
      </w:r>
    </w:p>
    <w:p>
      <w:pPr>
        <w:spacing w:after="0" w:line="139"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2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Responsibility for Taxes</w:t>
      </w:r>
    </w:p>
    <w:p>
      <w:pPr>
        <w:spacing w:after="0" w:line="31" w:lineRule="exact"/>
        <w:rPr>
          <w:sz w:val="20"/>
          <w:szCs w:val="20"/>
          <w:color w:val="auto"/>
        </w:rPr>
      </w:pPr>
    </w:p>
    <w:p>
      <w:pPr>
        <w:ind w:left="960" w:hanging="644"/>
        <w:spacing w:after="0" w:line="262"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Regardless of any action Lilly and/or the Grantee’s employer (the “Employer”) takes with respect to any or all income tax (including federal, state, local and non-U.S. tax), social insurance, payroll tax, fringe benefits</w:t>
      </w:r>
    </w:p>
    <w:p>
      <w:pPr>
        <w:spacing w:after="0" w:line="18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80"/>
          </w:cols>
          <w:pgMar w:left="580" w:top="463" w:right="239" w:bottom="1440" w:gutter="0" w:footer="0" w:header="0"/>
        </w:sectPr>
      </w:pPr>
    </w:p>
    <w:bookmarkStart w:id="160" w:name="page161"/>
    <w:bookmarkEnd w:id="160"/>
    <w:p>
      <w:pPr>
        <w:jc w:val="both"/>
        <w:ind w:left="960"/>
        <w:spacing w:after="0" w:line="250" w:lineRule="auto"/>
        <w:rPr>
          <w:sz w:val="20"/>
          <w:szCs w:val="20"/>
          <w:color w:val="auto"/>
        </w:rPr>
      </w:pPr>
      <w:r>
        <w:rPr>
          <w:rFonts w:ascii="Arial" w:cs="Arial" w:eastAsia="Arial" w:hAnsi="Arial"/>
          <w:sz w:val="18"/>
          <w:szCs w:val="18"/>
          <w:color w:val="auto"/>
        </w:rPr>
        <w:t>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5" w:lineRule="exact"/>
        <w:rPr>
          <w:sz w:val="20"/>
          <w:szCs w:val="20"/>
          <w:color w:val="auto"/>
        </w:rPr>
      </w:pPr>
    </w:p>
    <w:p>
      <w:pPr>
        <w:ind w:left="960" w:hanging="644"/>
        <w:spacing w:after="0" w:line="250"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jc w:val="both"/>
        <w:ind w:left="1280" w:hanging="315"/>
        <w:spacing w:after="0" w:line="250" w:lineRule="auto"/>
        <w:tabs>
          <w:tab w:leader="none" w:pos="12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1" w:lineRule="exact"/>
        <w:rPr>
          <w:rFonts w:ascii="Arial" w:cs="Arial" w:eastAsia="Arial" w:hAnsi="Arial"/>
          <w:sz w:val="18"/>
          <w:szCs w:val="18"/>
          <w:color w:val="auto"/>
        </w:rPr>
      </w:pPr>
    </w:p>
    <w:p>
      <w:pPr>
        <w:jc w:val="both"/>
        <w:ind w:left="1280" w:hanging="315"/>
        <w:spacing w:after="0" w:line="250" w:lineRule="auto"/>
        <w:tabs>
          <w:tab w:leader="none" w:pos="12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4" w:lineRule="exact"/>
        <w:rPr>
          <w:rFonts w:ascii="Arial" w:cs="Arial" w:eastAsia="Arial" w:hAnsi="Arial"/>
          <w:sz w:val="18"/>
          <w:szCs w:val="18"/>
          <w:color w:val="auto"/>
        </w:rPr>
      </w:pPr>
    </w:p>
    <w:p>
      <w:pPr>
        <w:jc w:val="both"/>
        <w:ind w:left="1280" w:hanging="315"/>
        <w:spacing w:after="0" w:line="250" w:lineRule="auto"/>
        <w:tabs>
          <w:tab w:leader="none" w:pos="12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3" w:lineRule="exact"/>
        <w:rPr>
          <w:rFonts w:ascii="Arial" w:cs="Arial" w:eastAsia="Arial" w:hAnsi="Arial"/>
          <w:sz w:val="18"/>
          <w:szCs w:val="18"/>
          <w:color w:val="auto"/>
        </w:rPr>
      </w:pPr>
    </w:p>
    <w:p>
      <w:pPr>
        <w:ind w:left="960" w:right="20" w:hanging="644"/>
        <w:spacing w:after="0" w:line="262"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Section 409A Compliance</w:t>
      </w:r>
    </w:p>
    <w:p>
      <w:pPr>
        <w:spacing w:after="0" w:line="31" w:lineRule="exact"/>
        <w:rPr>
          <w:sz w:val="20"/>
          <w:szCs w:val="20"/>
          <w:color w:val="auto"/>
        </w:rPr>
      </w:pPr>
    </w:p>
    <w:p>
      <w:pPr>
        <w:jc w:val="both"/>
        <w:ind w:left="60"/>
        <w:spacing w:after="0" w:line="25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8"/>
          <w:szCs w:val="18"/>
          <w:b w:val="1"/>
          <w:bCs w:val="1"/>
          <w:color w:val="auto"/>
        </w:rPr>
        <w:t>Grantee’s Acknowledgment</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225" w:lineRule="exact"/>
        <w:rPr>
          <w:sz w:val="20"/>
          <w:szCs w:val="20"/>
          <w:color w:val="auto"/>
        </w:rPr>
      </w:pPr>
    </w:p>
    <w:p>
      <w:pPr>
        <w:ind w:left="960" w:hanging="644"/>
        <w:spacing w:after="0" w:line="262"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spacing w:after="0" w:line="18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580" w:top="355" w:right="239" w:bottom="1440" w:gutter="0" w:footer="0" w:header="0"/>
        </w:sectPr>
      </w:pPr>
    </w:p>
    <w:bookmarkStart w:id="161" w:name="page162"/>
    <w:bookmarkEnd w:id="161"/>
    <w:p>
      <w:pPr>
        <w:ind w:left="960" w:hanging="644"/>
        <w:spacing w:after="0" w:line="250"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ind w:left="960" w:right="20" w:hanging="644"/>
        <w:spacing w:after="0" w:line="250"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ind w:left="960" w:hanging="644"/>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9" w:lineRule="exact"/>
        <w:rPr>
          <w:rFonts w:ascii="Arial" w:cs="Arial" w:eastAsia="Arial" w:hAnsi="Arial"/>
          <w:sz w:val="18"/>
          <w:szCs w:val="18"/>
          <w:color w:val="auto"/>
        </w:rPr>
      </w:pPr>
    </w:p>
    <w:p>
      <w:pPr>
        <w:ind w:left="960" w:hanging="644"/>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9"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1" w:lineRule="exact"/>
        <w:rPr>
          <w:rFonts w:ascii="Arial" w:cs="Arial" w:eastAsia="Arial" w:hAnsi="Arial"/>
          <w:sz w:val="18"/>
          <w:szCs w:val="18"/>
          <w:color w:val="auto"/>
        </w:rPr>
      </w:pPr>
    </w:p>
    <w:p>
      <w:pPr>
        <w:ind w:left="960" w:hanging="644"/>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9"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4"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1" w:lineRule="exact"/>
        <w:rPr>
          <w:rFonts w:ascii="Arial" w:cs="Arial" w:eastAsia="Arial" w:hAnsi="Arial"/>
          <w:sz w:val="18"/>
          <w:szCs w:val="18"/>
          <w:color w:val="auto"/>
        </w:rPr>
      </w:pPr>
    </w:p>
    <w:p>
      <w:pPr>
        <w:ind w:left="960" w:right="20" w:hanging="644"/>
        <w:spacing w:after="0" w:line="250"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ind w:left="960" w:right="20" w:hanging="644"/>
        <w:spacing w:after="0" w:line="262"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has communicated share ownership guidelines that apply to the Grantee, and the Grantee understands and agrees that those guidelines may impact any Shares subject to, or issued pursuant to the Award.</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color w:val="auto"/>
        </w:rPr>
        <w:t>Data Privacy</w:t>
      </w:r>
    </w:p>
    <w:p>
      <w:pPr>
        <w:spacing w:after="0" w:line="31" w:lineRule="exact"/>
        <w:rPr>
          <w:sz w:val="20"/>
          <w:szCs w:val="20"/>
          <w:color w:val="auto"/>
        </w:rPr>
      </w:pPr>
    </w:p>
    <w:p>
      <w:pPr>
        <w:jc w:val="both"/>
        <w:ind w:left="960" w:hanging="644"/>
        <w:spacing w:after="0" w:line="250"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 w:lineRule="exact"/>
        <w:rPr>
          <w:rFonts w:ascii="Arial" w:cs="Arial" w:eastAsia="Arial" w:hAnsi="Arial"/>
          <w:sz w:val="18"/>
          <w:szCs w:val="18"/>
          <w:color w:val="auto"/>
        </w:rPr>
      </w:pPr>
    </w:p>
    <w:p>
      <w:pPr>
        <w:jc w:val="both"/>
        <w:ind w:left="960" w:hanging="644"/>
        <w:spacing w:after="0" w:line="254"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w:t>
      </w:r>
    </w:p>
    <w:p>
      <w:pPr>
        <w:spacing w:after="0" w:line="19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580" w:top="355" w:right="239" w:bottom="1440" w:gutter="0" w:footer="0" w:header="0"/>
        </w:sectPr>
      </w:pPr>
    </w:p>
    <w:bookmarkStart w:id="162" w:name="page163"/>
    <w:bookmarkEnd w:id="162"/>
    <w:p>
      <w:pPr>
        <w:jc w:val="both"/>
        <w:ind w:left="960"/>
        <w:spacing w:after="0" w:line="254" w:lineRule="auto"/>
        <w:rPr>
          <w:sz w:val="20"/>
          <w:szCs w:val="20"/>
          <w:color w:val="auto"/>
        </w:rPr>
      </w:pPr>
      <w:r>
        <w:rPr>
          <w:rFonts w:ascii="Arial" w:cs="Arial" w:eastAsia="Arial" w:hAnsi="Arial"/>
          <w:sz w:val="18"/>
          <w:szCs w:val="18"/>
          <w:i w:val="1"/>
          <w:iCs w:val="1"/>
          <w:color w:val="auto"/>
        </w:rPr>
        <w:t>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3" w:lineRule="exact"/>
        <w:rPr>
          <w:sz w:val="20"/>
          <w:szCs w:val="20"/>
          <w:color w:val="auto"/>
        </w:rPr>
      </w:pPr>
    </w:p>
    <w:p>
      <w:pPr>
        <w:jc w:val="both"/>
        <w:ind w:left="960" w:hanging="644"/>
        <w:spacing w:after="0" w:line="250"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For example, the European Commission has issued a limited adequacy finding with respect to the United States that applies only to the extent companies register for the EU-U.S. Privacy Shield program, which is open to companies subject to Federal Trade Commission jurisdiction and in which the Company participates with respect to employee data. The Company also participates in the Swiss-U.S. Privacy Shield program under which the Company certifies compliance with certain Swiss data protection requirements with respect to employee data. The Company’s legal basis, where required, for the transfer of Data is Grantee’s consent.</w:t>
      </w:r>
    </w:p>
    <w:p>
      <w:pPr>
        <w:spacing w:after="0" w:line="3"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6" w:lineRule="exact"/>
        <w:rPr>
          <w:rFonts w:ascii="Arial" w:cs="Arial" w:eastAsia="Arial" w:hAnsi="Arial"/>
          <w:sz w:val="18"/>
          <w:szCs w:val="18"/>
          <w:color w:val="auto"/>
        </w:rPr>
      </w:pPr>
    </w:p>
    <w:p>
      <w:pPr>
        <w:jc w:val="both"/>
        <w:ind w:left="960" w:hanging="644"/>
        <w:spacing w:after="0" w:line="253"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Additional Terms and Conditions</w:t>
      </w:r>
    </w:p>
    <w:p>
      <w:pPr>
        <w:spacing w:after="0" w:line="139" w:lineRule="exact"/>
        <w:rPr>
          <w:sz w:val="20"/>
          <w:szCs w:val="20"/>
          <w:color w:val="auto"/>
        </w:rPr>
      </w:pPr>
    </w:p>
    <w:p>
      <w:pPr>
        <w:jc w:val="both"/>
        <w:ind w:left="60"/>
        <w:spacing w:after="0" w:line="252" w:lineRule="auto"/>
        <w:rPr>
          <w:sz w:val="20"/>
          <w:szCs w:val="20"/>
          <w:color w:val="auto"/>
        </w:rPr>
      </w:pPr>
      <w:r>
        <w:rPr>
          <w:rFonts w:ascii="Arial" w:cs="Arial" w:eastAsia="Arial" w:hAnsi="Arial"/>
          <w:sz w:val="18"/>
          <w:szCs w:val="18"/>
          <w:color w:val="auto"/>
        </w:rPr>
        <w:t>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200" w:lineRule="exact"/>
        <w:rPr>
          <w:sz w:val="20"/>
          <w:szCs w:val="20"/>
          <w:color w:val="auto"/>
        </w:rPr>
      </w:pPr>
    </w:p>
    <w:p>
      <w:pPr>
        <w:spacing w:after="0" w:line="32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80"/>
          </w:cols>
          <w:pgMar w:left="580" w:top="337" w:right="239" w:bottom="1440" w:gutter="0" w:footer="0" w:header="0"/>
        </w:sectPr>
      </w:pPr>
    </w:p>
    <w:bookmarkStart w:id="163" w:name="page164"/>
    <w:bookmarkEnd w:id="163"/>
    <w:p>
      <w:pPr>
        <w:spacing w:after="0"/>
        <w:tabs>
          <w:tab w:leader="none" w:pos="12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7"/>
          <w:szCs w:val="17"/>
          <w:b w:val="1"/>
          <w:bCs w:val="1"/>
          <w:color w:val="auto"/>
        </w:rPr>
        <w:t>Governing Law and Choice of Venue</w:t>
      </w:r>
    </w:p>
    <w:p>
      <w:pPr>
        <w:spacing w:after="0" w:line="139"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2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7"/>
          <w:szCs w:val="17"/>
          <w:b w:val="1"/>
          <w:bCs w:val="1"/>
          <w:color w:val="auto"/>
        </w:rPr>
        <w:t>Miscellaneous Provisions</w:t>
      </w:r>
    </w:p>
    <w:p>
      <w:pPr>
        <w:spacing w:after="0" w:line="31" w:lineRule="exact"/>
        <w:rPr>
          <w:sz w:val="20"/>
          <w:szCs w:val="20"/>
          <w:color w:val="auto"/>
        </w:rPr>
      </w:pPr>
    </w:p>
    <w:p>
      <w:pPr>
        <w:jc w:val="both"/>
        <w:ind w:left="960" w:hanging="644"/>
        <w:spacing w:after="0" w:line="250"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1" w:lineRule="exact"/>
        <w:rPr>
          <w:rFonts w:ascii="Arial" w:cs="Arial" w:eastAsia="Arial" w:hAnsi="Arial"/>
          <w:sz w:val="18"/>
          <w:szCs w:val="18"/>
          <w:color w:val="auto"/>
        </w:rPr>
      </w:pPr>
    </w:p>
    <w:p>
      <w:pPr>
        <w:jc w:val="both"/>
        <w:ind w:left="960" w:hanging="644"/>
        <w:spacing w:after="0" w:line="253"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97" w:lineRule="exact"/>
        <w:rPr>
          <w:rFonts w:ascii="Arial" w:cs="Arial" w:eastAsia="Arial" w:hAnsi="Arial"/>
          <w:sz w:val="18"/>
          <w:szCs w:val="18"/>
          <w:color w:val="auto"/>
        </w:rPr>
      </w:pPr>
    </w:p>
    <w:p>
      <w:pPr>
        <w:ind w:left="960"/>
        <w:spacing w:after="0" w:line="26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88" w:lineRule="exact"/>
        <w:rPr>
          <w:rFonts w:ascii="Arial" w:cs="Arial" w:eastAsia="Arial" w:hAnsi="Arial"/>
          <w:sz w:val="18"/>
          <w:szCs w:val="18"/>
          <w:color w:val="auto"/>
        </w:rPr>
      </w:pPr>
    </w:p>
    <w:p>
      <w:pPr>
        <w:jc w:val="both"/>
        <w:ind w:left="960" w:hanging="644"/>
        <w:spacing w:after="0" w:line="254" w:lineRule="auto"/>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8"/>
          <w:szCs w:val="18"/>
          <w:b w:val="1"/>
          <w:bCs w:val="1"/>
          <w:color w:val="auto"/>
        </w:rPr>
        <w:t>Compensation Recovery</w:t>
      </w:r>
    </w:p>
    <w:p>
      <w:pPr>
        <w:spacing w:after="0" w:line="139"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94" w:lineRule="exact"/>
        <w:rPr>
          <w:sz w:val="20"/>
          <w:szCs w:val="20"/>
          <w:color w:val="auto"/>
        </w:rPr>
      </w:pPr>
    </w:p>
    <w:p>
      <w:pPr>
        <w:jc w:val="both"/>
        <w:ind w:left="960" w:hanging="644"/>
        <w:spacing w:after="0" w:line="250" w:lineRule="auto"/>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2" w:lineRule="exact"/>
        <w:rPr>
          <w:rFonts w:ascii="Arial" w:cs="Arial" w:eastAsia="Arial" w:hAnsi="Arial"/>
          <w:sz w:val="18"/>
          <w:szCs w:val="18"/>
          <w:color w:val="auto"/>
        </w:rPr>
      </w:pPr>
    </w:p>
    <w:p>
      <w:pPr>
        <w:jc w:val="both"/>
        <w:ind w:left="960" w:hanging="644"/>
        <w:spacing w:after="0" w:line="256" w:lineRule="auto"/>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19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580" w:top="333" w:right="239" w:bottom="1440" w:gutter="0" w:footer="0" w:header="0"/>
        </w:sectPr>
      </w:pPr>
    </w:p>
    <w:bookmarkStart w:id="164" w:name="page165"/>
    <w:bookmarkEnd w:id="164"/>
    <w:p>
      <w:pPr>
        <w:jc w:val="both"/>
        <w:ind w:left="60"/>
        <w:spacing w:after="0" w:line="252" w:lineRule="auto"/>
        <w:rPr>
          <w:sz w:val="20"/>
          <w:szCs w:val="20"/>
          <w:color w:val="auto"/>
        </w:rPr>
      </w:pPr>
      <w:r>
        <w:rPr>
          <w:rFonts w:ascii="Arial" w:cs="Arial" w:eastAsia="Arial" w:hAnsi="Arial"/>
          <w:sz w:val="18"/>
          <w:szCs w:val="18"/>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101"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8"/>
          <w:szCs w:val="18"/>
          <w:b w:val="1"/>
          <w:bCs w:val="1"/>
          <w:color w:val="auto"/>
        </w:rPr>
        <w:t>Award Subject to Acknowledgement of Acceptance</w:t>
      </w:r>
    </w:p>
    <w:p>
      <w:pPr>
        <w:spacing w:after="0" w:line="139" w:lineRule="exact"/>
        <w:rPr>
          <w:sz w:val="20"/>
          <w:szCs w:val="20"/>
          <w:color w:val="auto"/>
        </w:rPr>
      </w:pPr>
    </w:p>
    <w:p>
      <w:pPr>
        <w:jc w:val="both"/>
        <w:ind w:left="60"/>
        <w:spacing w:after="0" w:line="25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April 30, 2020, through the website of Merrill Lynch, the Company’s stock plan administrator. If the Grantee does not acknowledge acceptance of the Award prior to 4:00 PM (EDT) April 30, 2020, the Award will be cancelled, subject to the Committee’s discretion for unforeseen circumstances.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23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7620</wp:posOffset>
            </wp:positionV>
            <wp:extent cx="1457960" cy="386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1457960" cy="38608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______________________</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David A. Ricks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Chairman of the Board, President and</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5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80"/>
          </w:cols>
          <w:pgMar w:left="580" w:top="463"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Exhibit 10.4 Form of Relative Value Award under the 2002 Lilly Stock Plan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Relative Value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Executive Officers)</w:t>
      </w:r>
    </w:p>
    <w:p>
      <w:pPr>
        <w:spacing w:after="0" w:line="345" w:lineRule="exact"/>
        <w:rPr>
          <w:sz w:val="20"/>
          <w:szCs w:val="20"/>
          <w:color w:val="auto"/>
        </w:rPr>
      </w:pPr>
    </w:p>
    <w:p>
      <w:pPr>
        <w:ind w:left="340" w:right="60"/>
        <w:spacing w:after="0" w:line="256" w:lineRule="auto"/>
        <w:rPr>
          <w:sz w:val="20"/>
          <w:szCs w:val="20"/>
          <w:color w:val="auto"/>
        </w:rPr>
      </w:pPr>
      <w:r>
        <w:rPr>
          <w:rFonts w:ascii="Arial" w:cs="Arial" w:eastAsia="Arial" w:hAnsi="Arial"/>
          <w:sz w:val="18"/>
          <w:szCs w:val="18"/>
          <w:color w:val="auto"/>
        </w:rPr>
        <w:t>This Relative Value Award has been granted on February 12, 2020 (“Grant Date”) by Eli Lilly and Company, an Indiana corporation, with its principal offices in Indianapolis, Indiana (“Lilly” or the “Company”), to the Eligible Individual who has received this Relative Value Award Agreement (the “Grantee”).</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Lilly Relative Total Shareholder Return 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5848985" cy="12522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584898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tabs>
          <w:tab w:leader="none" w:pos="2340" w:val="left"/>
        </w:tabs>
        <w:rPr>
          <w:sz w:val="20"/>
          <w:szCs w:val="20"/>
          <w:color w:val="auto"/>
        </w:rPr>
      </w:pPr>
      <w:r>
        <w:rPr>
          <w:rFonts w:ascii="Arial" w:cs="Arial" w:eastAsia="Arial" w:hAnsi="Arial"/>
          <w:sz w:val="18"/>
          <w:szCs w:val="18"/>
          <w:b w:val="1"/>
          <w:bCs w:val="1"/>
          <w:color w:val="auto"/>
        </w:rPr>
        <w:t>Performance Period:</w:t>
      </w:r>
      <w:r>
        <w:rPr>
          <w:sz w:val="20"/>
          <w:szCs w:val="20"/>
          <w:color w:val="auto"/>
        </w:rPr>
        <w:tab/>
      </w:r>
      <w:r>
        <w:rPr>
          <w:rFonts w:ascii="Arial" w:cs="Arial" w:eastAsia="Arial" w:hAnsi="Arial"/>
          <w:sz w:val="17"/>
          <w:szCs w:val="17"/>
          <w:color w:val="auto"/>
        </w:rPr>
        <w:t>January 1, 2020 - December 31, 2022</w:t>
      </w:r>
    </w:p>
    <w:p>
      <w:pPr>
        <w:spacing w:after="0" w:line="200" w:lineRule="exact"/>
        <w:rPr>
          <w:sz w:val="20"/>
          <w:szCs w:val="20"/>
          <w:color w:val="auto"/>
        </w:rPr>
      </w:pPr>
    </w:p>
    <w:p>
      <w:pPr>
        <w:spacing w:after="0" w:line="24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Grant of Relative Value Award</w:t>
      </w:r>
    </w:p>
    <w:p>
      <w:pPr>
        <w:spacing w:after="0" w:line="139"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000000"/>
        </w:rPr>
        <w:t>. (the "Target Number of Shares").</w:t>
      </w:r>
    </w:p>
    <w:p>
      <w:pPr>
        <w:spacing w:after="0" w:line="96"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0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Vesting</w:t>
      </w:r>
    </w:p>
    <w:p>
      <w:pPr>
        <w:spacing w:after="0" w:line="31"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where:</w:t>
      </w:r>
    </w:p>
    <w:p>
      <w:pPr>
        <w:spacing w:after="0" w:line="1" w:lineRule="exact"/>
        <w:rPr>
          <w:sz w:val="20"/>
          <w:szCs w:val="20"/>
          <w:color w:val="auto"/>
        </w:rPr>
      </w:pPr>
    </w:p>
    <w:p>
      <w:pPr>
        <w:jc w:val="both"/>
        <w:ind w:left="1040" w:hanging="316"/>
        <w:spacing w:after="0" w:line="250" w:lineRule="auto"/>
        <w:tabs>
          <w:tab w:leader="none" w:pos="10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Payout Multiple</w:t>
      </w:r>
      <w:r>
        <w:rPr>
          <w:rFonts w:ascii="Arial" w:cs="Arial" w:eastAsia="Arial" w:hAnsi="Arial"/>
          <w:sz w:val="18"/>
          <w:szCs w:val="18"/>
          <w:color w:val="auto"/>
        </w:rPr>
        <w:t>” shall mean the payout multiple set forth in the Lilly Relative Total Shareholder Return Performance Levels table set forth on the first page of this document, representing the attainment level of Lilly’s rTSR, measured against the performance goal attainment levels set forth in the table.</w:t>
      </w:r>
    </w:p>
    <w:p>
      <w:pPr>
        <w:spacing w:after="0" w:line="1" w:lineRule="exact"/>
        <w:rPr>
          <w:rFonts w:ascii="Arial" w:cs="Arial" w:eastAsia="Arial" w:hAnsi="Arial"/>
          <w:sz w:val="18"/>
          <w:szCs w:val="18"/>
          <w:color w:val="auto"/>
        </w:rPr>
      </w:pPr>
    </w:p>
    <w:p>
      <w:pPr>
        <w:ind w:left="1040" w:hanging="316"/>
        <w:spacing w:after="0" w:line="250" w:lineRule="auto"/>
        <w:tabs>
          <w:tab w:leader="none" w:pos="10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Lilly Stock Price</w:t>
      </w:r>
      <w:r>
        <w:rPr>
          <w:rFonts w:ascii="Arial" w:cs="Arial" w:eastAsia="Arial" w:hAnsi="Arial"/>
          <w:sz w:val="18"/>
          <w:szCs w:val="18"/>
          <w:color w:val="auto"/>
        </w:rPr>
        <w:t>” shall mean the average of the closing price of a share of Lilly Common Stock on the New York Stock Exchange for each trading day in the last two months of the Performance Period, rounded to the nearest cent.</w:t>
      </w:r>
    </w:p>
    <w:p>
      <w:pPr>
        <w:jc w:val="both"/>
        <w:ind w:left="1040" w:hanging="316"/>
        <w:spacing w:after="0" w:line="256" w:lineRule="auto"/>
        <w:tabs>
          <w:tab w:leader="none" w:pos="10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Shareholder Return</w:t>
      </w:r>
      <w:r>
        <w:rPr>
          <w:rFonts w:ascii="Arial" w:cs="Arial" w:eastAsia="Arial" w:hAnsi="Arial"/>
          <w:sz w:val="18"/>
          <w:szCs w:val="18"/>
          <w:color w:val="auto"/>
        </w:rPr>
        <w:t>” or “</w:t>
      </w:r>
      <w:r>
        <w:rPr>
          <w:rFonts w:ascii="Arial" w:cs="Arial" w:eastAsia="Arial" w:hAnsi="Arial"/>
          <w:sz w:val="18"/>
          <w:szCs w:val="18"/>
          <w:u w:val="single" w:color="auto"/>
          <w:color w:val="auto"/>
        </w:rPr>
        <w:t>TSR</w:t>
      </w:r>
      <w:r>
        <w:rPr>
          <w:rFonts w:ascii="Arial" w:cs="Arial" w:eastAsia="Arial" w:hAnsi="Arial"/>
          <w:sz w:val="18"/>
          <w:szCs w:val="18"/>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ectPr>
          <w:pgSz w:w="11900" w:h="16838" w:orient="portrait"/>
          <w:cols w:equalWidth="0" w:num="1">
            <w:col w:w="11420"/>
          </w:cols>
          <w:pgMar w:left="240" w:top="549" w:right="239" w:bottom="1440" w:gutter="0" w:footer="0" w:header="0"/>
        </w:sectPr>
      </w:pPr>
    </w:p>
    <w:bookmarkStart w:id="166" w:name="page167"/>
    <w:bookmarkEnd w:id="166"/>
    <w:p>
      <w:pPr>
        <w:jc w:val="both"/>
        <w:ind w:left="700"/>
        <w:spacing w:after="0" w:line="256" w:lineRule="auto"/>
        <w:rPr>
          <w:sz w:val="20"/>
          <w:szCs w:val="20"/>
          <w:color w:val="auto"/>
        </w:rPr>
      </w:pPr>
      <w:r>
        <w:rPr>
          <w:rFonts w:ascii="Arial" w:cs="Arial" w:eastAsia="Arial" w:hAnsi="Arial"/>
          <w:sz w:val="18"/>
          <w:szCs w:val="18"/>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94" w:lineRule="exact"/>
        <w:rPr>
          <w:sz w:val="20"/>
          <w:szCs w:val="20"/>
          <w:color w:val="auto"/>
        </w:rPr>
      </w:pPr>
    </w:p>
    <w:p>
      <w:pPr>
        <w:jc w:val="both"/>
        <w:ind w:left="700" w:hanging="316"/>
        <w:spacing w:after="0" w:line="250" w:lineRule="auto"/>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Relative Total Shareholder Return</w:t>
      </w:r>
      <w:r>
        <w:rPr>
          <w:rFonts w:ascii="Arial" w:cs="Arial" w:eastAsia="Arial" w:hAnsi="Arial"/>
          <w:sz w:val="18"/>
          <w:szCs w:val="18"/>
          <w:color w:val="auto"/>
        </w:rPr>
        <w:t>” or “</w:t>
      </w:r>
      <w:r>
        <w:rPr>
          <w:rFonts w:ascii="Arial" w:cs="Arial" w:eastAsia="Arial" w:hAnsi="Arial"/>
          <w:sz w:val="18"/>
          <w:szCs w:val="18"/>
          <w:u w:val="single" w:color="auto"/>
          <w:color w:val="auto"/>
        </w:rPr>
        <w:t>rTSR</w:t>
      </w:r>
      <w:r>
        <w:rPr>
          <w:rFonts w:ascii="Arial" w:cs="Arial" w:eastAsia="Arial" w:hAnsi="Arial"/>
          <w:sz w:val="18"/>
          <w:szCs w:val="18"/>
          <w:color w:val="auto"/>
        </w:rPr>
        <w:t>” shall mean the comparison between Lilly’s TSR and the TSR of the Peer Group over the Performance Period, measured as the absolute percentage point difference in the performance of the Company’s TSR compared to the Peer Group’s median TSR.</w:t>
      </w:r>
    </w:p>
    <w:p>
      <w:pPr>
        <w:spacing w:after="0" w:line="1" w:lineRule="exact"/>
        <w:rPr>
          <w:rFonts w:ascii="Arial" w:cs="Arial" w:eastAsia="Arial" w:hAnsi="Arial"/>
          <w:sz w:val="18"/>
          <w:szCs w:val="18"/>
          <w:color w:val="auto"/>
        </w:rPr>
      </w:pPr>
    </w:p>
    <w:p>
      <w:pPr>
        <w:jc w:val="both"/>
        <w:ind w:left="700" w:hanging="316"/>
        <w:spacing w:after="0" w:line="250" w:lineRule="auto"/>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Beginning Stock Price</w:t>
      </w:r>
      <w:r>
        <w:rPr>
          <w:rFonts w:ascii="Arial" w:cs="Arial" w:eastAsia="Arial" w:hAnsi="Arial"/>
          <w:sz w:val="18"/>
          <w:szCs w:val="18"/>
          <w:color w:val="auto"/>
        </w:rPr>
        <w:t>” shall mean the average closing price of a share of Lilly Common Stock on the New York Stock Exchange or a share of each Peer Group company’s stock, as applicable, for each trading day in the two month period immediately preceding the Performance Period, rounded to the nearest cent.</w:t>
      </w:r>
    </w:p>
    <w:p>
      <w:pPr>
        <w:spacing w:after="0" w:line="1" w:lineRule="exact"/>
        <w:rPr>
          <w:rFonts w:ascii="Arial" w:cs="Arial" w:eastAsia="Arial" w:hAnsi="Arial"/>
          <w:sz w:val="18"/>
          <w:szCs w:val="18"/>
          <w:color w:val="auto"/>
        </w:rPr>
      </w:pPr>
    </w:p>
    <w:p>
      <w:pPr>
        <w:jc w:val="both"/>
        <w:ind w:left="700" w:hanging="316"/>
        <w:spacing w:after="0" w:line="250" w:lineRule="auto"/>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Peer Stock Price</w:t>
      </w:r>
      <w:r>
        <w:rPr>
          <w:rFonts w:ascii="Arial" w:cs="Arial" w:eastAsia="Arial" w:hAnsi="Arial"/>
          <w:sz w:val="18"/>
          <w:szCs w:val="18"/>
          <w:color w:val="auto"/>
        </w:rPr>
        <w:t>” shall mean the average of the closing price of a share of each Peer Group company’s stock, on Nasdaq, the New York Stock Exchange, or other market where an independent share price can be determined, for each trading day in the last two months of the Performance Period, rounded to the nearest cent.</w:t>
      </w:r>
    </w:p>
    <w:p>
      <w:pPr>
        <w:spacing w:after="0" w:line="1" w:lineRule="exact"/>
        <w:rPr>
          <w:rFonts w:ascii="Arial" w:cs="Arial" w:eastAsia="Arial" w:hAnsi="Arial"/>
          <w:sz w:val="18"/>
          <w:szCs w:val="18"/>
          <w:color w:val="auto"/>
        </w:rPr>
      </w:pPr>
    </w:p>
    <w:p>
      <w:pPr>
        <w:ind w:left="700" w:hanging="316"/>
        <w:spacing w:after="0" w:line="250" w:lineRule="auto"/>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shall mean ordinary or extraordinary cash dividends paid by Lilly or a Peer Group company to its shareholders of record at any time during the Performance Period.</w:t>
      </w:r>
    </w:p>
    <w:p>
      <w:pPr>
        <w:jc w:val="both"/>
        <w:ind w:left="700" w:hanging="316"/>
        <w:spacing w:after="0" w:line="254" w:lineRule="auto"/>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Peer Group</w:t>
      </w:r>
      <w:r>
        <w:rPr>
          <w:rFonts w:ascii="Arial" w:cs="Arial" w:eastAsia="Arial" w:hAnsi="Arial"/>
          <w:sz w:val="18"/>
          <w:szCs w:val="18"/>
          <w:color w:val="auto"/>
        </w:rPr>
        <w:t>” shall mean all companies identified and most recently approved by the Committee as a member of the Company’s Peer Group in effect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96" w:lineRule="exact"/>
        <w:rPr>
          <w:sz w:val="20"/>
          <w:szCs w:val="20"/>
          <w:color w:val="auto"/>
        </w:rPr>
      </w:pPr>
    </w:p>
    <w:p>
      <w:pPr>
        <w:jc w:val="both"/>
        <w:ind w:left="60"/>
        <w:spacing w:after="0" w:line="262" w:lineRule="auto"/>
        <w:rPr>
          <w:sz w:val="20"/>
          <w:szCs w:val="20"/>
          <w:color w:val="auto"/>
        </w:rPr>
      </w:pPr>
      <w:r>
        <w:rPr>
          <w:rFonts w:ascii="Arial" w:cs="Arial" w:eastAsia="Arial" w:hAnsi="Arial"/>
          <w:sz w:val="18"/>
          <w:szCs w:val="18"/>
          <w:color w:val="auto"/>
        </w:rPr>
        <w:t>In the event the Grantee’s Service is terminated prior to the end of the Performance Period for any reason or in any circumstance other than as described in Section 3 below, the Award shall be forfeited.</w:t>
      </w:r>
    </w:p>
    <w:p>
      <w:pPr>
        <w:spacing w:after="0" w:line="2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Impact of Certain Employment Status Changes</w:t>
      </w:r>
    </w:p>
    <w:p>
      <w:pPr>
        <w:spacing w:after="0" w:line="139" w:lineRule="exact"/>
        <w:rPr>
          <w:sz w:val="20"/>
          <w:szCs w:val="20"/>
          <w:color w:val="auto"/>
        </w:rPr>
      </w:pPr>
    </w:p>
    <w:p>
      <w:pPr>
        <w:jc w:val="both"/>
        <w:ind w:left="60"/>
        <w:spacing w:after="0" w:line="250" w:lineRule="auto"/>
        <w:rPr>
          <w:sz w:val="20"/>
          <w:szCs w:val="20"/>
          <w:color w:val="auto"/>
        </w:rPr>
      </w:pPr>
      <w:r>
        <w:rPr>
          <w:rFonts w:ascii="Arial" w:cs="Arial" w:eastAsia="Arial" w:hAnsi="Arial"/>
          <w:sz w:val="18"/>
          <w:szCs w:val="18"/>
          <w:color w:val="auto"/>
        </w:rPr>
        <w:t>Unless the Committee determines, in its sole discretion, that such treatment is not advisable after consideration of Applicable Laws, the number of Shares that are eligible to vest upon a change employment status of the Grantee during the Performance Period will be as follows:</w:t>
      </w:r>
    </w:p>
    <w:p>
      <w:pPr>
        <w:spacing w:after="0" w:line="1" w:lineRule="exact"/>
        <w:rPr>
          <w:sz w:val="20"/>
          <w:szCs w:val="20"/>
          <w:color w:val="auto"/>
        </w:rPr>
      </w:pPr>
    </w:p>
    <w:p>
      <w:pPr>
        <w:ind w:left="700" w:hanging="316"/>
        <w:spacing w:after="0" w:line="250" w:lineRule="auto"/>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In the event the Grantee is on an approved leave of absence during the Performance Period, the number of Shares eligible to vest shall be the number determined in accordance with Section 2 above.</w:t>
      </w:r>
    </w:p>
    <w:p>
      <w:pPr>
        <w:ind w:left="700" w:hanging="316"/>
        <w:spacing w:after="0" w:line="250" w:lineRule="auto"/>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Death; Disability</w:t>
      </w:r>
      <w:r>
        <w:rPr>
          <w:rFonts w:ascii="Arial" w:cs="Arial" w:eastAsia="Arial" w:hAnsi="Arial"/>
          <w:sz w:val="18"/>
          <w:szCs w:val="18"/>
          <w:color w:val="auto"/>
        </w:rPr>
        <w:t>. In the event the Grantee’s Service is terminated (i) due to the Grantee’s death, or (ii) by reason of Grantee’s Disability, the number of Shares eligible to vest shall be the number determined in accordance with Section 2 above.</w:t>
      </w:r>
    </w:p>
    <w:p>
      <w:pPr>
        <w:jc w:val="both"/>
        <w:ind w:left="700" w:hanging="316"/>
        <w:spacing w:after="0" w:line="256" w:lineRule="auto"/>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number of Shares eligible to vest shall be reduced proportionally for the portion of the total days during the Performance Period in which the Grantee was not in active Service.</w:t>
      </w:r>
    </w:p>
    <w:p>
      <w:pPr>
        <w:spacing w:after="0" w:line="9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any one of the following:</w:t>
      </w:r>
    </w:p>
    <w:p>
      <w:pPr>
        <w:spacing w:after="0" w:line="117"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or (C) a retired employee under a retirement program specifically approved by the Committee;</w:t>
      </w:r>
    </w:p>
    <w:p>
      <w:pPr>
        <w:spacing w:after="0" w:line="1" w:lineRule="exact"/>
        <w:rPr>
          <w:rFonts w:ascii="Arial" w:cs="Arial" w:eastAsia="Arial" w:hAnsi="Arial"/>
          <w:sz w:val="18"/>
          <w:szCs w:val="18"/>
          <w:color w:val="auto"/>
        </w:rPr>
      </w:pPr>
    </w:p>
    <w:p>
      <w:pPr>
        <w:ind w:left="1620" w:hanging="331"/>
        <w:spacing w:after="0"/>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Grantee’s Service is terminated due to a plant closing or reduction in workforce (as defined below);</w:t>
      </w:r>
    </w:p>
    <w:p>
      <w:pPr>
        <w:spacing w:after="0" w:line="9" w:lineRule="exact"/>
        <w:rPr>
          <w:rFonts w:ascii="Arial" w:cs="Arial" w:eastAsia="Arial" w:hAnsi="Arial"/>
          <w:sz w:val="18"/>
          <w:szCs w:val="18"/>
          <w:color w:val="auto"/>
        </w:rPr>
      </w:pPr>
    </w:p>
    <w:p>
      <w:pPr>
        <w:jc w:val="both"/>
        <w:ind w:left="1620" w:hanging="331"/>
        <w:spacing w:after="0" w:line="262"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88" w:lineRule="exact"/>
        <w:rPr>
          <w:sz w:val="20"/>
          <w:szCs w:val="20"/>
          <w:color w:val="auto"/>
        </w:rPr>
      </w:pPr>
    </w:p>
    <w:p>
      <w:pPr>
        <w:ind w:left="960" w:right="200"/>
        <w:spacing w:after="0" w:line="26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196" w:lineRule="exact"/>
        <w:rPr>
          <w:sz w:val="20"/>
          <w:szCs w:val="20"/>
          <w:color w:val="auto"/>
        </w:rPr>
      </w:pPr>
    </w:p>
    <w:p>
      <w:pPr>
        <w:ind w:left="960" w:right="720"/>
        <w:spacing w:after="0" w:line="26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ectPr>
          <w:pgSz w:w="11900" w:h="16838" w:orient="portrait"/>
          <w:cols w:equalWidth="0" w:num="1">
            <w:col w:w="11080"/>
          </w:cols>
          <w:pgMar w:left="580" w:top="679" w:right="239" w:bottom="1440" w:gutter="0" w:footer="0" w:header="0"/>
        </w:sectPr>
      </w:pPr>
    </w:p>
    <w:bookmarkStart w:id="167" w:name="page168"/>
    <w:bookmarkEnd w:id="167"/>
    <w:p>
      <w:pPr>
        <w:jc w:val="both"/>
        <w:ind w:left="700" w:hanging="316"/>
        <w:spacing w:after="0" w:line="252" w:lineRule="auto"/>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Committee may, in its sole discretion, cancel this Relative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101"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Committee’s determination as to whether (1) a leave of absence or a transfer of employment between Lilly and an Affiliate or between Affiliates constitutes a termination of Service, (2) the Grantee’s Service has been terminated by reason of Disability, (3) the Grantee’s Service has been terminated as a result of the failure to locate a position within the Company or an Affiliate following reallocation or medical reassignment, and (4) the Grantee’s Service has been terminated as a direct result of either a plant closing or a reduction in workforce shall be final and binding on the Grantee.</w:t>
      </w:r>
    </w:p>
    <w:p>
      <w:pPr>
        <w:spacing w:after="0" w:line="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Change in Control</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225" w:lineRule="exact"/>
        <w:rPr>
          <w:sz w:val="20"/>
          <w:szCs w:val="20"/>
          <w:color w:val="auto"/>
        </w:rPr>
      </w:pPr>
    </w:p>
    <w:p>
      <w:pPr>
        <w:ind w:left="960" w:hanging="644"/>
        <w:spacing w:after="0" w:line="250"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jc w:val="both"/>
        <w:ind w:left="960" w:hanging="644"/>
        <w:spacing w:after="0" w:line="250"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 on the last day of the Performance Period, subject to the Grantee’s continued Service through the last day of the Performance Period, except as provided below:</w:t>
      </w:r>
    </w:p>
    <w:p>
      <w:pPr>
        <w:spacing w:after="0" w:line="3"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 the event that (A) the Grantee is subject to a termination of Service as described in Sections 3(b) and (c) prior to the end of the Performance Period or (B)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1" w:lineRule="exact"/>
        <w:rPr>
          <w:rFonts w:ascii="Arial" w:cs="Arial" w:eastAsia="Arial" w:hAnsi="Arial"/>
          <w:sz w:val="18"/>
          <w:szCs w:val="18"/>
          <w:color w:val="auto"/>
        </w:rPr>
      </w:pPr>
    </w:p>
    <w:p>
      <w:pPr>
        <w:jc w:val="both"/>
        <w:ind w:left="1620" w:hanging="331"/>
        <w:spacing w:after="0" w:line="254"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96" w:lineRule="exact"/>
        <w:rPr>
          <w:sz w:val="20"/>
          <w:szCs w:val="20"/>
          <w:color w:val="auto"/>
        </w:rPr>
      </w:pPr>
    </w:p>
    <w:p>
      <w:pPr>
        <w:jc w:val="both"/>
        <w:ind w:left="960"/>
        <w:spacing w:after="0" w:line="254" w:lineRule="auto"/>
        <w:rPr>
          <w:sz w:val="20"/>
          <w:szCs w:val="20"/>
          <w:color w:val="auto"/>
        </w:rPr>
      </w:pPr>
      <w:r>
        <w:rPr>
          <w:rFonts w:ascii="Arial" w:cs="Arial" w:eastAsia="Arial" w:hAnsi="Arial"/>
          <w:sz w:val="18"/>
          <w:szCs w:val="18"/>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96" w:lineRule="exact"/>
        <w:rPr>
          <w:sz w:val="20"/>
          <w:szCs w:val="20"/>
          <w:color w:val="auto"/>
        </w:rPr>
      </w:pPr>
    </w:p>
    <w:p>
      <w:pPr>
        <w:jc w:val="both"/>
        <w:ind w:left="960" w:hanging="644"/>
        <w:spacing w:after="0" w:line="256" w:lineRule="auto"/>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Settlement</w:t>
      </w:r>
    </w:p>
    <w:p>
      <w:pPr>
        <w:spacing w:after="0" w:line="31" w:lineRule="exact"/>
        <w:rPr>
          <w:sz w:val="20"/>
          <w:szCs w:val="20"/>
          <w:color w:val="auto"/>
        </w:rPr>
      </w:pPr>
    </w:p>
    <w:p>
      <w:pPr>
        <w:ind w:left="960" w:hanging="644"/>
        <w:spacing w:after="0" w:line="250" w:lineRule="auto"/>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w:t>
      </w:r>
    </w:p>
    <w:p>
      <w:pPr>
        <w:jc w:val="both"/>
        <w:ind w:left="960" w:hanging="644"/>
        <w:spacing w:after="0" w:line="254" w:lineRule="auto"/>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w:t>
      </w:r>
    </w:p>
    <w:p>
      <w:pPr>
        <w:sectPr>
          <w:pgSz w:w="11900" w:h="16838" w:orient="portrait"/>
          <w:cols w:equalWidth="0" w:num="1">
            <w:col w:w="11080"/>
          </w:cols>
          <w:pgMar w:left="580" w:top="571" w:right="239" w:bottom="1440" w:gutter="0" w:footer="0" w:header="0"/>
        </w:sectPr>
      </w:pPr>
    </w:p>
    <w:bookmarkStart w:id="168" w:name="page169"/>
    <w:bookmarkEnd w:id="168"/>
    <w:p>
      <w:pPr>
        <w:jc w:val="both"/>
        <w:ind w:left="960"/>
        <w:spacing w:after="0" w:line="250" w:lineRule="auto"/>
        <w:rPr>
          <w:sz w:val="20"/>
          <w:szCs w:val="20"/>
          <w:color w:val="auto"/>
        </w:rPr>
      </w:pPr>
      <w:r>
        <w:rPr>
          <w:rFonts w:ascii="Arial" w:cs="Arial" w:eastAsia="Arial" w:hAnsi="Arial"/>
          <w:sz w:val="18"/>
          <w:szCs w:val="18"/>
          <w:color w:val="auto"/>
        </w:rPr>
        <w:t>(a “409A CIC”), then the Award shall be paid in cash (calculated based on the value of the Shares established for the consideration to be paid to holders of Shares in the Transaction) on the earliest of the date that the Grantee experiences a “separation from service” within the meaning of Section 409A of the Code (a “Section 409A Separation”), the date of the Grantee’s death and the date set forth in Section 5(a) above.</w:t>
      </w:r>
    </w:p>
    <w:p>
      <w:pPr>
        <w:spacing w:after="0" w:line="2" w:lineRule="exact"/>
        <w:rPr>
          <w:sz w:val="20"/>
          <w:szCs w:val="20"/>
          <w:color w:val="auto"/>
        </w:rPr>
      </w:pPr>
    </w:p>
    <w:p>
      <w:pPr>
        <w:jc w:val="both"/>
        <w:ind w:left="960" w:hanging="644"/>
        <w:spacing w:after="0" w:line="250"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1" w:lineRule="exact"/>
        <w:rPr>
          <w:rFonts w:ascii="Arial" w:cs="Arial" w:eastAsia="Arial" w:hAnsi="Arial"/>
          <w:sz w:val="18"/>
          <w:szCs w:val="18"/>
          <w:color w:val="auto"/>
        </w:rPr>
      </w:pPr>
    </w:p>
    <w:p>
      <w:pPr>
        <w:ind w:left="960" w:hanging="644"/>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0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Rights of the Grantee</w:t>
      </w:r>
    </w:p>
    <w:p>
      <w:pPr>
        <w:spacing w:after="0" w:line="31" w:lineRule="exact"/>
        <w:rPr>
          <w:sz w:val="20"/>
          <w:szCs w:val="20"/>
          <w:color w:val="auto"/>
        </w:rPr>
      </w:pPr>
    </w:p>
    <w:p>
      <w:pPr>
        <w:ind w:left="960" w:right="20" w:hanging="644"/>
        <w:spacing w:after="0" w:line="250" w:lineRule="auto"/>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Relative Value Award does not entitle the Grantee to any rights of a shareholder of Lilly until such time as the Relative Value Award is settled and Shares are issued or transferred to the Grantee.</w:t>
      </w:r>
    </w:p>
    <w:p>
      <w:pPr>
        <w:jc w:val="both"/>
        <w:ind w:left="960" w:hanging="644"/>
        <w:spacing w:after="0" w:line="256" w:lineRule="auto"/>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color w:val="auto"/>
        </w:rPr>
        <w:t>Prohibition Against Transfer</w:t>
      </w:r>
    </w:p>
    <w:p>
      <w:pPr>
        <w:spacing w:after="0" w:line="139"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2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Responsibility for Taxes</w:t>
      </w:r>
    </w:p>
    <w:p>
      <w:pPr>
        <w:spacing w:after="0" w:line="31" w:lineRule="exact"/>
        <w:rPr>
          <w:sz w:val="20"/>
          <w:szCs w:val="20"/>
          <w:color w:val="auto"/>
        </w:rPr>
      </w:pPr>
    </w:p>
    <w:p>
      <w:pPr>
        <w:jc w:val="both"/>
        <w:ind w:left="960" w:hanging="644"/>
        <w:spacing w:after="0" w:line="251" w:lineRule="auto"/>
        <w:tabs>
          <w:tab w:leader="none" w:pos="9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Regardless of any action Lilly and/or the Grantee’s employer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Relative Value Award, the vesting of the Relative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ectPr>
          <w:pgSz w:w="11900" w:h="16838" w:orient="portrait"/>
          <w:cols w:equalWidth="0" w:num="1">
            <w:col w:w="11080"/>
          </w:cols>
          <w:pgMar w:left="580" w:top="571" w:right="239" w:bottom="1440" w:gutter="0" w:footer="0" w:header="0"/>
        </w:sectPr>
      </w:pPr>
    </w:p>
    <w:bookmarkStart w:id="169" w:name="page170"/>
    <w:bookmarkEnd w:id="169"/>
    <w:p>
      <w:pPr>
        <w:ind w:left="960" w:hanging="644"/>
        <w:spacing w:after="0" w:line="250"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jc w:val="both"/>
        <w:ind w:left="1620" w:hanging="331"/>
        <w:spacing w:after="0" w:line="250" w:lineRule="auto"/>
        <w:tabs>
          <w:tab w:leader="none" w:pos="1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the Relative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1"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the Relative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(iv) apply any other method of withholding determined by the Company and, to the extent required by Applicable Laws or the Plan, approved by the Committee.</w:t>
      </w:r>
    </w:p>
    <w:p>
      <w:pPr>
        <w:spacing w:after="0" w:line="4" w:lineRule="exact"/>
        <w:rPr>
          <w:rFonts w:ascii="Arial" w:cs="Arial" w:eastAsia="Arial" w:hAnsi="Arial"/>
          <w:sz w:val="18"/>
          <w:szCs w:val="18"/>
          <w:color w:val="auto"/>
        </w:rPr>
      </w:pPr>
    </w:p>
    <w:p>
      <w:pPr>
        <w:jc w:val="both"/>
        <w:ind w:left="1620" w:hanging="331"/>
        <w:spacing w:after="0" w:line="250" w:lineRule="auto"/>
        <w:tabs>
          <w:tab w:leader="none" w:pos="1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the Relative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3" w:lineRule="exact"/>
        <w:rPr>
          <w:rFonts w:ascii="Arial" w:cs="Arial" w:eastAsia="Arial" w:hAnsi="Arial"/>
          <w:sz w:val="18"/>
          <w:szCs w:val="18"/>
          <w:color w:val="auto"/>
        </w:rPr>
      </w:pPr>
    </w:p>
    <w:p>
      <w:pPr>
        <w:ind w:left="960" w:right="20" w:hanging="644"/>
        <w:spacing w:after="0" w:line="262"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Lilly may refuse to deliver Shares or any cash payment to the Grantee if the Grantee fails to comply with the Grantee’s obligation in connection with the Tax Related Items as described in this Section 8.</w:t>
      </w:r>
    </w:p>
    <w:p>
      <w:pPr>
        <w:spacing w:after="0" w:line="17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Section 409A Compliance</w:t>
      </w:r>
    </w:p>
    <w:p>
      <w:pPr>
        <w:spacing w:after="0" w:line="31" w:lineRule="exact"/>
        <w:rPr>
          <w:sz w:val="20"/>
          <w:szCs w:val="20"/>
          <w:color w:val="auto"/>
        </w:rPr>
      </w:pPr>
    </w:p>
    <w:p>
      <w:pPr>
        <w:jc w:val="both"/>
        <w:ind w:left="60"/>
        <w:spacing w:after="0" w:line="254"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8"/>
          <w:szCs w:val="18"/>
          <w:b w:val="1"/>
          <w:bCs w:val="1"/>
          <w:color w:val="auto"/>
        </w:rPr>
        <w:t>Grantee’s Acknowledgment</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225" w:lineRule="exact"/>
        <w:rPr>
          <w:sz w:val="20"/>
          <w:szCs w:val="20"/>
          <w:color w:val="auto"/>
        </w:rPr>
      </w:pPr>
    </w:p>
    <w:p>
      <w:pPr>
        <w:ind w:left="960" w:hanging="644"/>
        <w:spacing w:after="0" w:line="250"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ind w:left="960" w:hanging="644"/>
        <w:spacing w:after="0" w:line="250"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ind w:left="960" w:right="20" w:hanging="644"/>
        <w:spacing w:after="0" w:line="250"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ind w:left="960" w:hanging="644"/>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9" w:lineRule="exact"/>
        <w:rPr>
          <w:rFonts w:ascii="Arial" w:cs="Arial" w:eastAsia="Arial" w:hAnsi="Arial"/>
          <w:sz w:val="18"/>
          <w:szCs w:val="18"/>
          <w:color w:val="auto"/>
        </w:rPr>
      </w:pPr>
    </w:p>
    <w:p>
      <w:pPr>
        <w:ind w:left="960" w:hanging="644"/>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9" w:lineRule="exact"/>
        <w:rPr>
          <w:rFonts w:ascii="Arial" w:cs="Arial" w:eastAsia="Arial" w:hAnsi="Arial"/>
          <w:sz w:val="18"/>
          <w:szCs w:val="18"/>
          <w:color w:val="auto"/>
        </w:rPr>
      </w:pPr>
    </w:p>
    <w:p>
      <w:pPr>
        <w:jc w:val="both"/>
        <w:ind w:left="960" w:hanging="644"/>
        <w:spacing w:after="0" w:line="254"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ectPr>
          <w:pgSz w:w="11900" w:h="16838" w:orient="portrait"/>
          <w:cols w:equalWidth="0" w:num="1">
            <w:col w:w="11080"/>
          </w:cols>
          <w:pgMar w:left="580" w:top="571" w:right="239" w:bottom="1440" w:gutter="0" w:footer="0" w:header="0"/>
        </w:sectPr>
      </w:pPr>
    </w:p>
    <w:bookmarkStart w:id="170" w:name="page171"/>
    <w:bookmarkEnd w:id="170"/>
    <w:p>
      <w:pPr>
        <w:ind w:left="960" w:right="20" w:hanging="644"/>
        <w:spacing w:after="0" w:line="250"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jc w:val="both"/>
        <w:ind w:left="960" w:hanging="644"/>
        <w:spacing w:after="0" w:line="250"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1" w:lineRule="exact"/>
        <w:rPr>
          <w:rFonts w:ascii="Arial" w:cs="Arial" w:eastAsia="Arial" w:hAnsi="Arial"/>
          <w:sz w:val="18"/>
          <w:szCs w:val="18"/>
          <w:color w:val="auto"/>
        </w:rPr>
      </w:pPr>
    </w:p>
    <w:p>
      <w:pPr>
        <w:ind w:left="960" w:hanging="644"/>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9"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4"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1" w:lineRule="exact"/>
        <w:rPr>
          <w:rFonts w:ascii="Arial" w:cs="Arial" w:eastAsia="Arial" w:hAnsi="Arial"/>
          <w:sz w:val="18"/>
          <w:szCs w:val="18"/>
          <w:color w:val="auto"/>
        </w:rPr>
      </w:pPr>
    </w:p>
    <w:p>
      <w:pPr>
        <w:ind w:left="960" w:right="20" w:hanging="644"/>
        <w:spacing w:after="0" w:line="250"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jc w:val="both"/>
        <w:ind w:left="960" w:hanging="644"/>
        <w:spacing w:after="0" w:line="256"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color w:val="auto"/>
        </w:rPr>
        <w:t>Data Privacy</w:t>
      </w:r>
    </w:p>
    <w:p>
      <w:pPr>
        <w:spacing w:after="0" w:line="31" w:lineRule="exact"/>
        <w:rPr>
          <w:sz w:val="20"/>
          <w:szCs w:val="20"/>
          <w:color w:val="auto"/>
        </w:rPr>
      </w:pPr>
    </w:p>
    <w:p>
      <w:pPr>
        <w:jc w:val="both"/>
        <w:ind w:left="960" w:hanging="644"/>
        <w:spacing w:after="0" w:line="250"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 w:lineRule="exact"/>
        <w:rPr>
          <w:rFonts w:ascii="Arial" w:cs="Arial" w:eastAsia="Arial" w:hAnsi="Arial"/>
          <w:sz w:val="18"/>
          <w:szCs w:val="18"/>
          <w:color w:val="auto"/>
        </w:rPr>
      </w:pPr>
    </w:p>
    <w:p>
      <w:pPr>
        <w:jc w:val="both"/>
        <w:ind w:left="960" w:hanging="644"/>
        <w:spacing w:after="0" w:line="252"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w:t>
      </w:r>
    </w:p>
    <w:p>
      <w:pPr>
        <w:sectPr>
          <w:pgSz w:w="11900" w:h="16838" w:orient="portrait"/>
          <w:cols w:equalWidth="0" w:num="1">
            <w:col w:w="11080"/>
          </w:cols>
          <w:pgMar w:left="580" w:top="571" w:right="239" w:bottom="1440" w:gutter="0" w:footer="0" w:header="0"/>
        </w:sectPr>
      </w:pPr>
    </w:p>
    <w:bookmarkStart w:id="171" w:name="page172"/>
    <w:bookmarkEnd w:id="171"/>
    <w:p>
      <w:pPr>
        <w:ind w:left="960"/>
        <w:spacing w:after="0" w:line="260" w:lineRule="auto"/>
        <w:rPr>
          <w:sz w:val="20"/>
          <w:szCs w:val="20"/>
          <w:color w:val="auto"/>
        </w:rPr>
      </w:pPr>
      <w:r>
        <w:rPr>
          <w:rFonts w:ascii="Arial" w:cs="Arial" w:eastAsia="Arial" w:hAnsi="Arial"/>
          <w:sz w:val="18"/>
          <w:szCs w:val="18"/>
          <w:i w:val="1"/>
          <w:iCs w:val="1"/>
          <w:color w:val="auto"/>
        </w:rPr>
        <w:t>management of the Plan. In the future, the Company may select a different service provider and share Data with such other provider serving in a similar manner.</w:t>
      </w:r>
    </w:p>
    <w:p>
      <w:pPr>
        <w:spacing w:after="0" w:line="2" w:lineRule="exact"/>
        <w:rPr>
          <w:sz w:val="20"/>
          <w:szCs w:val="20"/>
          <w:color w:val="auto"/>
        </w:rPr>
      </w:pPr>
    </w:p>
    <w:p>
      <w:pPr>
        <w:jc w:val="both"/>
        <w:ind w:left="960" w:hanging="644"/>
        <w:spacing w:after="0" w:line="250"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For example, the European Commission has issued a limited adequacy finding with respect to the United States that applies only to the extent companies register for the EU-U.S. Privacy Shield program, which is open to companies subject to Federal Trade Commission jurisdiction and in which the Company participates with respect to employee data. The Company also participates in the Swiss-U.S. Privacy Shield program under which the Company certifies compliance with certain Swiss data protection requirements with respect to employee data. The Company’s legal basis, where required, for the transfer of Data is Grantee’s consent.</w:t>
      </w:r>
    </w:p>
    <w:p>
      <w:pPr>
        <w:spacing w:after="0" w:line="3"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Subject Rights</w:t>
      </w:r>
      <w:r>
        <w:rPr>
          <w:rFonts w:ascii="Arial" w:cs="Arial" w:eastAsia="Arial" w:hAnsi="Arial"/>
          <w:sz w:val="18"/>
          <w:szCs w:val="18"/>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6" w:lineRule="exact"/>
        <w:rPr>
          <w:rFonts w:ascii="Arial" w:cs="Arial" w:eastAsia="Arial" w:hAnsi="Arial"/>
          <w:sz w:val="18"/>
          <w:szCs w:val="18"/>
          <w:color w:val="auto"/>
        </w:rPr>
      </w:pPr>
    </w:p>
    <w:p>
      <w:pPr>
        <w:jc w:val="both"/>
        <w:ind w:left="960" w:hanging="644"/>
        <w:spacing w:after="0" w:line="253"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Additional Terms and Conditions</w:t>
      </w:r>
    </w:p>
    <w:p>
      <w:pPr>
        <w:spacing w:after="0" w:line="31" w:lineRule="exact"/>
        <w:rPr>
          <w:sz w:val="20"/>
          <w:szCs w:val="20"/>
          <w:color w:val="auto"/>
        </w:rPr>
      </w:pPr>
    </w:p>
    <w:p>
      <w:pPr>
        <w:jc w:val="both"/>
        <w:ind w:left="700" w:hanging="316"/>
        <w:spacing w:after="0" w:line="253" w:lineRule="auto"/>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Country-Specific Conditions</w:t>
      </w:r>
      <w:r>
        <w:rPr>
          <w:rFonts w:ascii="Arial" w:cs="Arial" w:eastAsia="Arial" w:hAnsi="Arial"/>
          <w:sz w:val="18"/>
          <w:szCs w:val="18"/>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313" w:lineRule="exact"/>
        <w:rPr>
          <w:rFonts w:ascii="Arial" w:cs="Arial" w:eastAsia="Arial" w:hAnsi="Arial"/>
          <w:sz w:val="18"/>
          <w:szCs w:val="18"/>
          <w:color w:val="auto"/>
        </w:rPr>
      </w:pPr>
    </w:p>
    <w:p>
      <w:pPr>
        <w:jc w:val="both"/>
        <w:ind w:left="700" w:hanging="316"/>
        <w:spacing w:after="0" w:line="253" w:lineRule="auto"/>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Insider Trading / Market Abuse Laws</w:t>
      </w:r>
      <w:r>
        <w:rPr>
          <w:rFonts w:ascii="Arial" w:cs="Arial" w:eastAsia="Arial" w:hAnsi="Arial"/>
          <w:sz w:val="18"/>
          <w:szCs w:val="18"/>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Relative Value Award) under the Plan during such times as the Grantee is considered to have “inside information” regarding the Company (as determined under the laws or</w:t>
      </w:r>
    </w:p>
    <w:p>
      <w:pPr>
        <w:sectPr>
          <w:pgSz w:w="11900" w:h="16838" w:orient="portrait"/>
          <w:cols w:equalWidth="0" w:num="1">
            <w:col w:w="11080"/>
          </w:cols>
          <w:pgMar w:left="580" w:top="553" w:right="239" w:bottom="1440" w:gutter="0" w:footer="0" w:header="0"/>
        </w:sectPr>
      </w:pPr>
    </w:p>
    <w:bookmarkStart w:id="172" w:name="page173"/>
    <w:bookmarkEnd w:id="172"/>
    <w:p>
      <w:pPr>
        <w:jc w:val="both"/>
        <w:ind w:left="700"/>
        <w:spacing w:after="0" w:line="254" w:lineRule="auto"/>
        <w:rPr>
          <w:sz w:val="20"/>
          <w:szCs w:val="20"/>
          <w:color w:val="auto"/>
        </w:rPr>
      </w:pPr>
      <w:r>
        <w:rPr>
          <w:rFonts w:ascii="Arial" w:cs="Arial" w:eastAsia="Arial" w:hAnsi="Arial"/>
          <w:sz w:val="18"/>
          <w:szCs w:val="18"/>
          <w:color w:val="auto"/>
        </w:rPr>
        <w:t>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04" w:lineRule="exact"/>
        <w:rPr>
          <w:sz w:val="20"/>
          <w:szCs w:val="20"/>
          <w:color w:val="auto"/>
        </w:rPr>
      </w:pPr>
    </w:p>
    <w:p>
      <w:pPr>
        <w:jc w:val="both"/>
        <w:ind w:left="700" w:hanging="316"/>
        <w:spacing w:after="0" w:line="252" w:lineRule="auto"/>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8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7"/>
          <w:szCs w:val="17"/>
          <w:b w:val="1"/>
          <w:bCs w:val="1"/>
          <w:color w:val="auto"/>
        </w:rPr>
        <w:t>Governing Law and Choice of Venue</w:t>
      </w:r>
    </w:p>
    <w:p>
      <w:pPr>
        <w:spacing w:after="0" w:line="139"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2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7"/>
          <w:szCs w:val="17"/>
          <w:b w:val="1"/>
          <w:bCs w:val="1"/>
          <w:color w:val="auto"/>
        </w:rPr>
        <w:t>Miscellaneous Provisions</w:t>
      </w:r>
    </w:p>
    <w:p>
      <w:pPr>
        <w:spacing w:after="0" w:line="31" w:lineRule="exact"/>
        <w:rPr>
          <w:sz w:val="20"/>
          <w:szCs w:val="20"/>
          <w:color w:val="auto"/>
        </w:rPr>
      </w:pPr>
    </w:p>
    <w:p>
      <w:pPr>
        <w:jc w:val="both"/>
        <w:ind w:left="960" w:hanging="644"/>
        <w:spacing w:after="0" w:line="250"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2" w:lineRule="exact"/>
        <w:rPr>
          <w:rFonts w:ascii="Arial" w:cs="Arial" w:eastAsia="Arial" w:hAnsi="Arial"/>
          <w:sz w:val="18"/>
          <w:szCs w:val="18"/>
          <w:color w:val="auto"/>
        </w:rPr>
      </w:pPr>
    </w:p>
    <w:p>
      <w:pPr>
        <w:jc w:val="both"/>
        <w:ind w:left="960" w:hanging="644"/>
        <w:spacing w:after="0" w:line="250"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1" w:lineRule="exact"/>
        <w:rPr>
          <w:rFonts w:ascii="Arial" w:cs="Arial" w:eastAsia="Arial" w:hAnsi="Arial"/>
          <w:sz w:val="18"/>
          <w:szCs w:val="18"/>
          <w:color w:val="auto"/>
        </w:rPr>
      </w:pPr>
    </w:p>
    <w:p>
      <w:pPr>
        <w:jc w:val="both"/>
        <w:ind w:left="960" w:hanging="644"/>
        <w:spacing w:after="0" w:line="253"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97" w:lineRule="exact"/>
        <w:rPr>
          <w:rFonts w:ascii="Arial" w:cs="Arial" w:eastAsia="Arial" w:hAnsi="Arial"/>
          <w:sz w:val="18"/>
          <w:szCs w:val="18"/>
          <w:color w:val="auto"/>
        </w:rPr>
      </w:pPr>
    </w:p>
    <w:p>
      <w:pPr>
        <w:ind w:left="960"/>
        <w:spacing w:after="0" w:line="26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88" w:lineRule="exact"/>
        <w:rPr>
          <w:rFonts w:ascii="Arial" w:cs="Arial" w:eastAsia="Arial" w:hAnsi="Arial"/>
          <w:sz w:val="18"/>
          <w:szCs w:val="18"/>
          <w:color w:val="auto"/>
        </w:rPr>
      </w:pPr>
    </w:p>
    <w:p>
      <w:pPr>
        <w:jc w:val="both"/>
        <w:ind w:left="960" w:hanging="644"/>
        <w:spacing w:after="0" w:line="254"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ectPr>
          <w:pgSz w:w="11900" w:h="16838" w:orient="portrait"/>
          <w:cols w:equalWidth="0" w:num="1">
            <w:col w:w="11080"/>
          </w:cols>
          <w:pgMar w:left="580" w:top="571" w:right="239" w:bottom="1440" w:gutter="0" w:footer="0" w:header="0"/>
        </w:sectPr>
      </w:pPr>
    </w:p>
    <w:bookmarkStart w:id="173" w:name="page174"/>
    <w:bookmarkEnd w:id="173"/>
    <w:p>
      <w:pPr>
        <w:spacing w:after="0"/>
        <w:tabs>
          <w:tab w:leader="none" w:pos="12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8"/>
          <w:szCs w:val="18"/>
          <w:b w:val="1"/>
          <w:bCs w:val="1"/>
          <w:color w:val="auto"/>
        </w:rPr>
        <w:t>Compensation Recovery</w:t>
      </w:r>
    </w:p>
    <w:p>
      <w:pPr>
        <w:spacing w:after="0" w:line="139"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94" w:lineRule="exact"/>
        <w:rPr>
          <w:sz w:val="20"/>
          <w:szCs w:val="20"/>
          <w:color w:val="auto"/>
        </w:rPr>
      </w:pPr>
    </w:p>
    <w:p>
      <w:pPr>
        <w:jc w:val="both"/>
        <w:ind w:left="960" w:hanging="644"/>
        <w:spacing w:after="0" w:line="250" w:lineRule="auto"/>
        <w:tabs>
          <w:tab w:leader="none" w:pos="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2" w:lineRule="exact"/>
        <w:rPr>
          <w:rFonts w:ascii="Arial" w:cs="Arial" w:eastAsia="Arial" w:hAnsi="Arial"/>
          <w:sz w:val="18"/>
          <w:szCs w:val="18"/>
          <w:color w:val="auto"/>
        </w:rPr>
      </w:pPr>
    </w:p>
    <w:p>
      <w:pPr>
        <w:jc w:val="both"/>
        <w:ind w:left="960" w:hanging="644"/>
        <w:spacing w:after="0" w:line="256" w:lineRule="auto"/>
        <w:tabs>
          <w:tab w:leader="none" w:pos="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94" w:lineRule="exact"/>
        <w:rPr>
          <w:sz w:val="20"/>
          <w:szCs w:val="20"/>
          <w:color w:val="auto"/>
        </w:rPr>
      </w:pPr>
    </w:p>
    <w:p>
      <w:pPr>
        <w:jc w:val="both"/>
        <w:ind w:left="60"/>
        <w:spacing w:after="0" w:line="252" w:lineRule="auto"/>
        <w:rPr>
          <w:sz w:val="20"/>
          <w:szCs w:val="20"/>
          <w:color w:val="auto"/>
        </w:rPr>
      </w:pPr>
      <w:r>
        <w:rPr>
          <w:rFonts w:ascii="Arial" w:cs="Arial" w:eastAsia="Arial" w:hAnsi="Arial"/>
          <w:sz w:val="18"/>
          <w:szCs w:val="18"/>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101"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8"/>
          <w:szCs w:val="18"/>
          <w:b w:val="1"/>
          <w:bCs w:val="1"/>
          <w:color w:val="auto"/>
        </w:rPr>
        <w:t>Award Subject to Acknowledgement of Acceptance</w:t>
      </w:r>
    </w:p>
    <w:p>
      <w:pPr>
        <w:spacing w:after="0" w:line="139" w:lineRule="exact"/>
        <w:rPr>
          <w:sz w:val="20"/>
          <w:szCs w:val="20"/>
          <w:color w:val="auto"/>
        </w:rPr>
      </w:pPr>
    </w:p>
    <w:p>
      <w:pPr>
        <w:jc w:val="both"/>
        <w:ind w:left="60"/>
        <w:spacing w:after="0" w:line="25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April 30, 2020, through the website of Merrill Lynch, the Company’s stock plan administrator. If the Grantee does not acknowledge acceptance of the Award prior to 4:00 PM (EDT) April 30, 2020, the Award will be cancelled, subject to the Committee’s discretion for unforeseen circumstances.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191135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409575</wp:posOffset>
            </wp:positionV>
            <wp:extent cx="1895475" cy="557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18954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_________________________</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David A. Ricks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80"/>
          </w:cols>
          <w:pgMar w:left="580" w:top="549"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9"/>
          <w:szCs w:val="29"/>
          <w:b w:val="1"/>
          <w:bCs w:val="1"/>
          <w:color w:val="auto"/>
        </w:rPr>
        <w:t>Appendix</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Amended and Restated 2002 Lilly Stock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Relative Value Award Agreement</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Appendix includes special terms and conditions applicable to the Grantee’s country. These terms and conditions supplement or replace (as indicated) the terms and conditions set forth in the Award Agreement to which it is attached. If the Grantee is a citizen or resident of a country other than the one in which the Grantee is currently working and/or residing (or is considered as such for local law purposes), or if the Grantee transfers employment or residency to a different country after the Award is granted, Lilly will, in its discretion, determine the extent to which the terms and conditions herein will apply. This Appendix also includes other information relevant to the Award.</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Unless otherwise defined herein, the terms defined in the Plan or the Award Agreement, as applicable, shall have the same meanings in this Appendix.</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special terms and conditions or information for the following countries: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However, the Grantee should be aware that he or she may be required to take certain steps to comply with Applicable Laws in the Grantee’s country in connection with the Award. For example, exchange control, foreign asset and/or account and/or other tax reporting obligations may apply to the Grantee upon receipt of the Award or the Shares subject to the Award or upon the sale of Shares. </w:t>
      </w:r>
      <w:r>
        <w:rPr>
          <w:rFonts w:ascii="Arial" w:cs="Arial" w:eastAsia="Arial" w:hAnsi="Arial"/>
          <w:sz w:val="18"/>
          <w:szCs w:val="18"/>
          <w:i w:val="1"/>
          <w:iCs w:val="1"/>
          <w:color w:val="auto"/>
        </w:rPr>
        <w:t>For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regarding such obligations, the Grantee should refer to the Employee Information Supplement for the Grantee’s country, if any</w:t>
      </w:r>
      <w:r>
        <w:rPr>
          <w:rFonts w:ascii="Arial" w:cs="Arial" w:eastAsia="Arial" w:hAnsi="Arial"/>
          <w:sz w:val="18"/>
          <w:szCs w:val="18"/>
          <w:color w:val="auto"/>
        </w:rPr>
        <w:t>.</w:t>
      </w:r>
      <w:r>
        <w:rPr>
          <w:rFonts w:ascii="Arial" w:cs="Arial" w:eastAsia="Arial" w:hAnsi="Arial"/>
          <w:sz w:val="18"/>
          <w:szCs w:val="18"/>
          <w:i w:val="1"/>
          <w:iCs w:val="1"/>
          <w:color w:val="auto"/>
        </w:rPr>
        <w:t xml:space="preserve"> The Grantee should also consult with his or her own personal tax and legal advisors to determine what, if any, obligations exist with respect to the Award and/or the acquisition or sale of Shares. Neither the Company nor the Employer is responsible for any failure on the part of the Grantee to be aware of or comply with Applicable Laws.</w:t>
      </w:r>
    </w:p>
    <w:p>
      <w:pPr>
        <w:sectPr>
          <w:pgSz w:w="11900" w:h="16838" w:orient="portrait"/>
          <w:cols w:equalWidth="0" w:num="1">
            <w:col w:w="11020"/>
          </w:cols>
          <w:pgMar w:left="640" w:top="532" w:right="23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29"/>
          <w:szCs w:val="29"/>
          <w:b w:val="1"/>
          <w:bCs w:val="1"/>
          <w:color w:val="auto"/>
        </w:rPr>
        <w:t>Appendix for China</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Amended and Restated 2002 Lilly Stock Plan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Relative Value Award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Vesting.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provision supplements Section 2 of the Award Agreement:</w:t>
      </w:r>
    </w:p>
    <w:p>
      <w:pPr>
        <w:spacing w:after="0" w:line="225" w:lineRule="exact"/>
        <w:rPr>
          <w:sz w:val="20"/>
          <w:szCs w:val="20"/>
          <w:color w:val="auto"/>
        </w:rPr>
      </w:pPr>
    </w:p>
    <w:p>
      <w:pPr>
        <w:jc w:val="both"/>
        <w:ind w:left="60"/>
        <w:spacing w:after="0" w:line="251" w:lineRule="auto"/>
        <w:rPr>
          <w:sz w:val="20"/>
          <w:szCs w:val="20"/>
          <w:color w:val="auto"/>
        </w:rPr>
      </w:pPr>
      <w:r>
        <w:rPr>
          <w:rFonts w:ascii="Arial" w:cs="Arial" w:eastAsia="Arial" w:hAnsi="Arial"/>
          <w:sz w:val="18"/>
          <w:szCs w:val="18"/>
          <w:color w:val="auto"/>
        </w:rPr>
        <w:t>To facilitate compliance with any Applicable Laws or regulations in China, the Grantee agrees and acknowledges that Lilly (or a brokerage firm instructed by Lilly) is entitled to sell any or all Shares issued to the Grantee on or as soon as practicable after the applicable Vesting Date or other vesting event (on behalf of the Grantee and at the Grantee’s direction pursuant to this authorization), either immediately after such Shares are issued to the Grantee or when the Grantee ceases Service or at such other time as the Company may determine is necessary or advisable to facilitate compliance with Applicable Laws or the administration of the Plan. The Grantee also agrees to sign any forms and/or consents that may be required by the brokerage firm to effectuate the sale of the Shares and acknowledges that neither Lilly nor the brokerage firm are under any obligation to arrange for such sale of the Shares at any particular price. In any event, when the Shares acquired under the Plan are sold, the proceeds of the sale of the Shares, less any Tax Related Items and broker’s fees or commissions, will be remitted to the Grantee in accordance with applicable exchange control laws and regulations.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Adjustments for Certain Employment Status Changes.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provision replaces Section 3(b) of the Award Agreement:</w:t>
      </w:r>
    </w:p>
    <w:p>
      <w:pPr>
        <w:spacing w:after="0" w:line="225" w:lineRule="exact"/>
        <w:rPr>
          <w:sz w:val="20"/>
          <w:szCs w:val="20"/>
          <w:color w:val="auto"/>
        </w:rPr>
      </w:pPr>
    </w:p>
    <w:p>
      <w:pPr>
        <w:jc w:val="both"/>
        <w:ind w:left="60" w:right="20"/>
        <w:spacing w:after="0" w:line="262" w:lineRule="auto"/>
        <w:rPr>
          <w:sz w:val="20"/>
          <w:szCs w:val="20"/>
          <w:color w:val="auto"/>
        </w:rPr>
      </w:pPr>
      <w:r>
        <w:rPr>
          <w:rFonts w:ascii="Arial" w:cs="Arial" w:eastAsia="Arial" w:hAnsi="Arial"/>
          <w:sz w:val="18"/>
          <w:szCs w:val="18"/>
          <w:color w:val="auto"/>
        </w:rPr>
        <w:t>In the event the Grantee’s Service is terminated (i) due to the Grantee’s death or (ii) by reason of Grantee’s Disability, the number of shares eligible to vest shall be equal to the Target Number of Shares.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provision replaces the first sentence of Section 3(c) of the Award Agreement:</w:t>
      </w:r>
    </w:p>
    <w:p>
      <w:pPr>
        <w:spacing w:after="0" w:line="225"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In the event the Grantee’s employment is subject to a Qualifying Termination (as defined below), the number of Shares eligible to vest shall be equal to the Target Number of Shares reduced proportionally for the portion of the total days during the Performance Period in which the Grantee was not in active Service.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Settlement.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provision replaces Section 5(a) of the Award Agreement:</w:t>
      </w:r>
    </w:p>
    <w:p>
      <w:pPr>
        <w:spacing w:after="0" w:line="225" w:lineRule="exact"/>
        <w:rPr>
          <w:sz w:val="20"/>
          <w:szCs w:val="20"/>
          <w:color w:val="auto"/>
        </w:rPr>
      </w:pPr>
    </w:p>
    <w:p>
      <w:pPr>
        <w:jc w:val="both"/>
        <w:ind w:left="60"/>
        <w:spacing w:after="0" w:line="250" w:lineRule="auto"/>
        <w:rPr>
          <w:sz w:val="20"/>
          <w:szCs w:val="20"/>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 provided, however, that (i) in the event the Grante’s Service is terminated (A) due to the Grantee’s death, (B) by reason of Grantee’s Disability, or (C) as a result of the Grantee’s failure to locate a position within the Company or an Affiliate following the placement of the Grantee on reallocation or medical reassignment in the United States (or equivalent as determined by the Committee) or (ii) in the event of a Qualifying Termination, the Award shall be paid to the Grantee no later than sixty</w:t>
      </w:r>
    </w:p>
    <w:p>
      <w:pPr>
        <w:spacing w:after="0" w:line="2" w:lineRule="exact"/>
        <w:rPr>
          <w:sz w:val="20"/>
          <w:szCs w:val="20"/>
          <w:color w:val="auto"/>
        </w:rPr>
      </w:pPr>
    </w:p>
    <w:p>
      <w:pPr>
        <w:ind w:right="5660" w:firstLine="60"/>
        <w:spacing w:after="0" w:line="501" w:lineRule="auto"/>
        <w:tabs>
          <w:tab w:leader="none" w:pos="43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days following the date of the Grantee’s termination of Service. Exchange Control Restrictions.</w:t>
      </w:r>
    </w:p>
    <w:p>
      <w:pPr>
        <w:jc w:val="both"/>
        <w:ind w:left="60"/>
        <w:spacing w:after="0" w:line="251" w:lineRule="auto"/>
        <w:rPr>
          <w:sz w:val="20"/>
          <w:szCs w:val="20"/>
          <w:color w:val="auto"/>
        </w:rPr>
      </w:pPr>
      <w:r>
        <w:rPr>
          <w:rFonts w:ascii="Arial" w:cs="Arial" w:eastAsia="Arial" w:hAnsi="Arial"/>
          <w:sz w:val="18"/>
          <w:szCs w:val="18"/>
          <w:color w:val="auto"/>
        </w:rPr>
        <w:t>The Grantee understands and agrees that, due to exchange control laws in China, the Grantee will be required to immediately repatriate to China any funds (</w:t>
      </w:r>
      <w:r>
        <w:rPr>
          <w:rFonts w:ascii="Arial" w:cs="Arial" w:eastAsia="Arial" w:hAnsi="Arial"/>
          <w:sz w:val="18"/>
          <w:szCs w:val="18"/>
          <w:i w:val="1"/>
          <w:iCs w:val="1"/>
          <w:color w:val="auto"/>
        </w:rPr>
        <w:t>e.g.</w:t>
      </w:r>
      <w:r>
        <w:rPr>
          <w:rFonts w:ascii="Arial" w:cs="Arial" w:eastAsia="Arial" w:hAnsi="Arial"/>
          <w:sz w:val="18"/>
          <w:szCs w:val="18"/>
          <w:color w:val="auto"/>
        </w:rPr>
        <w:t>, proceeds from the sale of Shares) received pursuant to this Award. The Grantee further understands that such repatriation of the funds may need to be effected through a special exchange control account established by Lilly or an Affiliate. The Grantee hereby consents and agrees that any funds received pursuant to this Award may be transferred to such special account prior to being delivered to the Grantee’s personal account. The Grantee also understands that the Company will deliver the funds to the Grantee as soon as possible, but there may be delays in distributing the funds to the Grantee due to exchange control requirements in China. Funds may be paid to the Grantee in U.S. dollars or local currency at the Company’s discretion. If the funds are paid to the Grantee in U.S. dollars, the Grantee will be required to set up a U.S. dollar bank account in China so that the funds may be deposited into this account. If the funds are paid to the Grantee</w:t>
      </w:r>
    </w:p>
    <w:p>
      <w:pPr>
        <w:sectPr>
          <w:pgSz w:w="11900" w:h="16838" w:orient="portrait"/>
          <w:cols w:equalWidth="0" w:num="1">
            <w:col w:w="11080"/>
          </w:cols>
          <w:pgMar w:left="580" w:top="532" w:right="239" w:bottom="1440" w:gutter="0" w:footer="0" w:header="0"/>
        </w:sectPr>
      </w:pPr>
    </w:p>
    <w:bookmarkStart w:id="176" w:name="page177"/>
    <w:bookmarkEnd w:id="176"/>
    <w:p>
      <w:pPr>
        <w:jc w:val="both"/>
        <w:spacing w:after="0" w:line="254" w:lineRule="auto"/>
        <w:rPr>
          <w:sz w:val="20"/>
          <w:szCs w:val="20"/>
          <w:color w:val="auto"/>
        </w:rPr>
      </w:pPr>
      <w:r>
        <w:rPr>
          <w:rFonts w:ascii="Arial" w:cs="Arial" w:eastAsia="Arial" w:hAnsi="Arial"/>
          <w:sz w:val="18"/>
          <w:szCs w:val="18"/>
          <w:color w:val="auto"/>
        </w:rPr>
        <w:t>in local currency, the Company is under no obligation to secure any particular exchange conversion rate and the Company may face delays in converting the funds to local currency due to exchange control restrictions. The Grantee further agrees to comply with any other requirements that may be imposed by the Company in the future in order to facilitate compliance with exchange control requirements in China.</w:t>
      </w:r>
    </w:p>
    <w:p>
      <w:pPr>
        <w:sectPr>
          <w:pgSz w:w="11900" w:h="16838" w:orient="portrait"/>
          <w:cols w:equalWidth="0" w:num="1">
            <w:col w:w="11020"/>
          </w:cols>
          <w:pgMar w:left="640" w:top="571" w:right="239" w:bottom="1440" w:gutter="0" w:footer="0" w:header="0"/>
        </w:sectPr>
      </w:pPr>
    </w:p>
    <w:bookmarkStart w:id="177" w:name="page178"/>
    <w:bookmarkEnd w:id="177"/>
    <w:p>
      <w:pPr>
        <w:jc w:val="center"/>
        <w:ind w:right="-59"/>
        <w:spacing w:after="0"/>
        <w:rPr>
          <w:sz w:val="20"/>
          <w:szCs w:val="20"/>
          <w:color w:val="auto"/>
        </w:rPr>
      </w:pPr>
      <w:r>
        <w:rPr>
          <w:rFonts w:ascii="Arial" w:cs="Arial" w:eastAsia="Arial" w:hAnsi="Arial"/>
          <w:sz w:val="29"/>
          <w:szCs w:val="29"/>
          <w:b w:val="1"/>
          <w:bCs w:val="1"/>
          <w:color w:val="auto"/>
        </w:rPr>
        <w:t>Appendix for France</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Amended and Restated 2002 Lilly Stock Plan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Relative Value Award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Award Not French-Qualified.</w:t>
      </w:r>
    </w:p>
    <w:p>
      <w:pPr>
        <w:spacing w:after="0" w:line="9" w:lineRule="exact"/>
        <w:rPr>
          <w:sz w:val="20"/>
          <w:szCs w:val="20"/>
          <w:color w:val="auto"/>
        </w:rPr>
      </w:pPr>
    </w:p>
    <w:p>
      <w:pPr>
        <w:jc w:val="both"/>
        <w:ind w:left="60"/>
        <w:spacing w:after="0" w:line="262" w:lineRule="auto"/>
        <w:rPr>
          <w:sz w:val="20"/>
          <w:szCs w:val="20"/>
          <w:color w:val="auto"/>
        </w:rPr>
      </w:pPr>
      <w:r>
        <w:rPr>
          <w:rFonts w:ascii="Arial" w:cs="Arial" w:eastAsia="Arial" w:hAnsi="Arial"/>
          <w:sz w:val="18"/>
          <w:szCs w:val="18"/>
          <w:color w:val="auto"/>
        </w:rPr>
        <w:t xml:space="preserve">The Award is not intended to be “French-qualified,” </w:t>
      </w:r>
      <w:r>
        <w:rPr>
          <w:rFonts w:ascii="Arial" w:cs="Arial" w:eastAsia="Arial" w:hAnsi="Arial"/>
          <w:sz w:val="18"/>
          <w:szCs w:val="18"/>
          <w:i w:val="1"/>
          <w:iCs w:val="1"/>
          <w:color w:val="auto"/>
        </w:rPr>
        <w:t>i.e.</w:t>
      </w:r>
      <w:r>
        <w:rPr>
          <w:rFonts w:ascii="Arial" w:cs="Arial" w:eastAsia="Arial" w:hAnsi="Arial"/>
          <w:sz w:val="18"/>
          <w:szCs w:val="18"/>
          <w:color w:val="auto"/>
        </w:rPr>
        <w:t>, it is not intended to qualify for specific tax and/or social security treatment in France.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Language Consent.</w:t>
      </w:r>
    </w:p>
    <w:p>
      <w:pPr>
        <w:spacing w:after="0" w:line="9" w:lineRule="exact"/>
        <w:rPr>
          <w:sz w:val="20"/>
          <w:szCs w:val="20"/>
          <w:color w:val="auto"/>
        </w:rPr>
      </w:pPr>
    </w:p>
    <w:p>
      <w:pPr>
        <w:jc w:val="both"/>
        <w:ind w:left="60" w:right="20"/>
        <w:spacing w:after="0" w:line="262" w:lineRule="auto"/>
        <w:rPr>
          <w:sz w:val="20"/>
          <w:szCs w:val="20"/>
          <w:color w:val="auto"/>
        </w:rPr>
      </w:pPr>
      <w:r>
        <w:rPr>
          <w:rFonts w:ascii="Arial" w:cs="Arial" w:eastAsia="Arial" w:hAnsi="Arial"/>
          <w:sz w:val="18"/>
          <w:szCs w:val="18"/>
          <w:color w:val="auto"/>
        </w:rPr>
        <w:t>In accepting the Award, the Grantee confirms having read and understood the documents relating to the Award (the Plan and the Award Agreement including this Appendix), which were provided in English. The Grantee accepts the terms of those documents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Consentement Relatif à la Langue Utilisée.</w:t>
      </w:r>
    </w:p>
    <w:p>
      <w:pPr>
        <w:spacing w:after="0" w:line="27"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i w:val="1"/>
          <w:iCs w:val="1"/>
          <w:color w:val="auto"/>
        </w:rPr>
        <w:t>En acceptant cette Attribution, le Bénéficiaire confirme avoir lu et compris les documents relatifs à cette Attribution (le Plan le Contrat d’Attribution incluant cette Annexe), qui ont été remis en langue anglaise. Le Bénéficiaire accepte les termes de ces documents en conséquence.</w:t>
      </w:r>
    </w:p>
    <w:p>
      <w:pPr>
        <w:sectPr>
          <w:pgSz w:w="11900" w:h="16838" w:orient="portrait"/>
          <w:cols w:equalWidth="0" w:num="1">
            <w:col w:w="11080"/>
          </w:cols>
          <w:pgMar w:left="580" w:top="532" w:right="239"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29"/>
          <w:szCs w:val="29"/>
          <w:b w:val="1"/>
          <w:bCs w:val="1"/>
          <w:color w:val="auto"/>
        </w:rPr>
        <w:t>Appendix for Ireland</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Amended and Restated 2002 Lilly Stock Plan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Relative Value Award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Director Notification Information.</w:t>
      </w:r>
    </w:p>
    <w:p>
      <w:pPr>
        <w:spacing w:after="0" w:line="9" w:lineRule="exact"/>
        <w:rPr>
          <w:sz w:val="20"/>
          <w:szCs w:val="20"/>
          <w:color w:val="auto"/>
        </w:rPr>
      </w:pPr>
    </w:p>
    <w:p>
      <w:pPr>
        <w:jc w:val="both"/>
        <w:ind w:left="60"/>
        <w:spacing w:after="0" w:line="252" w:lineRule="auto"/>
        <w:rPr>
          <w:sz w:val="20"/>
          <w:szCs w:val="20"/>
          <w:color w:val="auto"/>
        </w:rPr>
      </w:pPr>
      <w:r>
        <w:rPr>
          <w:rFonts w:ascii="Arial" w:cs="Arial" w:eastAsia="Arial" w:hAnsi="Arial"/>
          <w:sz w:val="18"/>
          <w:szCs w:val="18"/>
          <w:color w:val="auto"/>
        </w:rPr>
        <w:t>Directors (including shadow directors A shadow director is an individual who is not on the board of the Irish Affiliate but who has sufficient control so that the board of directors acts in accordance with the “directions or instructions” of the individual.) and secretaries of an Irish Affiliate For purposes of this requirement, the interests of spouses, children under 18 years of age and family-held companies or trusts will be considered interests of the director or secretary, as applicable. whose interests exceed 1% of the Company’s voting rights, pursuant to Section 53 of the Irish Company Act 1990, must notify the Irish Affiliate in writing when (i) receiving or disposing of an interest in the Company (e.g., Relative Value Awards, Shares), (ii) becoming aware of the event giving rise to the notification requirement, or (iii) becoming a director or secretary of an Irish Affiliate if such an interest exists at the time.</w:t>
      </w:r>
    </w:p>
    <w:p>
      <w:pPr>
        <w:sectPr>
          <w:pgSz w:w="11900" w:h="16838" w:orient="portrait"/>
          <w:cols w:equalWidth="0" w:num="1">
            <w:col w:w="11080"/>
          </w:cols>
          <w:pgMar w:left="580" w:top="532" w:right="239" w:bottom="1440" w:gutter="0" w:footer="0" w:header="0"/>
        </w:sectPr>
      </w:pPr>
    </w:p>
    <w:bookmarkStart w:id="179" w:name="page180"/>
    <w:bookmarkEnd w:id="179"/>
    <w:p>
      <w:pPr>
        <w:jc w:val="center"/>
        <w:ind w:right="-59"/>
        <w:spacing w:after="0"/>
        <w:rPr>
          <w:sz w:val="20"/>
          <w:szCs w:val="20"/>
          <w:color w:val="auto"/>
        </w:rPr>
      </w:pPr>
      <w:r>
        <w:rPr>
          <w:rFonts w:ascii="Arial" w:cs="Arial" w:eastAsia="Arial" w:hAnsi="Arial"/>
          <w:sz w:val="29"/>
          <w:szCs w:val="29"/>
          <w:b w:val="1"/>
          <w:bCs w:val="1"/>
          <w:color w:val="auto"/>
        </w:rPr>
        <w:t>Appendix for Italy</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Amended and Restated 2002 Lilly Stock Plan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Relative Value Award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Plan Document Acknowledgment.</w:t>
      </w:r>
    </w:p>
    <w:p>
      <w:pPr>
        <w:spacing w:after="0" w:line="9"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In accepting the Award, the Grantee acknowledges that he or she has received a copy of the Plan, has reviewed the Plan and the Award Agreement (including this Appendix) in their entirety and fully understands and accepts all provisions of the Plan and the Award Agreement (including this Appendix) and, in particular, Section 2 (Vesting).</w:t>
      </w:r>
    </w:p>
    <w:p>
      <w:pPr>
        <w:sectPr>
          <w:pgSz w:w="11900" w:h="16838" w:orient="portrait"/>
          <w:cols w:equalWidth="0" w:num="1">
            <w:col w:w="11080"/>
          </w:cols>
          <w:pgMar w:left="580" w:top="532" w:right="239" w:bottom="1440" w:gutter="0" w:footer="0" w:header="0"/>
        </w:sectPr>
      </w:pPr>
    </w:p>
    <w:bookmarkStart w:id="180" w:name="page181"/>
    <w:bookmarkEnd w:id="180"/>
    <w:p>
      <w:pPr>
        <w:jc w:val="center"/>
        <w:ind w:right="-59"/>
        <w:spacing w:after="0"/>
        <w:rPr>
          <w:sz w:val="20"/>
          <w:szCs w:val="20"/>
          <w:color w:val="auto"/>
        </w:rPr>
      </w:pPr>
      <w:r>
        <w:rPr>
          <w:rFonts w:ascii="Arial" w:cs="Arial" w:eastAsia="Arial" w:hAnsi="Arial"/>
          <w:sz w:val="29"/>
          <w:szCs w:val="29"/>
          <w:b w:val="1"/>
          <w:bCs w:val="1"/>
          <w:color w:val="auto"/>
        </w:rPr>
        <w:t>Appendix for Mexico</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Amended and Restated 2002 Lilly Stock Plan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Relative Value Award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Acknowledgement of the Award Agreement.</w:t>
      </w:r>
    </w:p>
    <w:p>
      <w:pPr>
        <w:spacing w:after="0" w:line="9"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By accepting the Relative Value Awards, the Grantee acknowledges that he or she has received a copy of the Plan and the Award Agreement, including this Appendix, which he or she has reviewed. The Grantee further acknowledges that he or she accepts all the provisions of the Plan and the Award Agreement, including this Appendix. The Grantee also acknowledges that he or she has read and specifically and expressly approves the terms and conditions set forth in the “Grantee's Acknowledgement” section of the Award Agreement, which clearly provide as follows:</w:t>
      </w:r>
    </w:p>
    <w:p>
      <w:pPr>
        <w:spacing w:after="0" w:line="206" w:lineRule="exact"/>
        <w:rPr>
          <w:sz w:val="20"/>
          <w:szCs w:val="20"/>
          <w:color w:val="auto"/>
        </w:rPr>
      </w:pPr>
    </w:p>
    <w:p>
      <w:pPr>
        <w:ind w:left="1200" w:hanging="654"/>
        <w:spacing w:after="0"/>
        <w:tabs>
          <w:tab w:leader="none" w:pos="1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Grantee’s participation in the Plan does not constitute an acquired right;</w:t>
      </w:r>
    </w:p>
    <w:p>
      <w:pPr>
        <w:spacing w:after="0" w:line="225" w:lineRule="exact"/>
        <w:rPr>
          <w:rFonts w:ascii="Arial" w:cs="Arial" w:eastAsia="Arial" w:hAnsi="Arial"/>
          <w:sz w:val="18"/>
          <w:szCs w:val="18"/>
          <w:color w:val="auto"/>
        </w:rPr>
      </w:pPr>
    </w:p>
    <w:p>
      <w:pPr>
        <w:ind w:left="1200" w:hanging="654"/>
        <w:spacing w:after="0"/>
        <w:tabs>
          <w:tab w:leader="none" w:pos="1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Plan and the Grantee’s participation in it are offered by the Company on a wholly discretionary basis;</w:t>
      </w:r>
    </w:p>
    <w:p>
      <w:pPr>
        <w:spacing w:after="0" w:line="225" w:lineRule="exact"/>
        <w:rPr>
          <w:rFonts w:ascii="Arial" w:cs="Arial" w:eastAsia="Arial" w:hAnsi="Arial"/>
          <w:sz w:val="18"/>
          <w:szCs w:val="18"/>
          <w:color w:val="auto"/>
        </w:rPr>
      </w:pPr>
    </w:p>
    <w:p>
      <w:pPr>
        <w:ind w:left="1200" w:hanging="654"/>
        <w:spacing w:after="0"/>
        <w:tabs>
          <w:tab w:leader="none" w:pos="1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 and</w:t>
      </w:r>
    </w:p>
    <w:p>
      <w:pPr>
        <w:spacing w:after="0" w:line="225" w:lineRule="exact"/>
        <w:rPr>
          <w:rFonts w:ascii="Arial" w:cs="Arial" w:eastAsia="Arial" w:hAnsi="Arial"/>
          <w:sz w:val="18"/>
          <w:szCs w:val="18"/>
          <w:color w:val="auto"/>
        </w:rPr>
      </w:pPr>
    </w:p>
    <w:p>
      <w:pPr>
        <w:ind w:left="1200" w:hanging="654"/>
        <w:spacing w:after="0" w:line="262" w:lineRule="auto"/>
        <w:tabs>
          <w:tab w:leader="none" w:pos="1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and its Affiliates are not responsible for any decrease in the value of any Shares acquired pursuant to the Relative Value Awards.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Labor Law Acknowledgement and Policy Statement.</w:t>
      </w:r>
    </w:p>
    <w:p>
      <w:pPr>
        <w:spacing w:after="0" w:line="9" w:lineRule="exact"/>
        <w:rPr>
          <w:sz w:val="20"/>
          <w:szCs w:val="20"/>
          <w:color w:val="auto"/>
        </w:rPr>
      </w:pPr>
    </w:p>
    <w:p>
      <w:pPr>
        <w:jc w:val="both"/>
        <w:ind w:left="60"/>
        <w:spacing w:after="0" w:line="251" w:lineRule="auto"/>
        <w:rPr>
          <w:sz w:val="20"/>
          <w:szCs w:val="20"/>
          <w:color w:val="auto"/>
        </w:rPr>
      </w:pPr>
      <w:r>
        <w:rPr>
          <w:rFonts w:ascii="Arial" w:cs="Arial" w:eastAsia="Arial" w:hAnsi="Arial"/>
          <w:sz w:val="18"/>
          <w:szCs w:val="18"/>
          <w:color w:val="auto"/>
        </w:rPr>
        <w:t>By accepting the Award, the Grantee acknowledges that Eli Lilly and Company, with registered offices at Lilly Corporate Center, Indianapolis, Indiana, 46285, U.S.A., is solely responsible for the administration of the Plan. The Grantee further acknowledges that his or her participation in the Plan, the grant of Relative Value Awards and any acquisition of Shares under the Plan do not constitute an employment relationship between the Grantee and Eli Lilly and Company because the Grantee is participating in the Plan on a wholly commercial basis and his or her sole employer is Eli Lilly y Compania de Mexico, S.A. de C.V. (“Lilly-Mexico”). Based on the foregoing, the Grantee expressly acknowledges that the Plan and the benefits that he or she may derive from participation in the Plan do not establish any rights between the Grantee and his or her Employer, Lilly-Mexico, and do not form part of the employment conditions and/or benefits provided by Lilly-Mexico, and any modification of the Plan or its termination shall not constitute a change or impairment of the terms and conditions of the Grantee’s employment.</w:t>
      </w:r>
    </w:p>
    <w:p>
      <w:pPr>
        <w:spacing w:after="0" w:line="213"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The Grantee further understands that his or her participation in the Plan is the result of a unilateral and discretionary decision of Eli Lilly and Company and, therefore, Eli Lilly and Company reserves the absolute right to amend and/or discontinue the Grantee’s participation in the Plan at any time, without any liability to the Grantee.</w:t>
      </w:r>
    </w:p>
    <w:p>
      <w:pPr>
        <w:spacing w:after="0" w:line="202" w:lineRule="exact"/>
        <w:rPr>
          <w:sz w:val="20"/>
          <w:szCs w:val="20"/>
          <w:color w:val="auto"/>
        </w:rPr>
      </w:pPr>
    </w:p>
    <w:p>
      <w:pPr>
        <w:jc w:val="both"/>
        <w:ind w:left="60"/>
        <w:spacing w:after="0" w:line="254" w:lineRule="auto"/>
        <w:rPr>
          <w:sz w:val="20"/>
          <w:szCs w:val="20"/>
          <w:color w:val="auto"/>
        </w:rPr>
      </w:pPr>
      <w:r>
        <w:rPr>
          <w:rFonts w:ascii="Arial" w:cs="Arial" w:eastAsia="Arial" w:hAnsi="Arial"/>
          <w:sz w:val="18"/>
          <w:szCs w:val="18"/>
          <w:color w:val="auto"/>
        </w:rPr>
        <w:t>Finally, the Grantee hereby declares that he or she does not reserve to him- or herself any action or right to bring any claim against Eli Lilly and Company for any compensation or damages regarding any provision of the Plan or the benefits derived under the Plan, and that he or she therefore grants a full and broad release to Eli Lilly and Company, its subsidiaries, affiliates, branches, representation offices, shareholders, officers, agents or legal representatives, with respect to any claim that may arise.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Spanish Translation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Reconocimiento del Convenio de Concesión</w:t>
      </w:r>
    </w:p>
    <w:p>
      <w:pPr>
        <w:spacing w:after="0" w:line="27" w:lineRule="exact"/>
        <w:rPr>
          <w:sz w:val="20"/>
          <w:szCs w:val="20"/>
          <w:color w:val="auto"/>
        </w:rPr>
      </w:pPr>
    </w:p>
    <w:p>
      <w:pPr>
        <w:jc w:val="both"/>
        <w:ind w:left="60"/>
        <w:spacing w:after="0" w:line="254" w:lineRule="auto"/>
        <w:rPr>
          <w:sz w:val="20"/>
          <w:szCs w:val="20"/>
          <w:color w:val="auto"/>
        </w:rPr>
      </w:pPr>
      <w:r>
        <w:rPr>
          <w:rFonts w:ascii="Arial" w:cs="Arial" w:eastAsia="Arial" w:hAnsi="Arial"/>
          <w:sz w:val="18"/>
          <w:szCs w:val="18"/>
          <w:i w:val="1"/>
          <w:iCs w:val="1"/>
          <w:color w:val="auto"/>
        </w:rPr>
        <w:t>Al aceptar el Premio de Valor Relativo el Beneficiario reconoce que ha recibido y revisado una copia del Plan y del Convenio de Concesión, incluyendo este Apéndice. El Beneficiario reconoce y acepta todas las disposiciones del Plan y del Convenio de Concesión, incluyendo este apéndice. El Beneficiario también reconoce que ha leído y aprobado de forma expresa los términos y condiciones establecidos en la sección: “Naturaleza de la Concesión” del Convenio de Concesión, que claramente establece lo siguiente:</w:t>
      </w:r>
    </w:p>
    <w:p>
      <w:pPr>
        <w:sectPr>
          <w:pgSz w:w="11900" w:h="16838" w:orient="portrait"/>
          <w:cols w:equalWidth="0" w:num="1">
            <w:col w:w="11080"/>
          </w:cols>
          <w:pgMar w:left="580" w:top="532" w:right="239" w:bottom="1440" w:gutter="0" w:footer="0" w:header="0"/>
        </w:sectPr>
      </w:pPr>
    </w:p>
    <w:bookmarkStart w:id="181" w:name="page182"/>
    <w:bookmarkEnd w:id="181"/>
    <w:p>
      <w:pPr>
        <w:ind w:left="1200" w:hanging="654"/>
        <w:spacing w:after="0"/>
        <w:tabs>
          <w:tab w:leader="none" w:pos="1200" w:val="left"/>
        </w:tabs>
        <w:numPr>
          <w:ilvl w:val="0"/>
          <w:numId w:val="164"/>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Beneficiario en el Plan no constituye un derecho adquirido;</w:t>
      </w:r>
    </w:p>
    <w:p>
      <w:pPr>
        <w:spacing w:after="0" w:line="225" w:lineRule="exact"/>
        <w:rPr>
          <w:rFonts w:ascii="Arial" w:cs="Arial" w:eastAsia="Arial" w:hAnsi="Arial"/>
          <w:sz w:val="18"/>
          <w:szCs w:val="18"/>
          <w:i w:val="1"/>
          <w:iCs w:val="1"/>
          <w:color w:val="auto"/>
        </w:rPr>
      </w:pPr>
    </w:p>
    <w:p>
      <w:pPr>
        <w:ind w:left="1200" w:hanging="654"/>
        <w:spacing w:after="0"/>
        <w:tabs>
          <w:tab w:leader="none" w:pos="1200" w:val="left"/>
        </w:tabs>
        <w:numPr>
          <w:ilvl w:val="0"/>
          <w:numId w:val="164"/>
        </w:numPr>
        <w:rPr>
          <w:rFonts w:ascii="Arial" w:cs="Arial" w:eastAsia="Arial" w:hAnsi="Arial"/>
          <w:sz w:val="18"/>
          <w:szCs w:val="18"/>
          <w:i w:val="1"/>
          <w:iCs w:val="1"/>
          <w:color w:val="auto"/>
        </w:rPr>
      </w:pPr>
      <w:r>
        <w:rPr>
          <w:rFonts w:ascii="Arial" w:cs="Arial" w:eastAsia="Arial" w:hAnsi="Arial"/>
          <w:sz w:val="18"/>
          <w:szCs w:val="18"/>
          <w:i w:val="1"/>
          <w:iCs w:val="1"/>
          <w:color w:val="auto"/>
        </w:rPr>
        <w:t>El Plan y la participación del Beneficiario en el es ofrecido por la Compañía de manera completamente discrecional;</w:t>
      </w:r>
    </w:p>
    <w:p>
      <w:pPr>
        <w:spacing w:after="0" w:line="225" w:lineRule="exact"/>
        <w:rPr>
          <w:rFonts w:ascii="Arial" w:cs="Arial" w:eastAsia="Arial" w:hAnsi="Arial"/>
          <w:sz w:val="18"/>
          <w:szCs w:val="18"/>
          <w:i w:val="1"/>
          <w:iCs w:val="1"/>
          <w:color w:val="auto"/>
        </w:rPr>
      </w:pPr>
    </w:p>
    <w:p>
      <w:pPr>
        <w:ind w:left="1200" w:hanging="654"/>
        <w:spacing w:after="0"/>
        <w:tabs>
          <w:tab w:leader="none" w:pos="1200" w:val="left"/>
        </w:tabs>
        <w:numPr>
          <w:ilvl w:val="0"/>
          <w:numId w:val="164"/>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Beneficiario en el Plan es voluntaria; y</w:t>
      </w:r>
    </w:p>
    <w:p>
      <w:pPr>
        <w:spacing w:after="0" w:line="225" w:lineRule="exact"/>
        <w:rPr>
          <w:rFonts w:ascii="Arial" w:cs="Arial" w:eastAsia="Arial" w:hAnsi="Arial"/>
          <w:sz w:val="18"/>
          <w:szCs w:val="18"/>
          <w:i w:val="1"/>
          <w:iCs w:val="1"/>
          <w:color w:val="auto"/>
        </w:rPr>
      </w:pPr>
    </w:p>
    <w:p>
      <w:pPr>
        <w:ind w:left="1200" w:hanging="654"/>
        <w:spacing w:after="0" w:line="282" w:lineRule="auto"/>
        <w:tabs>
          <w:tab w:leader="none" w:pos="1200" w:val="left"/>
        </w:tabs>
        <w:numPr>
          <w:ilvl w:val="0"/>
          <w:numId w:val="164"/>
        </w:numPr>
        <w:rPr>
          <w:rFonts w:ascii="Arial" w:cs="Arial" w:eastAsia="Arial" w:hAnsi="Arial"/>
          <w:sz w:val="18"/>
          <w:szCs w:val="18"/>
          <w:i w:val="1"/>
          <w:iCs w:val="1"/>
          <w:color w:val="auto"/>
        </w:rPr>
      </w:pPr>
      <w:r>
        <w:rPr>
          <w:rFonts w:ascii="Arial" w:cs="Arial" w:eastAsia="Arial" w:hAnsi="Arial"/>
          <w:sz w:val="18"/>
          <w:szCs w:val="18"/>
          <w:i w:val="1"/>
          <w:iCs w:val="1"/>
          <w:color w:val="auto"/>
        </w:rPr>
        <w:t>La Compañía y sus Afiliadas no son responsables por ninguna disminución en el valor de las Acciones adquiridas de conformidad con el Premio de Valor Relativo.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Reconocimiento de la legislación Laboral aplicable y Declaración de la Política</w:t>
      </w:r>
    </w:p>
    <w:p>
      <w:pPr>
        <w:spacing w:after="0" w:line="27" w:lineRule="exact"/>
        <w:rPr>
          <w:sz w:val="20"/>
          <w:szCs w:val="20"/>
          <w:color w:val="auto"/>
        </w:rPr>
      </w:pPr>
    </w:p>
    <w:p>
      <w:pPr>
        <w:jc w:val="both"/>
        <w:ind w:left="60"/>
        <w:spacing w:after="0" w:line="251" w:lineRule="auto"/>
        <w:rPr>
          <w:sz w:val="20"/>
          <w:szCs w:val="20"/>
          <w:color w:val="auto"/>
        </w:rPr>
      </w:pPr>
      <w:r>
        <w:rPr>
          <w:rFonts w:ascii="Arial" w:cs="Arial" w:eastAsia="Arial" w:hAnsi="Arial"/>
          <w:sz w:val="18"/>
          <w:szCs w:val="18"/>
          <w:i w:val="1"/>
          <w:iCs w:val="1"/>
          <w:color w:val="auto"/>
        </w:rPr>
        <w:t>Al aceptar el Premio, el Beneficiario reconoce que Eli Lilly and Company, con domicilio social en Lilly Corporate Center, Indianapolis, Indiana, 46285, E.U.A., es la única responsable por la administración del Plan. Además, el Beneficiario reconoce que su participación en el Plan, la concesión de Premios de Valor Relativo y cualquier adquisición de Acciones bajo el Plan no constituyen una relación laboral entre el Beneficiario y Eli Lilly and Company, en virtud de que el Beneficiario está participando en el Plan en su totalidad sobre una base comercial y su único empleador es Eli Lilly y Compania de México, S.A. de C.V. (“Lilly-México”). Por lo anterior, el Beneficiario expresamente reconoce que el Plan y los beneficios que puedan derivarse de su participación no establecen ningún derecho entre el Beneficiario y su empleador, Lilly-México, y que no forman parte de las condiciones de trabajo y/o beneficios otorgados por Lilly-México, y cualquier modificación del Plan o la terminación del mismo no constituirá un cambio o modificación de los términos y condiciones en el empleo del Beneficiario.</w:t>
      </w:r>
    </w:p>
    <w:p>
      <w:pPr>
        <w:spacing w:after="0" w:line="195" w:lineRule="exact"/>
        <w:rPr>
          <w:sz w:val="20"/>
          <w:szCs w:val="20"/>
          <w:color w:val="auto"/>
        </w:rPr>
      </w:pPr>
    </w:p>
    <w:p>
      <w:pPr>
        <w:jc w:val="both"/>
        <w:ind w:left="60"/>
        <w:spacing w:after="0" w:line="266" w:lineRule="auto"/>
        <w:rPr>
          <w:sz w:val="20"/>
          <w:szCs w:val="20"/>
          <w:color w:val="auto"/>
        </w:rPr>
      </w:pPr>
      <w:r>
        <w:rPr>
          <w:rFonts w:ascii="Arial" w:cs="Arial" w:eastAsia="Arial" w:hAnsi="Arial"/>
          <w:sz w:val="18"/>
          <w:szCs w:val="18"/>
          <w:i w:val="1"/>
          <w:iCs w:val="1"/>
          <w:color w:val="auto"/>
        </w:rPr>
        <w:t>Además, el Beneficiario comprende que su participación en el Plan es el resultado de una decisión discrecional y unilateral de Eli Lilly and Company, por lo que Eli Lilly and Company se reserva el derecho absoluto de modificar y/o suspender la participación del Beneficiario en el Plan en cualquier momento, sin responsabilidad frente al Beneficiario.</w:t>
      </w:r>
    </w:p>
    <w:p>
      <w:pPr>
        <w:spacing w:after="0" w:line="176" w:lineRule="exact"/>
        <w:rPr>
          <w:sz w:val="20"/>
          <w:szCs w:val="20"/>
          <w:color w:val="auto"/>
        </w:rPr>
      </w:pPr>
    </w:p>
    <w:p>
      <w:pPr>
        <w:jc w:val="both"/>
        <w:ind w:left="60"/>
        <w:spacing w:after="0" w:line="258" w:lineRule="auto"/>
        <w:rPr>
          <w:sz w:val="20"/>
          <w:szCs w:val="20"/>
          <w:color w:val="auto"/>
        </w:rPr>
      </w:pPr>
      <w:r>
        <w:rPr>
          <w:rFonts w:ascii="Arial" w:cs="Arial" w:eastAsia="Arial" w:hAnsi="Arial"/>
          <w:sz w:val="18"/>
          <w:szCs w:val="18"/>
          <w:i w:val="1"/>
          <w:iCs w:val="1"/>
          <w:color w:val="auto"/>
        </w:rPr>
        <w:t>Finalmente, el Beneficiario manifiesta que no se reserva acción o derecho alguno que origine una demanda en contra de Eli Lilly and Company, por cualquier compensación o daño relacionada con las disposiciones del Plan o de los beneficios otorgados en el mismo, y en consecuencia el Beneficiario libera de la manera más amplia y total de responsabilidad a Eli Lilly and Company, sus subsidiarias, afiliadas, sucursales, oficinas de representación, sus accionistas, directores, agentes y representantes legales de cualquier demanda que pudiera surgir.</w:t>
      </w:r>
    </w:p>
    <w:p>
      <w:pPr>
        <w:sectPr>
          <w:pgSz w:w="11900" w:h="16838" w:orient="portrait"/>
          <w:cols w:equalWidth="0" w:num="1">
            <w:col w:w="11080"/>
          </w:cols>
          <w:pgMar w:left="580" w:top="553" w:right="239" w:bottom="1440" w:gutter="0" w:footer="0" w:header="0"/>
        </w:sectPr>
      </w:pPr>
    </w:p>
    <w:bookmarkStart w:id="182" w:name="page183"/>
    <w:bookmarkEnd w:id="182"/>
    <w:p>
      <w:pPr>
        <w:jc w:val="center"/>
        <w:ind w:right="-59"/>
        <w:spacing w:after="0"/>
        <w:rPr>
          <w:sz w:val="20"/>
          <w:szCs w:val="20"/>
          <w:color w:val="auto"/>
        </w:rPr>
      </w:pPr>
      <w:r>
        <w:rPr>
          <w:rFonts w:ascii="Arial" w:cs="Arial" w:eastAsia="Arial" w:hAnsi="Arial"/>
          <w:sz w:val="29"/>
          <w:szCs w:val="29"/>
          <w:b w:val="1"/>
          <w:bCs w:val="1"/>
          <w:color w:val="auto"/>
        </w:rPr>
        <w:t>Appendix for Spain</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Amended and Restated 2002 Lilly Stock Plan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Relative Value Award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Vesting.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provision supplements Section 2 of the Award Agreement:</w:t>
      </w:r>
    </w:p>
    <w:p>
      <w:pPr>
        <w:spacing w:after="0" w:line="225" w:lineRule="exact"/>
        <w:rPr>
          <w:sz w:val="20"/>
          <w:szCs w:val="20"/>
          <w:color w:val="auto"/>
        </w:rPr>
      </w:pPr>
    </w:p>
    <w:p>
      <w:pPr>
        <w:jc w:val="both"/>
        <w:ind w:left="60"/>
        <w:spacing w:after="0" w:line="251" w:lineRule="auto"/>
        <w:rPr>
          <w:sz w:val="20"/>
          <w:szCs w:val="20"/>
          <w:color w:val="auto"/>
        </w:rPr>
      </w:pPr>
      <w:r>
        <w:rPr>
          <w:rFonts w:ascii="Arial" w:cs="Arial" w:eastAsia="Arial" w:hAnsi="Arial"/>
          <w:sz w:val="18"/>
          <w:szCs w:val="18"/>
          <w:color w:val="auto"/>
        </w:rPr>
        <w:t>As a condition of the grant of the Award, termination of the Grantee’s Service for any reason (including for the reasons listed below but excluding for the reasons specified in Sections 3(b) and 3(c) of the Award Agreement) will automatically result in the forfeiture and loss of the Award and the underlying Shares to the extent that the Award has not yet vested as of the date of termination of the Grantee’s Service. In particular, and without limitation to the provisions of the Award Agreement and the Plan, the Grantee understands and agrees that the Award will be cancelled without entitlement to the underlying Shares or to any amount as indemnification if the Grantee terminates employment by reason of, including, but not limited to: resignation, disciplinary dismissal adjudged to be with cause, disciplinary dismissal adjudged or recognized to be without good cause (</w:t>
      </w:r>
      <w:r>
        <w:rPr>
          <w:rFonts w:ascii="Arial" w:cs="Arial" w:eastAsia="Arial" w:hAnsi="Arial"/>
          <w:sz w:val="18"/>
          <w:szCs w:val="18"/>
          <w:i w:val="1"/>
          <w:iCs w:val="1"/>
          <w:color w:val="auto"/>
        </w:rPr>
        <w:t>i.e.</w:t>
      </w:r>
      <w:r>
        <w:rPr>
          <w:rFonts w:ascii="Arial" w:cs="Arial" w:eastAsia="Arial" w:hAnsi="Arial"/>
          <w:sz w:val="18"/>
          <w:szCs w:val="18"/>
          <w:color w:val="auto"/>
        </w:rPr>
        <w:t>, subject to a “</w:t>
      </w:r>
      <w:r>
        <w:rPr>
          <w:rFonts w:ascii="Arial" w:cs="Arial" w:eastAsia="Arial" w:hAnsi="Arial"/>
          <w:sz w:val="18"/>
          <w:szCs w:val="18"/>
          <w:i w:val="1"/>
          <w:iCs w:val="1"/>
          <w:color w:val="auto"/>
        </w:rPr>
        <w:t>despido improcedente</w:t>
      </w:r>
      <w:r>
        <w:rPr>
          <w:rFonts w:ascii="Arial" w:cs="Arial" w:eastAsia="Arial" w:hAnsi="Arial"/>
          <w:sz w:val="18"/>
          <w:szCs w:val="18"/>
          <w:color w:val="auto"/>
        </w:rPr>
        <w:t>”), individual or collective layoff on objective grounds, whether adjudged to be with cause or adjudged or recognized to be without cause (unless such layoff falls within the meaning of a plant closing or reduction in workforce as described in Section 3(c)), material modification of the terms of employment under Article 41 of the Workers’ Statute, relocation under Article 40 of the Workers’ Statute, Article 50 of the Workers’ Statute, unilateral withdrawal by the Employer, and under Article 10.3 of Royal Decree 1382/1985 (unless such layoff falls within the meaning of a medical reassignment as described in Section 3(c)). The Grantee acknowledges that he or she has read and specifically accepts the vesting conditions referred to in Section 2 of the Award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Grantee’s Acknowledgement.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provision supplements Section 10 of the Award Agreement:</w:t>
      </w:r>
    </w:p>
    <w:p>
      <w:pPr>
        <w:spacing w:after="0" w:line="225" w:lineRule="exact"/>
        <w:rPr>
          <w:sz w:val="20"/>
          <w:szCs w:val="20"/>
          <w:color w:val="auto"/>
        </w:rPr>
      </w:pPr>
    </w:p>
    <w:p>
      <w:pPr>
        <w:jc w:val="both"/>
        <w:ind w:left="60"/>
        <w:spacing w:after="0" w:line="251" w:lineRule="auto"/>
        <w:rPr>
          <w:sz w:val="20"/>
          <w:szCs w:val="20"/>
          <w:color w:val="auto"/>
        </w:rPr>
      </w:pPr>
      <w:r>
        <w:rPr>
          <w:rFonts w:ascii="Arial" w:cs="Arial" w:eastAsia="Arial" w:hAnsi="Arial"/>
          <w:sz w:val="18"/>
          <w:szCs w:val="18"/>
          <w:color w:val="auto"/>
        </w:rPr>
        <w:t>The Grantee understands that the Company has unilaterally, gratuitously and discretionally decided to grant Relative Value Awards under the Plan to individuals who may be Employees of the Company or its Affiliates throughout the world. The decision is a limited decision that is entered into upon the express assumption and condition that any grant will not economically or otherwise bind the Company or any of its Affiliates on an ongoing basis except to the extent otherwise provided in the Plan and this Award Agreement. Consequently, the Grantee understands that the Relative Value Awards are granted on the assumption and condition that the Relative Value Awards and any Shares acquired pursuant to the Relative Value Awards shall not become a part of any employment contract (either with the Company or any of its Affiliates) and shall not be considered a mandatory benefit, salary for any purposes (including severance compensation) or any other right whatsoever. In addition, the Grantee understands that this grant would not be made to the Grantee but for the assumptions and conditions referred to above; thus, the Grantee acknowledges and freely accepts that should any or all of the assumptions be mistaken or should any of the conditions not be met for any reason, then any grant of Relative Value Awards may be cancelled.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Securities Law Information.</w:t>
      </w:r>
    </w:p>
    <w:p>
      <w:pPr>
        <w:spacing w:after="0" w:line="9" w:lineRule="exact"/>
        <w:rPr>
          <w:sz w:val="20"/>
          <w:szCs w:val="20"/>
          <w:color w:val="auto"/>
        </w:rPr>
      </w:pPr>
    </w:p>
    <w:p>
      <w:pPr>
        <w:jc w:val="both"/>
        <w:ind w:left="60" w:right="80"/>
        <w:spacing w:after="0" w:line="256" w:lineRule="auto"/>
        <w:rPr>
          <w:sz w:val="20"/>
          <w:szCs w:val="20"/>
          <w:color w:val="auto"/>
        </w:rPr>
      </w:pPr>
      <w:r>
        <w:rPr>
          <w:rFonts w:ascii="Arial" w:cs="Arial" w:eastAsia="Arial" w:hAnsi="Arial"/>
          <w:sz w:val="18"/>
          <w:szCs w:val="18"/>
          <w:color w:val="auto"/>
        </w:rPr>
        <w:t xml:space="preserve">No “offer of securities to the public,” as defined under Spanish law, has taken place or will take place in the Spanish territory in connection with the Award. The Award Agreement has not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prospectus.</w:t>
      </w:r>
    </w:p>
    <w:p>
      <w:pPr>
        <w:sectPr>
          <w:pgSz w:w="11900" w:h="16838" w:orient="portrait"/>
          <w:cols w:equalWidth="0" w:num="1">
            <w:col w:w="11080"/>
          </w:cols>
          <w:pgMar w:left="580" w:top="532" w:right="239" w:bottom="1440" w:gutter="0" w:footer="0" w:header="0"/>
        </w:sectPr>
      </w:pPr>
    </w:p>
    <w:bookmarkStart w:id="183" w:name="page184"/>
    <w:bookmarkEnd w:id="183"/>
    <w:p>
      <w:pPr>
        <w:jc w:val="center"/>
        <w:ind w:right="-59"/>
        <w:spacing w:after="0"/>
        <w:rPr>
          <w:sz w:val="20"/>
          <w:szCs w:val="20"/>
          <w:color w:val="auto"/>
        </w:rPr>
      </w:pPr>
      <w:r>
        <w:rPr>
          <w:rFonts w:ascii="Arial" w:cs="Arial" w:eastAsia="Arial" w:hAnsi="Arial"/>
          <w:sz w:val="29"/>
          <w:szCs w:val="29"/>
          <w:b w:val="1"/>
          <w:bCs w:val="1"/>
          <w:color w:val="auto"/>
        </w:rPr>
        <w:t>Appendix for Turkey</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Amended and Restated 2002 Lilly Stock Plan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Relative Value Award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Securities Law Information.</w:t>
      </w:r>
    </w:p>
    <w:p>
      <w:pPr>
        <w:spacing w:after="0" w:line="9" w:lineRule="exact"/>
        <w:rPr>
          <w:sz w:val="20"/>
          <w:szCs w:val="20"/>
          <w:color w:val="auto"/>
        </w:rPr>
      </w:pPr>
    </w:p>
    <w:p>
      <w:pPr>
        <w:jc w:val="both"/>
        <w:ind w:left="60"/>
        <w:spacing w:after="0" w:line="256" w:lineRule="auto"/>
        <w:rPr>
          <w:sz w:val="20"/>
          <w:szCs w:val="20"/>
          <w:color w:val="auto"/>
        </w:rPr>
      </w:pPr>
      <w:r>
        <w:rPr>
          <w:rFonts w:ascii="Arial" w:cs="Arial" w:eastAsia="Arial" w:hAnsi="Arial"/>
          <w:sz w:val="18"/>
          <w:szCs w:val="18"/>
          <w:color w:val="auto"/>
        </w:rPr>
        <w:t>Under Turkish law, the Grantee is not permitted to sell any Shares acquired under the Plan in Turkey. The Shares are currently traded on the New York Stock Exchange in the United States of America, under the ticker symbol of “LLY” and Shares acquired under the Plan may be sold through this exchange.</w:t>
      </w:r>
    </w:p>
    <w:p>
      <w:pPr>
        <w:sectPr>
          <w:pgSz w:w="11900" w:h="16838" w:orient="portrait"/>
          <w:cols w:equalWidth="0" w:num="1">
            <w:col w:w="11080"/>
          </w:cols>
          <w:pgMar w:left="580" w:top="532" w:right="239" w:bottom="1440" w:gutter="0" w:footer="0" w:header="0"/>
        </w:sectPr>
      </w:pPr>
    </w:p>
    <w:bookmarkStart w:id="184" w:name="page185"/>
    <w:bookmarkEnd w:id="184"/>
    <w:p>
      <w:pPr>
        <w:jc w:val="center"/>
        <w:ind w:right="-59"/>
        <w:spacing w:after="0"/>
        <w:rPr>
          <w:sz w:val="20"/>
          <w:szCs w:val="20"/>
          <w:color w:val="auto"/>
        </w:rPr>
      </w:pPr>
      <w:r>
        <w:rPr>
          <w:rFonts w:ascii="Arial" w:cs="Arial" w:eastAsia="Arial" w:hAnsi="Arial"/>
          <w:sz w:val="29"/>
          <w:szCs w:val="29"/>
          <w:b w:val="1"/>
          <w:bCs w:val="1"/>
          <w:color w:val="auto"/>
        </w:rPr>
        <w:t>Appendix for the United Kingdom</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Eli Lilly and Company</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Amended and Restated 2002 Lilly Stock Plan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Relative Value Award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Settlement.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5(e) of the Award Agreement shall not apply to Relative Value Awards granted in the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for Taxes.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provision supplements Section 8 of the Award Agreement:</w:t>
      </w:r>
    </w:p>
    <w:p>
      <w:pPr>
        <w:spacing w:after="0" w:line="225" w:lineRule="exact"/>
        <w:rPr>
          <w:sz w:val="20"/>
          <w:szCs w:val="20"/>
          <w:color w:val="auto"/>
        </w:rPr>
      </w:pPr>
    </w:p>
    <w:p>
      <w:pPr>
        <w:ind w:left="60"/>
        <w:spacing w:after="0" w:line="250" w:lineRule="auto"/>
        <w:rPr>
          <w:sz w:val="20"/>
          <w:szCs w:val="20"/>
          <w:color w:val="auto"/>
        </w:rPr>
      </w:pPr>
      <w:r>
        <w:rPr>
          <w:rFonts w:ascii="Arial" w:cs="Arial" w:eastAsia="Arial" w:hAnsi="Arial"/>
          <w:sz w:val="18"/>
          <w:szCs w:val="18"/>
          <w:color w:val="auto"/>
        </w:rPr>
        <w:t>Without limitation to Section 8 of the Award Agreement, the Grantee agrees that he or she is liable for all Tax Related Items and hereby covenants to pay all such Tax Related Items, as and when requested by the Company and/or the Employer or by Her Majesty’s Revenue</w:t>
      </w:r>
    </w:p>
    <w:p>
      <w:pPr>
        <w:spacing w:after="0" w:line="1" w:lineRule="exact"/>
        <w:rPr>
          <w:sz w:val="20"/>
          <w:szCs w:val="20"/>
          <w:color w:val="auto"/>
        </w:rPr>
      </w:pPr>
    </w:p>
    <w:p>
      <w:pPr>
        <w:jc w:val="both"/>
        <w:ind w:left="60"/>
        <w:spacing w:after="0" w:line="256" w:lineRule="auto"/>
        <w:tabs>
          <w:tab w:leader="none" w:pos="26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Customs (“HMRC”) (or any other tax authority or any other relevant authority). The Grantee also agrees to indemnify and keep indemnified the Company and/or the Employer against any Tax Related Items that they are required to pay or withhold or have paid or will pay to HMRC (or any other tax authority or any other relevant authority) on the Grantee’s behalf.</w:t>
      </w:r>
    </w:p>
    <w:p>
      <w:pPr>
        <w:spacing w:after="0" w:line="202" w:lineRule="exact"/>
        <w:rPr>
          <w:sz w:val="20"/>
          <w:szCs w:val="20"/>
          <w:color w:val="auto"/>
        </w:rPr>
      </w:pPr>
    </w:p>
    <w:p>
      <w:pPr>
        <w:jc w:val="both"/>
        <w:ind w:left="60"/>
        <w:spacing w:after="0" w:line="252" w:lineRule="auto"/>
        <w:rPr>
          <w:sz w:val="20"/>
          <w:szCs w:val="20"/>
          <w:color w:val="auto"/>
        </w:rPr>
      </w:pPr>
      <w:r>
        <w:rPr>
          <w:rFonts w:ascii="Arial" w:cs="Arial" w:eastAsia="Arial" w:hAnsi="Arial"/>
          <w:sz w:val="18"/>
          <w:szCs w:val="18"/>
          <w:color w:val="auto"/>
        </w:rPr>
        <w:t>Notwithstanding the foregoing, if the Grantee is a director or executive officer of the Company (within the meaning of Section 13(k) of the Exchange Act), the foregoing provision will not apply. In this case, the amount of any Tax Related Items not collected from or paid by the Grantee may constitute a benefit to the Grantee on which additional income tax and National Insurance contributions (“NICs”) may be payable. The Grantee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Joint Election.</w:t>
      </w:r>
    </w:p>
    <w:p>
      <w:pPr>
        <w:spacing w:after="0" w:line="9" w:lineRule="exact"/>
        <w:rPr>
          <w:sz w:val="20"/>
          <w:szCs w:val="20"/>
          <w:color w:val="auto"/>
        </w:rPr>
      </w:pPr>
    </w:p>
    <w:p>
      <w:pPr>
        <w:jc w:val="both"/>
        <w:ind w:left="60"/>
        <w:spacing w:after="0" w:line="252" w:lineRule="auto"/>
        <w:rPr>
          <w:sz w:val="20"/>
          <w:szCs w:val="20"/>
          <w:color w:val="auto"/>
        </w:rPr>
      </w:pPr>
      <w:r>
        <w:rPr>
          <w:rFonts w:ascii="Arial" w:cs="Arial" w:eastAsia="Arial" w:hAnsi="Arial"/>
          <w:sz w:val="18"/>
          <w:szCs w:val="18"/>
          <w:color w:val="auto"/>
        </w:rPr>
        <w:t>As a condition of the vesting of the Relative Value Awards, the Grantee agrees to accept any liability for secondary Class 1 national insurance contributions which may be payable by the Company and/or the Employer in connection with the Relative Value Awards and any event giving rise to Tax Related Items (the “Employer NICs”). Without prejudice to the foregoing, by accepting this Award, the Grantee is entering into a joint election with the Company or the Employer if he or she has not already done so, the form of such joint election being formally approved by HMRC (the “Joint Election”), a copy of which is attached to this Appendix for the United Kingdom as Annex 1, and any other required consent or election. The Grantee further agrees to execute such other joint elections as may be required between him or her and any successor to the Company and/or the Employer. The Grantee further agrees that the Company and/or the Employer may collect the Employer NICs from him or her by any of the means set forth in the Joint Election.</w:t>
      </w:r>
    </w:p>
    <w:p>
      <w:pPr>
        <w:sectPr>
          <w:pgSz w:w="11900" w:h="16838" w:orient="portrait"/>
          <w:cols w:equalWidth="0" w:num="1">
            <w:col w:w="11080"/>
          </w:cols>
          <w:pgMar w:left="580" w:top="532"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u w:val="single" w:color="auto"/>
          <w:color w:val="auto"/>
        </w:rPr>
        <w:t>Annex 1 to Appendix for United Kingdom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Note on the Joint Election for Transfer of Liability for Employer National Insurance Contributions to the Grantee: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condition of the Grantee’s participation in the Eli Lilly and Company Amended and Restated 2002 Lilly Stock Plan, as amended from time to time (the “Plan”), the Grantee is required to enter into a joint election to transfer to the Grantee any liability for employer National Insurance contributions (the “Employer NICs”) that may arise in connection with the Relative Value Award (the “Award”) and in connection with future awards, if any, that may be granted to the Grantee under the Plan (the “Joint 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By entering into the Joint Election:</w:t>
      </w:r>
    </w:p>
    <w:p>
      <w:pPr>
        <w:spacing w:after="0" w:line="225" w:lineRule="exact"/>
        <w:rPr>
          <w:sz w:val="20"/>
          <w:szCs w:val="20"/>
          <w:color w:val="auto"/>
        </w:rPr>
      </w:pPr>
    </w:p>
    <w:p>
      <w:pPr>
        <w:jc w:val="both"/>
        <w:ind w:left="740" w:hanging="322"/>
        <w:spacing w:after="0" w:line="250" w:lineRule="auto"/>
        <w:tabs>
          <w:tab w:leader="none" w:pos="7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Grantee agrees that any liability for Employer NICs that may arise in connection with or pursuant to the vesting of the Award and the acquisition of shares of common stock of Eli Lilly and Company (the “Company”) or other taxable events in connection with the Award will be transferred to the Grantee; and</w:t>
      </w:r>
    </w:p>
    <w:p>
      <w:pPr>
        <w:spacing w:after="0" w:line="1" w:lineRule="exact"/>
        <w:rPr>
          <w:rFonts w:ascii="Arial" w:cs="Arial" w:eastAsia="Arial" w:hAnsi="Arial"/>
          <w:sz w:val="18"/>
          <w:szCs w:val="18"/>
          <w:color w:val="auto"/>
        </w:rPr>
      </w:pPr>
    </w:p>
    <w:p>
      <w:pPr>
        <w:ind w:left="740" w:hanging="322"/>
        <w:spacing w:after="0" w:line="250" w:lineRule="auto"/>
        <w:tabs>
          <w:tab w:leader="none" w:pos="7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Grantee authorizes the Company and/or the Grantee’s employer to recover an amount sufficient to cover this liability by any method set forth in the Award Agreement and/or the Joint Election.</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To enter into the Joint Election, please selecting the button next to “Accept” where indicated on the Pending Acceptance screen. Please note that selecting the button next to “Accept” indicates the Grantee’s agreement to be bound by all of the terms of the Joint Election.</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Please note that even if the Grantee has indicated his or her acceptance of this Joint Election electronically, the Grantee may still be required to sign a paper copy of this Joint Election (or a substantially similar form) if the Company determines such is necessary to give effect to the Joint Election.</w:t>
      </w:r>
    </w:p>
    <w:p>
      <w:pPr>
        <w:spacing w:after="0" w:line="17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Please read the terms of the Joint Election carefully before accepting the Award Agreement and the Joint Election. The Grantee should print and keep a copy of this Joint Election for his or her records.</w:t>
      </w:r>
    </w:p>
    <w:p>
      <w:pPr>
        <w:sectPr>
          <w:pgSz w:w="11900" w:h="16838" w:orient="portrait"/>
          <w:cols w:equalWidth="0" w:num="1">
            <w:col w:w="11020"/>
          </w:cols>
          <w:pgMar w:left="640" w:top="571" w:right="239" w:bottom="1440" w:gutter="0" w:footer="0" w:header="0"/>
        </w:sectPr>
      </w:pPr>
    </w:p>
    <w:bookmarkStart w:id="186" w:name="page187"/>
    <w:bookmarkEnd w:id="186"/>
    <w:p>
      <w:pPr>
        <w:jc w:val="center"/>
        <w:ind w:right="320"/>
        <w:spacing w:after="0"/>
        <w:rPr>
          <w:sz w:val="20"/>
          <w:szCs w:val="20"/>
          <w:color w:val="auto"/>
        </w:rPr>
      </w:pPr>
      <w:r>
        <w:rPr>
          <w:rFonts w:ascii="Arial" w:cs="Arial" w:eastAsia="Arial" w:hAnsi="Arial"/>
          <w:sz w:val="18"/>
          <w:szCs w:val="18"/>
          <w:b w:val="1"/>
          <w:bCs w:val="1"/>
          <w:color w:val="auto"/>
        </w:rPr>
        <w:t>Joint Election for Transfer of Liability for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Employer National Insurance Contributions to Employee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This Election is between:</w:t>
      </w:r>
    </w:p>
    <w:p>
      <w:pPr>
        <w:spacing w:after="0" w:line="203" w:lineRule="exact"/>
        <w:rPr>
          <w:sz w:val="20"/>
          <w:szCs w:val="20"/>
          <w:color w:val="auto"/>
        </w:rPr>
      </w:pPr>
    </w:p>
    <w:p>
      <w:pPr>
        <w:ind w:left="640" w:right="160" w:hanging="640"/>
        <w:spacing w:after="0" w:line="269" w:lineRule="auto"/>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individual who has obtained authorised access to this Election (the “</w:t>
      </w:r>
      <w:r>
        <w:rPr>
          <w:rFonts w:ascii="Arial" w:cs="Arial" w:eastAsia="Arial" w:hAnsi="Arial"/>
          <w:sz w:val="18"/>
          <w:szCs w:val="18"/>
          <w:b w:val="1"/>
          <w:bCs w:val="1"/>
          <w:color w:val="auto"/>
        </w:rPr>
        <w:t>Employee</w:t>
      </w:r>
      <w:r>
        <w:rPr>
          <w:rFonts w:ascii="Arial" w:cs="Arial" w:eastAsia="Arial" w:hAnsi="Arial"/>
          <w:sz w:val="18"/>
          <w:szCs w:val="18"/>
          <w:color w:val="auto"/>
        </w:rPr>
        <w:t>”), who is employed by one of the employing companies listed in the attached schedule (the “</w:t>
      </w:r>
      <w:r>
        <w:rPr>
          <w:rFonts w:ascii="Arial" w:cs="Arial" w:eastAsia="Arial" w:hAnsi="Arial"/>
          <w:sz w:val="18"/>
          <w:szCs w:val="18"/>
          <w:b w:val="1"/>
          <w:bCs w:val="1"/>
          <w:color w:val="auto"/>
        </w:rPr>
        <w:t>Employer</w:t>
      </w:r>
      <w:r>
        <w:rPr>
          <w:rFonts w:ascii="Arial" w:cs="Arial" w:eastAsia="Arial" w:hAnsi="Arial"/>
          <w:sz w:val="18"/>
          <w:szCs w:val="18"/>
          <w:color w:val="auto"/>
        </w:rPr>
        <w:t>”) and who is eligible to receive performance based awards (the “</w:t>
      </w:r>
      <w:r>
        <w:rPr>
          <w:rFonts w:ascii="Arial" w:cs="Arial" w:eastAsia="Arial" w:hAnsi="Arial"/>
          <w:sz w:val="18"/>
          <w:szCs w:val="18"/>
          <w:b w:val="1"/>
          <w:bCs w:val="1"/>
          <w:color w:val="auto"/>
        </w:rPr>
        <w:t>Relative Value Award</w:t>
      </w:r>
      <w:r>
        <w:rPr>
          <w:rFonts w:ascii="Arial" w:cs="Arial" w:eastAsia="Arial" w:hAnsi="Arial"/>
          <w:sz w:val="18"/>
          <w:szCs w:val="18"/>
          <w:color w:val="auto"/>
        </w:rPr>
        <w:t>”) pursuant to the Amended and Restated 2002 Lilly Stock Plan (the “</w:t>
      </w:r>
      <w:r>
        <w:rPr>
          <w:rFonts w:ascii="Arial" w:cs="Arial" w:eastAsia="Arial" w:hAnsi="Arial"/>
          <w:sz w:val="18"/>
          <w:szCs w:val="18"/>
          <w:b w:val="1"/>
          <w:bCs w:val="1"/>
          <w:color w:val="auto"/>
        </w:rPr>
        <w:t>Plan</w:t>
      </w:r>
      <w:r>
        <w:rPr>
          <w:rFonts w:ascii="Arial" w:cs="Arial" w:eastAsia="Arial" w:hAnsi="Arial"/>
          <w:sz w:val="18"/>
          <w:szCs w:val="18"/>
          <w:color w:val="auto"/>
        </w:rPr>
        <w:t>”), and</w:t>
      </w:r>
    </w:p>
    <w:p>
      <w:pPr>
        <w:spacing w:after="0" w:line="190" w:lineRule="exact"/>
        <w:rPr>
          <w:rFonts w:ascii="Arial" w:cs="Arial" w:eastAsia="Arial" w:hAnsi="Arial"/>
          <w:sz w:val="18"/>
          <w:szCs w:val="18"/>
          <w:color w:val="auto"/>
        </w:rPr>
      </w:pPr>
    </w:p>
    <w:p>
      <w:pPr>
        <w:ind w:left="640" w:hanging="640"/>
        <w:spacing w:after="0" w:line="256" w:lineRule="auto"/>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Eli Lilly and Company, an Indiana corporation, with registered offices at Lilly Corporate Center, Indianapolis, Indiana, 46285, U.S.A. (the “</w:t>
      </w:r>
      <w:r>
        <w:rPr>
          <w:rFonts w:ascii="Arial" w:cs="Arial" w:eastAsia="Arial" w:hAnsi="Arial"/>
          <w:sz w:val="18"/>
          <w:szCs w:val="18"/>
          <w:b w:val="1"/>
          <w:bCs w:val="1"/>
          <w:color w:val="auto"/>
        </w:rPr>
        <w:t>Company</w:t>
      </w:r>
      <w:r>
        <w:rPr>
          <w:rFonts w:ascii="Arial" w:cs="Arial" w:eastAsia="Arial" w:hAnsi="Arial"/>
          <w:sz w:val="18"/>
          <w:szCs w:val="18"/>
          <w:color w:val="auto"/>
        </w:rPr>
        <w:t>”), which may grant Relative Value Awards under the Plan and is entering into this Election on behalf of the Employer.</w:t>
      </w:r>
    </w:p>
    <w:p>
      <w:pPr>
        <w:spacing w:after="0" w:line="180" w:lineRule="exact"/>
        <w:rPr>
          <w:sz w:val="20"/>
          <w:szCs w:val="20"/>
          <w:color w:val="auto"/>
        </w:rPr>
      </w:pPr>
    </w:p>
    <w:p>
      <w:pPr>
        <w:ind w:left="640" w:hanging="640"/>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47" w:lineRule="exact"/>
        <w:rPr>
          <w:sz w:val="20"/>
          <w:szCs w:val="20"/>
          <w:color w:val="auto"/>
        </w:rPr>
      </w:pPr>
    </w:p>
    <w:p>
      <w:pPr>
        <w:ind w:left="640" w:right="220" w:hanging="647"/>
        <w:spacing w:after="0" w:line="262"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Election relates to all Relative Value Awards granted to the Employee under the Plan on or after November 15, 2018 up to the termination date of the Plan.</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In this Election the following words and phrases have the following meanings:</w:t>
      </w:r>
    </w:p>
    <w:p>
      <w:pPr>
        <w:spacing w:after="0" w:line="203" w:lineRule="exact"/>
        <w:rPr>
          <w:sz w:val="20"/>
          <w:szCs w:val="20"/>
          <w:color w:val="auto"/>
        </w:rPr>
      </w:pPr>
    </w:p>
    <w:p>
      <w:pPr>
        <w:ind w:left="980" w:hanging="332"/>
        <w:spacing w:after="0"/>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Chargeable Event</w:t>
      </w:r>
      <w:r>
        <w:rPr>
          <w:rFonts w:ascii="Arial" w:cs="Arial" w:eastAsia="Arial" w:hAnsi="Arial"/>
          <w:sz w:val="18"/>
          <w:szCs w:val="18"/>
          <w:color w:val="auto"/>
        </w:rPr>
        <w:t>” means any event giving rise to Relevant Employment Income.</w:t>
      </w:r>
    </w:p>
    <w:p>
      <w:pPr>
        <w:spacing w:after="0" w:line="225" w:lineRule="exact"/>
        <w:rPr>
          <w:rFonts w:ascii="Arial" w:cs="Arial" w:eastAsia="Arial" w:hAnsi="Arial"/>
          <w:sz w:val="18"/>
          <w:szCs w:val="18"/>
          <w:color w:val="auto"/>
        </w:rPr>
      </w:pPr>
    </w:p>
    <w:p>
      <w:pPr>
        <w:ind w:left="980" w:hanging="332"/>
        <w:spacing w:after="0"/>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ITEPA</w:t>
      </w:r>
      <w:r>
        <w:rPr>
          <w:rFonts w:ascii="Arial" w:cs="Arial" w:eastAsia="Arial" w:hAnsi="Arial"/>
          <w:sz w:val="18"/>
          <w:szCs w:val="18"/>
          <w:color w:val="auto"/>
        </w:rPr>
        <w:t>” means the Income Tax (Earnings and Pensions) Act 2003.</w:t>
      </w:r>
    </w:p>
    <w:p>
      <w:pPr>
        <w:spacing w:after="0" w:line="225" w:lineRule="exact"/>
        <w:rPr>
          <w:rFonts w:ascii="Arial" w:cs="Arial" w:eastAsia="Arial" w:hAnsi="Arial"/>
          <w:sz w:val="18"/>
          <w:szCs w:val="18"/>
          <w:color w:val="auto"/>
        </w:rPr>
      </w:pPr>
    </w:p>
    <w:p>
      <w:pPr>
        <w:ind w:left="980" w:right="680" w:hanging="332"/>
        <w:spacing w:after="0" w:line="287"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Employment Income</w:t>
      </w:r>
      <w:r>
        <w:rPr>
          <w:rFonts w:ascii="Arial" w:cs="Arial" w:eastAsia="Arial" w:hAnsi="Arial"/>
          <w:sz w:val="18"/>
          <w:szCs w:val="18"/>
          <w:color w:val="auto"/>
        </w:rPr>
        <w:t>” from Relative Value Awards on which Employer's National Insurance Contributions becomes due is defined as:</w:t>
      </w:r>
    </w:p>
    <w:p>
      <w:pPr>
        <w:spacing w:after="0" w:line="175" w:lineRule="exact"/>
        <w:rPr>
          <w:rFonts w:ascii="Arial" w:cs="Arial" w:eastAsia="Arial" w:hAnsi="Arial"/>
          <w:sz w:val="18"/>
          <w:szCs w:val="18"/>
          <w:color w:val="auto"/>
        </w:rPr>
      </w:pPr>
    </w:p>
    <w:p>
      <w:pPr>
        <w:ind w:left="1460" w:right="140" w:hanging="326"/>
        <w:spacing w:after="0" w:line="262" w:lineRule="auto"/>
        <w:tabs>
          <w:tab w:leader="none" w:pos="14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 amount that counts as employment income of the earner under section 426 ITEPA (restricted securities: charge on certain post-acquisition events);</w:t>
      </w:r>
    </w:p>
    <w:p>
      <w:pPr>
        <w:spacing w:after="0" w:line="196" w:lineRule="exact"/>
        <w:rPr>
          <w:rFonts w:ascii="Arial" w:cs="Arial" w:eastAsia="Arial" w:hAnsi="Arial"/>
          <w:sz w:val="18"/>
          <w:szCs w:val="18"/>
          <w:color w:val="auto"/>
        </w:rPr>
      </w:pPr>
    </w:p>
    <w:p>
      <w:pPr>
        <w:ind w:left="1460" w:right="40" w:hanging="326"/>
        <w:spacing w:after="0" w:line="262" w:lineRule="auto"/>
        <w:tabs>
          <w:tab w:leader="none" w:pos="14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 amount that counts as employment income of the earner under section 438 of ITEPA (convertible securities: charge on certain post-acquisition events); or</w:t>
      </w:r>
    </w:p>
    <w:p>
      <w:pPr>
        <w:spacing w:after="0" w:line="196" w:lineRule="exact"/>
        <w:rPr>
          <w:rFonts w:ascii="Arial" w:cs="Arial" w:eastAsia="Arial" w:hAnsi="Arial"/>
          <w:sz w:val="18"/>
          <w:szCs w:val="18"/>
          <w:color w:val="auto"/>
        </w:rPr>
      </w:pPr>
    </w:p>
    <w:p>
      <w:pPr>
        <w:ind w:left="1460" w:right="380" w:hanging="326"/>
        <w:spacing w:after="0" w:line="262" w:lineRule="auto"/>
        <w:tabs>
          <w:tab w:leader="none" w:pos="14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gain that is treated as remuneration derived from the earner's employment by virtue of section 4(4)(a) SSCBA, including without limitation:</w:t>
      </w:r>
    </w:p>
    <w:p>
      <w:pPr>
        <w:spacing w:after="0" w:line="196" w:lineRule="exact"/>
        <w:rPr>
          <w:rFonts w:ascii="Arial" w:cs="Arial" w:eastAsia="Arial" w:hAnsi="Arial"/>
          <w:sz w:val="18"/>
          <w:szCs w:val="18"/>
          <w:color w:val="auto"/>
        </w:rPr>
      </w:pPr>
    </w:p>
    <w:p>
      <w:pPr>
        <w:ind w:left="1780" w:right="480" w:hanging="322"/>
        <w:spacing w:after="0" w:line="262" w:lineRule="auto"/>
        <w:tabs>
          <w:tab w:leader="none" w:pos="178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acquisition of securities pursuant to the Relative Value Awards (within the meaning of section 477(3)(a) of ITEPA);</w:t>
      </w:r>
    </w:p>
    <w:p>
      <w:pPr>
        <w:spacing w:after="0" w:line="196" w:lineRule="exact"/>
        <w:rPr>
          <w:rFonts w:ascii="Arial" w:cs="Arial" w:eastAsia="Arial" w:hAnsi="Arial"/>
          <w:sz w:val="18"/>
          <w:szCs w:val="18"/>
          <w:color w:val="auto"/>
        </w:rPr>
      </w:pPr>
    </w:p>
    <w:p>
      <w:pPr>
        <w:ind w:left="1780" w:right="660" w:hanging="322"/>
        <w:spacing w:after="0" w:line="262" w:lineRule="auto"/>
        <w:tabs>
          <w:tab w:leader="none" w:pos="178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assignment (if applicable) or release of the Relative Value Awards in return for consideration (within the meaning of section 477(3)(b) of ITEPA);</w:t>
      </w:r>
    </w:p>
    <w:p>
      <w:pPr>
        <w:spacing w:after="0" w:line="196" w:lineRule="exact"/>
        <w:rPr>
          <w:rFonts w:ascii="Arial" w:cs="Arial" w:eastAsia="Arial" w:hAnsi="Arial"/>
          <w:sz w:val="18"/>
          <w:szCs w:val="18"/>
          <w:color w:val="auto"/>
        </w:rPr>
      </w:pPr>
    </w:p>
    <w:p>
      <w:pPr>
        <w:ind w:left="1780" w:right="380" w:hanging="322"/>
        <w:spacing w:after="0" w:line="262" w:lineRule="auto"/>
        <w:tabs>
          <w:tab w:leader="none" w:pos="178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receipt of a benefit in connection with the Relative Value Awards, other than a benefit within (i) or (ii) above (within the meaning of section 477(3)(c) of ITEPA).</w:t>
      </w:r>
    </w:p>
    <w:p>
      <w:pPr>
        <w:spacing w:after="0" w:line="196" w:lineRule="exact"/>
        <w:rPr>
          <w:rFonts w:ascii="Arial" w:cs="Arial" w:eastAsia="Arial" w:hAnsi="Arial"/>
          <w:sz w:val="18"/>
          <w:szCs w:val="18"/>
          <w:color w:val="auto"/>
        </w:rPr>
      </w:pPr>
    </w:p>
    <w:p>
      <w:pPr>
        <w:ind w:left="980" w:hanging="332"/>
        <w:spacing w:after="0"/>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“SSCBA” means the Social Security Contributions and Benefits Act 1992.</w:t>
      </w:r>
    </w:p>
    <w:p>
      <w:pPr>
        <w:spacing w:after="0" w:line="225" w:lineRule="exact"/>
        <w:rPr>
          <w:sz w:val="20"/>
          <w:szCs w:val="20"/>
          <w:color w:val="auto"/>
        </w:rPr>
      </w:pPr>
    </w:p>
    <w:p>
      <w:pPr>
        <w:ind w:left="640" w:hanging="647"/>
        <w:spacing w:after="0" w:line="256"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This Election relates to the Employer’s secondary Class 1 National Insurance Contributions (the “Employer’s Liability”) which may arise in respect of Relevant Employment Income in respect of the Relative Value Awards pursuant to section 4(4)(a) and/or paragraph 3B(1A) of Schedule 1 of the SSCBA.</w:t>
      </w:r>
    </w:p>
    <w:p>
      <w:pPr>
        <w:sectPr>
          <w:pgSz w:w="11900" w:h="16838" w:orient="portrait"/>
          <w:cols w:equalWidth="0" w:num="1">
            <w:col w:w="10940"/>
          </w:cols>
          <w:pgMar w:left="640" w:top="549" w:right="319" w:bottom="1440" w:gutter="0" w:footer="0" w:header="0"/>
        </w:sectPr>
      </w:pPr>
    </w:p>
    <w:bookmarkStart w:id="187" w:name="page188"/>
    <w:bookmarkEnd w:id="187"/>
    <w:p>
      <w:pPr>
        <w:ind w:left="640" w:right="360" w:hanging="647"/>
        <w:spacing w:after="0" w:line="256" w:lineRule="auto"/>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2" w:lineRule="exact"/>
        <w:rPr>
          <w:sz w:val="20"/>
          <w:szCs w:val="20"/>
          <w:color w:val="auto"/>
        </w:rPr>
      </w:pPr>
    </w:p>
    <w:p>
      <w:pPr>
        <w:ind w:left="640" w:hanging="647"/>
        <w:spacing w:after="0" w:line="262" w:lineRule="auto"/>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74" w:lineRule="exact"/>
        <w:rPr>
          <w:sz w:val="20"/>
          <w:szCs w:val="20"/>
          <w:color w:val="auto"/>
        </w:rPr>
      </w:pPr>
    </w:p>
    <w:p>
      <w:pPr>
        <w:ind w:left="640" w:hanging="640"/>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The Election</w:t>
      </w:r>
    </w:p>
    <w:p>
      <w:pPr>
        <w:spacing w:after="0" w:line="247" w:lineRule="exact"/>
        <w:rPr>
          <w:rFonts w:ascii="Arial" w:cs="Arial" w:eastAsia="Arial" w:hAnsi="Arial"/>
          <w:sz w:val="18"/>
          <w:szCs w:val="18"/>
          <w:color w:val="auto"/>
        </w:rPr>
      </w:pPr>
    </w:p>
    <w:p>
      <w:pPr>
        <w:ind w:left="640" w:right="140"/>
        <w:spacing w:after="0" w:line="254" w:lineRule="auto"/>
        <w:rPr>
          <w:rFonts w:ascii="Arial" w:cs="Arial" w:eastAsia="Arial" w:hAnsi="Arial"/>
          <w:sz w:val="18"/>
          <w:szCs w:val="18"/>
          <w:color w:val="auto"/>
        </w:rPr>
      </w:pPr>
      <w:r>
        <w:rPr>
          <w:rFonts w:ascii="Arial" w:cs="Arial" w:eastAsia="Arial" w:hAnsi="Arial"/>
          <w:sz w:val="18"/>
          <w:szCs w:val="18"/>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182" w:lineRule="exact"/>
        <w:rPr>
          <w:rFonts w:ascii="Arial" w:cs="Arial" w:eastAsia="Arial" w:hAnsi="Arial"/>
          <w:sz w:val="18"/>
          <w:szCs w:val="18"/>
          <w:color w:val="auto"/>
        </w:rPr>
      </w:pPr>
    </w:p>
    <w:p>
      <w:pPr>
        <w:ind w:left="640" w:hanging="640"/>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Payment of the Employer’s Liability</w:t>
      </w:r>
    </w:p>
    <w:p>
      <w:pPr>
        <w:spacing w:after="0" w:line="247" w:lineRule="exact"/>
        <w:rPr>
          <w:sz w:val="20"/>
          <w:szCs w:val="20"/>
          <w:color w:val="auto"/>
        </w:rPr>
      </w:pPr>
    </w:p>
    <w:p>
      <w:pPr>
        <w:ind w:left="640" w:right="140" w:hanging="647"/>
        <w:spacing w:after="0" w:line="262"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Employee hereby authorises the Company and/or the Employer to collect the Employer’s Liability in respect of any Relevant Employment Income from the Employee at any time after the Chargeable Event:</w:t>
      </w:r>
    </w:p>
    <w:p>
      <w:pPr>
        <w:spacing w:after="0" w:line="196" w:lineRule="exact"/>
        <w:rPr>
          <w:sz w:val="20"/>
          <w:szCs w:val="20"/>
          <w:color w:val="auto"/>
        </w:rPr>
      </w:pPr>
    </w:p>
    <w:p>
      <w:pPr>
        <w:ind w:left="980" w:right="300" w:hanging="332"/>
        <w:spacing w:after="0" w:line="262" w:lineRule="auto"/>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by deduction from salary or any other payment payable to the Employee at any time on or after the date of the Chargeable Event; and/or</w:t>
      </w:r>
    </w:p>
    <w:p>
      <w:pPr>
        <w:spacing w:after="0" w:line="196" w:lineRule="exact"/>
        <w:rPr>
          <w:rFonts w:ascii="Arial" w:cs="Arial" w:eastAsia="Arial" w:hAnsi="Arial"/>
          <w:sz w:val="18"/>
          <w:szCs w:val="18"/>
          <w:color w:val="auto"/>
        </w:rPr>
      </w:pPr>
    </w:p>
    <w:p>
      <w:pPr>
        <w:ind w:left="980" w:hanging="332"/>
        <w:spacing w:after="0"/>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directly from the Employee by payment in cash or cleared funds; and/or</w:t>
      </w:r>
    </w:p>
    <w:p>
      <w:pPr>
        <w:spacing w:after="0" w:line="225" w:lineRule="exact"/>
        <w:rPr>
          <w:rFonts w:ascii="Arial" w:cs="Arial" w:eastAsia="Arial" w:hAnsi="Arial"/>
          <w:sz w:val="18"/>
          <w:szCs w:val="18"/>
          <w:color w:val="auto"/>
        </w:rPr>
      </w:pPr>
    </w:p>
    <w:p>
      <w:pPr>
        <w:ind w:left="980" w:right="360" w:hanging="332"/>
        <w:spacing w:after="0" w:line="256" w:lineRule="auto"/>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by arranging, on behalf of the Employee, for the sale of some of the securities which the Employee is entitled to receive in respect of the Relative Value Awards, the proceeds from which must be delivered to the Employer in sufficient time for payment to be made to Her Majesty’s Revenue &amp; Customs (“HMRC”) by the due date; and/or</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80" w:right="120" w:hanging="332"/>
        <w:spacing w:after="0" w:line="254" w:lineRule="auto"/>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where the proceeds of the gain are to be paid through a third party, the Employee will authorize that party to withhold an amount from the payment or to sell some of the securities which the Employee is entitled to receive in respect of the Relative Value Awards, such amount to be paid in sufficient time to enable the Company and/or the Employer to make payment to HMRC by the due date; and/or</w:t>
      </w:r>
    </w:p>
    <w:p>
      <w:pPr>
        <w:spacing w:after="0" w:line="204" w:lineRule="exact"/>
        <w:rPr>
          <w:rFonts w:ascii="Arial" w:cs="Arial" w:eastAsia="Arial" w:hAnsi="Arial"/>
          <w:sz w:val="18"/>
          <w:szCs w:val="18"/>
          <w:color w:val="auto"/>
        </w:rPr>
      </w:pPr>
    </w:p>
    <w:p>
      <w:pPr>
        <w:ind w:left="980" w:right="140" w:hanging="332"/>
        <w:spacing w:after="0" w:line="262" w:lineRule="auto"/>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by any other means specified in the applicable Relative Value Award agreement entered into between the Employee and the Company.</w:t>
      </w:r>
    </w:p>
    <w:p>
      <w:pPr>
        <w:spacing w:after="0" w:line="196" w:lineRule="exact"/>
        <w:rPr>
          <w:sz w:val="20"/>
          <w:szCs w:val="20"/>
          <w:color w:val="auto"/>
        </w:rPr>
      </w:pPr>
    </w:p>
    <w:p>
      <w:pPr>
        <w:ind w:left="640" w:right="280" w:hanging="647"/>
        <w:spacing w:after="0" w:line="262" w:lineRule="auto"/>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hereby reserves for itself and the Employer the right to withhold the transfer of any securities to the Employee in respect of the Relative Value Awards until full payment of the Employer’s Liability is received.</w:t>
      </w:r>
    </w:p>
    <w:p>
      <w:pPr>
        <w:spacing w:after="0" w:line="196" w:lineRule="exact"/>
        <w:rPr>
          <w:sz w:val="20"/>
          <w:szCs w:val="20"/>
          <w:color w:val="auto"/>
        </w:rPr>
      </w:pPr>
    </w:p>
    <w:p>
      <w:pPr>
        <w:ind w:left="640" w:right="60" w:hanging="647"/>
        <w:spacing w:after="0" w:line="256"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80" w:lineRule="exact"/>
        <w:rPr>
          <w:sz w:val="20"/>
          <w:szCs w:val="20"/>
          <w:color w:val="auto"/>
        </w:rPr>
      </w:pPr>
    </w:p>
    <w:p>
      <w:pPr>
        <w:ind w:left="640" w:hanging="640"/>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Duration of Election</w:t>
      </w:r>
    </w:p>
    <w:p>
      <w:pPr>
        <w:spacing w:after="0" w:line="247" w:lineRule="exact"/>
        <w:rPr>
          <w:sz w:val="20"/>
          <w:szCs w:val="20"/>
          <w:color w:val="auto"/>
        </w:rPr>
      </w:pPr>
    </w:p>
    <w:p>
      <w:pPr>
        <w:ind w:left="640" w:right="840" w:hanging="647"/>
        <w:spacing w:after="0" w:line="262"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6" w:lineRule="exact"/>
        <w:rPr>
          <w:sz w:val="20"/>
          <w:szCs w:val="20"/>
          <w:color w:val="auto"/>
        </w:rPr>
      </w:pPr>
    </w:p>
    <w:p>
      <w:pPr>
        <w:ind w:left="640" w:right="540" w:hanging="647"/>
        <w:spacing w:after="0" w:line="262"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Any reference to the Company and/or the Employer shall include that entity’s successors in title and assigns as permitted in accordance with the terms of the Plan and relevant award agreement. This</w:t>
      </w:r>
    </w:p>
    <w:p>
      <w:pPr>
        <w:sectPr>
          <w:pgSz w:w="11900" w:h="16838" w:orient="portrait"/>
          <w:cols w:equalWidth="0" w:num="1">
            <w:col w:w="11000"/>
          </w:cols>
          <w:pgMar w:left="640" w:top="571" w:right="259" w:bottom="1440" w:gutter="0" w:footer="0" w:header="0"/>
        </w:sectPr>
      </w:pPr>
    </w:p>
    <w:bookmarkStart w:id="188" w:name="page189"/>
    <w:bookmarkEnd w:id="188"/>
    <w:p>
      <w:pPr>
        <w:ind w:left="780"/>
        <w:spacing w:after="0" w:line="262" w:lineRule="auto"/>
        <w:rPr>
          <w:sz w:val="20"/>
          <w:szCs w:val="20"/>
          <w:color w:val="auto"/>
        </w:rPr>
      </w:pPr>
      <w:r>
        <w:rPr>
          <w:rFonts w:ascii="Arial" w:cs="Arial" w:eastAsia="Arial" w:hAnsi="Arial"/>
          <w:sz w:val="18"/>
          <w:szCs w:val="18"/>
          <w:color w:val="auto"/>
        </w:rPr>
        <w:t>Election will continue in effect in respect of any awards which replace the Relative Value Awards in circumstances where section 483 of ITEPA applies.</w:t>
      </w:r>
    </w:p>
    <w:p>
      <w:pPr>
        <w:spacing w:after="0" w:line="196"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This Election will continue in effect until the earliest of the following:</w:t>
      </w:r>
    </w:p>
    <w:p>
      <w:pPr>
        <w:spacing w:after="0" w:line="225" w:lineRule="exact"/>
        <w:rPr>
          <w:sz w:val="20"/>
          <w:szCs w:val="20"/>
          <w:color w:val="auto"/>
        </w:rPr>
      </w:pPr>
    </w:p>
    <w:p>
      <w:pPr>
        <w:ind w:left="1120" w:hanging="332"/>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date on which the Employee and the Company agree in writing that it should cease to have effect;</w:t>
      </w:r>
    </w:p>
    <w:p>
      <w:pPr>
        <w:spacing w:after="0" w:line="225" w:lineRule="exact"/>
        <w:rPr>
          <w:rFonts w:ascii="Arial" w:cs="Arial" w:eastAsia="Arial" w:hAnsi="Arial"/>
          <w:sz w:val="18"/>
          <w:szCs w:val="18"/>
          <w:color w:val="auto"/>
        </w:rPr>
      </w:pPr>
    </w:p>
    <w:p>
      <w:pPr>
        <w:ind w:left="1120" w:hanging="332"/>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date on which the Company serves written notice on the Employee terminating its effect;</w:t>
      </w:r>
    </w:p>
    <w:p>
      <w:pPr>
        <w:spacing w:after="0" w:line="225" w:lineRule="exact"/>
        <w:rPr>
          <w:rFonts w:ascii="Arial" w:cs="Arial" w:eastAsia="Arial" w:hAnsi="Arial"/>
          <w:sz w:val="18"/>
          <w:szCs w:val="18"/>
          <w:color w:val="auto"/>
        </w:rPr>
      </w:pPr>
    </w:p>
    <w:p>
      <w:pPr>
        <w:ind w:left="1120" w:hanging="332"/>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date on which HMRC withdraws approval of this Election; or</w:t>
      </w:r>
    </w:p>
    <w:p>
      <w:pPr>
        <w:spacing w:after="0" w:line="225" w:lineRule="exact"/>
        <w:rPr>
          <w:rFonts w:ascii="Arial" w:cs="Arial" w:eastAsia="Arial" w:hAnsi="Arial"/>
          <w:sz w:val="18"/>
          <w:szCs w:val="18"/>
          <w:color w:val="auto"/>
        </w:rPr>
      </w:pPr>
    </w:p>
    <w:p>
      <w:pPr>
        <w:ind w:left="1120" w:right="300" w:hanging="332"/>
        <w:spacing w:after="0" w:line="262" w:lineRule="auto"/>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date on which, after due payment of the Employer’s Liability in respect of the entirety of the Relative Value Awards to which this Election relates or could relate, the Election ceases to have effect in accordance with its own terms.</w:t>
      </w:r>
    </w:p>
    <w:p>
      <w:pPr>
        <w:spacing w:after="0" w:line="196"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This Election will continue in force regardless of whether the Employee ceases to be an employee of the Employer.</w:t>
      </w: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Acceptance by the Employee</w:t>
      </w:r>
    </w:p>
    <w:p>
      <w:pPr>
        <w:spacing w:after="0" w:line="225" w:lineRule="exact"/>
        <w:rPr>
          <w:sz w:val="20"/>
          <w:szCs w:val="20"/>
          <w:color w:val="auto"/>
        </w:rPr>
      </w:pPr>
    </w:p>
    <w:p>
      <w:pPr>
        <w:ind w:left="140" w:right="160"/>
        <w:spacing w:after="0" w:line="287" w:lineRule="auto"/>
        <w:rPr>
          <w:sz w:val="20"/>
          <w:szCs w:val="20"/>
          <w:color w:val="auto"/>
        </w:rPr>
      </w:pPr>
      <w:r>
        <w:rPr>
          <w:rFonts w:ascii="Arial" w:cs="Arial" w:eastAsia="Arial" w:hAnsi="Arial"/>
          <w:sz w:val="18"/>
          <w:szCs w:val="18"/>
          <w:b w:val="1"/>
          <w:bCs w:val="1"/>
          <w:color w:val="auto"/>
        </w:rPr>
        <w:t>The Employee acknowledges that, by clicking on the button next to “Accept” to accept the Relative Value Awards Agreement and this Election (or by signing this Election), the Employee agrees to be bound by the terms of this Election.</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Acceptance by the Company</w:t>
      </w:r>
    </w:p>
    <w:p>
      <w:pPr>
        <w:spacing w:after="0" w:line="225" w:lineRule="exact"/>
        <w:rPr>
          <w:sz w:val="20"/>
          <w:szCs w:val="20"/>
          <w:color w:val="auto"/>
        </w:rPr>
      </w:pPr>
    </w:p>
    <w:p>
      <w:pPr>
        <w:ind w:left="140" w:right="1060"/>
        <w:spacing w:after="0" w:line="318" w:lineRule="auto"/>
        <w:rPr>
          <w:sz w:val="20"/>
          <w:szCs w:val="20"/>
          <w:color w:val="auto"/>
        </w:rPr>
      </w:pPr>
      <w:r>
        <w:rPr>
          <w:rFonts w:ascii="Arial" w:cs="Arial" w:eastAsia="Arial" w:hAnsi="Arial"/>
          <w:sz w:val="17"/>
          <w:szCs w:val="17"/>
          <w:b w:val="1"/>
          <w:bCs w:val="1"/>
          <w:color w:val="auto"/>
        </w:rPr>
        <w:t>The Company acknowledges that, by signing this Election or arranging for the scanned signature of an authorised representative to appear on this Election, the Company agrees to be bound by the terms of this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281940</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500380</wp:posOffset>
            </wp:positionV>
            <wp:extent cx="1355090" cy="685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135509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Signature for and on behalf of the Company</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Sr VP-Human Resources and Diversity</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Position</w:t>
      </w:r>
    </w:p>
    <w:p>
      <w:pPr>
        <w:spacing w:after="0" w:line="200" w:lineRule="exact"/>
        <w:rPr>
          <w:sz w:val="20"/>
          <w:szCs w:val="20"/>
          <w:color w:val="auto"/>
        </w:rPr>
      </w:pPr>
    </w:p>
    <w:p>
      <w:pPr>
        <w:spacing w:after="0" w:line="21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Employer Companies</w:t>
      </w:r>
    </w:p>
    <w:p>
      <w:pPr>
        <w:spacing w:after="0" w:line="24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employing companies to which this Election relates include:</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7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Eli Lilly and Company Limited</w:t>
            </w:r>
          </w:p>
        </w:tc>
      </w:tr>
      <w:tr>
        <w:trPr>
          <w:trHeight w:val="250"/>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Registered Office:</w:t>
            </w:r>
          </w:p>
        </w:tc>
        <w:tc>
          <w:tcPr>
            <w:tcW w:w="7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Lilly House, Priestley Road, Basingstoke, Hants RG24 9NL</w:t>
            </w:r>
          </w:p>
        </w:tc>
      </w:tr>
      <w:tr>
        <w:trPr>
          <w:trHeight w:val="250"/>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Registration Number:</w:t>
            </w:r>
          </w:p>
        </w:tc>
        <w:tc>
          <w:tcPr>
            <w:tcW w:w="7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00284385</w:t>
            </w:r>
          </w:p>
        </w:tc>
      </w:tr>
      <w:tr>
        <w:trPr>
          <w:trHeight w:val="250"/>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Corporation Tax Reference:</w:t>
            </w:r>
          </w:p>
        </w:tc>
        <w:tc>
          <w:tcPr>
            <w:tcW w:w="7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7953096404</w:t>
            </w:r>
          </w:p>
        </w:tc>
      </w:tr>
      <w:tr>
        <w:trPr>
          <w:trHeight w:val="250"/>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PAYE Reference:</w:t>
            </w:r>
          </w:p>
        </w:tc>
        <w:tc>
          <w:tcPr>
            <w:tcW w:w="7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581/ML114</w:t>
            </w:r>
          </w:p>
        </w:tc>
      </w:tr>
    </w:tbl>
    <w:p>
      <w:pPr>
        <w:sectPr>
          <w:pgSz w:w="11900" w:h="16838" w:orient="portrait"/>
          <w:cols w:equalWidth="0" w:num="1">
            <w:col w:w="10980"/>
          </w:cols>
          <w:pgMar w:left="500" w:top="571" w:right="41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Exhibit 10.5 — Restricted Stock Unit Award to Michael Harrington under the 2002 Lilly Stock Plan</w:t>
      </w:r>
    </w:p>
    <w:p>
      <w:pPr>
        <w:spacing w:after="0" w:line="214" w:lineRule="exact"/>
        <w:rPr>
          <w:sz w:val="20"/>
          <w:szCs w:val="20"/>
          <w:color w:val="auto"/>
        </w:rPr>
      </w:pPr>
    </w:p>
    <w:p>
      <w:pPr>
        <w:ind w:left="3840"/>
        <w:spacing w:after="0"/>
        <w:rPr>
          <w:sz w:val="20"/>
          <w:szCs w:val="20"/>
          <w:color w:val="auto"/>
        </w:rPr>
      </w:pPr>
      <w:r>
        <w:rPr>
          <w:rFonts w:ascii="Arial" w:cs="Arial" w:eastAsia="Arial" w:hAnsi="Arial"/>
          <w:sz w:val="36"/>
          <w:szCs w:val="36"/>
          <w:b w:val="1"/>
          <w:bCs w:val="1"/>
          <w:color w:val="auto"/>
        </w:rPr>
        <w:t>Eli Lilly and Company</w:t>
      </w:r>
    </w:p>
    <w:p>
      <w:pPr>
        <w:spacing w:after="0" w:line="64" w:lineRule="exact"/>
        <w:rPr>
          <w:sz w:val="20"/>
          <w:szCs w:val="20"/>
          <w:color w:val="auto"/>
        </w:rPr>
      </w:pPr>
    </w:p>
    <w:p>
      <w:pPr>
        <w:ind w:left="3900"/>
        <w:spacing w:after="0"/>
        <w:rPr>
          <w:sz w:val="20"/>
          <w:szCs w:val="20"/>
          <w:color w:val="auto"/>
        </w:rPr>
      </w:pPr>
      <w:r>
        <w:rPr>
          <w:rFonts w:ascii="Arial" w:cs="Arial" w:eastAsia="Arial" w:hAnsi="Arial"/>
          <w:sz w:val="36"/>
          <w:szCs w:val="36"/>
          <w:b w:val="1"/>
          <w:bCs w:val="1"/>
          <w:color w:val="auto"/>
        </w:rPr>
        <w:t>Restricted Stock Unit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36"/>
          <w:szCs w:val="36"/>
          <w:b w:val="1"/>
          <w:bCs w:val="1"/>
          <w:color w:val="auto"/>
        </w:rPr>
        <w:t>(for Executive Officer)</w:t>
      </w:r>
    </w:p>
    <w:p>
      <w:pPr>
        <w:spacing w:after="0" w:line="200" w:lineRule="exact"/>
        <w:rPr>
          <w:sz w:val="20"/>
          <w:szCs w:val="20"/>
          <w:color w:val="auto"/>
        </w:rPr>
      </w:pPr>
    </w:p>
    <w:p>
      <w:pPr>
        <w:spacing w:after="0" w:line="23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This Restricted Stock Unit Award has been granted on January 2, 2020, by Eli Lilly and Company, an Indiana corporation, with its principal offices in Indianapolis, Indiana (“Lilly” or the “Company”), to Grantee.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Number of Shares: Log into Merrill Lynch recordkeeping information at http://myequity.lilly.com</w:t>
      </w:r>
    </w:p>
    <w:p>
      <w:pPr>
        <w:spacing w:after="0" w:line="225"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Restriction Lapse:</w:t>
        <w:tab/>
        <w:t xml:space="preserve">January 2, 2021 </w:t>
      </w:r>
      <w:r>
        <w:rPr>
          <w:rFonts w:ascii="Arial" w:cs="Arial" w:eastAsia="Arial" w:hAnsi="Arial"/>
          <w:sz w:val="14"/>
          <w:szCs w:val="14"/>
          <w:b w:val="1"/>
          <w:bCs w:val="1"/>
          <w:color w:val="auto"/>
        </w:rPr>
        <w:t>(except as otherwise provided in this instrument)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Recitals</w:t>
      </w:r>
    </w:p>
    <w:p>
      <w:pPr>
        <w:spacing w:after="0" w:line="85"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Under the AMENDED AND RESTATED 2002 LILLY STOCK PLAN (“2002 Plan”), the Compensation Committee (“Committee”) has determined the form of this Restricted Stock Unit Award (“Award”) and selected the Grantee, an Eligible Employee of the Company or one of its subsidiaries, to receive a Restricted Stock Unit Award. The applicable terms of the 2002 Plan are incorporated in this Restricted Stock Unit Award by reference, including the definitions of terms contained in the 2002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Restricted Stock Unit</w:t>
      </w:r>
    </w:p>
    <w:p>
      <w:pPr>
        <w:spacing w:after="0" w:line="85"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Lilly grants to the Grantee this Award of Restricted Stock Units, with each Restricted Stock Unit representing the right to receive one share of Eli Lilly and Company Common Stock (“Lilly Stock”), plus an amount of cash pursuant to Section 2 (b), subject to certain restrictions and on the terms and conditions contained in this Award and the 2002 Plan. In the event of any conflict between the terms of the 2002 Plan and this Award, the terms of the 2002 Plan shall govern, except as specifically provided in Sections 3, 7 and 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Number of Restricted Stock Units</w:t>
      </w:r>
    </w:p>
    <w:p>
      <w:pPr>
        <w:spacing w:after="0" w:line="85" w:lineRule="exact"/>
        <w:rPr>
          <w:sz w:val="20"/>
          <w:szCs w:val="20"/>
          <w:color w:val="auto"/>
        </w:rPr>
      </w:pPr>
    </w:p>
    <w:p>
      <w:pPr>
        <w:ind w:left="400" w:right="80"/>
        <w:spacing w:after="0" w:line="262" w:lineRule="auto"/>
        <w:rPr>
          <w:sz w:val="20"/>
          <w:szCs w:val="20"/>
          <w:color w:val="auto"/>
        </w:rPr>
      </w:pPr>
      <w:r>
        <w:rPr>
          <w:rFonts w:ascii="Arial" w:cs="Arial" w:eastAsia="Arial" w:hAnsi="Arial"/>
          <w:sz w:val="18"/>
          <w:szCs w:val="18"/>
          <w:color w:val="auto"/>
        </w:rPr>
        <w:t>Subject to adjustment as provided in Section 26, the Grantee may receive the number of shares of Lilly Stock as outlined on the first page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Rights of the Grantee</w:t>
      </w:r>
    </w:p>
    <w:p>
      <w:pPr>
        <w:spacing w:after="0" w:line="85" w:lineRule="exact"/>
        <w:rPr>
          <w:sz w:val="20"/>
          <w:szCs w:val="20"/>
          <w:color w:val="auto"/>
        </w:rPr>
      </w:pPr>
    </w:p>
    <w:p>
      <w:pPr>
        <w:jc w:val="both"/>
        <w:ind w:left="820" w:hanging="258"/>
        <w:spacing w:after="0" w:line="252" w:lineRule="auto"/>
        <w:tabs>
          <w:tab w:leader="none" w:pos="8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Restricted Stock Units granted pursuant to this Award do not and shall not entitle Grantee to any rights of a shareholder of Lilly Stock until the Restricted Stock Units vest and shares of Lilly Stock are issued or transferred. No shares of Lilly Stock shall be issued or transferred to Grantee prior to the date on which the Restricted Stock Units vest and the restrictions with respect to the Restricted Stock Units lapse. The rights of Grantee with respect to the Restricted Stock Units shall remain forfeitable at all times prior to the date on which the Restricted Stock Units become vested and the restrictions with respect to the Restricted Stock Units lapse.</w:t>
      </w:r>
    </w:p>
    <w:p>
      <w:pPr>
        <w:spacing w:after="0" w:line="208" w:lineRule="exact"/>
        <w:rPr>
          <w:rFonts w:ascii="Arial" w:cs="Arial" w:eastAsia="Arial" w:hAnsi="Arial"/>
          <w:sz w:val="18"/>
          <w:szCs w:val="18"/>
          <w:color w:val="auto"/>
        </w:rPr>
      </w:pPr>
    </w:p>
    <w:p>
      <w:pPr>
        <w:jc w:val="both"/>
        <w:ind w:left="820" w:hanging="258"/>
        <w:spacing w:after="0" w:line="252" w:lineRule="auto"/>
        <w:tabs>
          <w:tab w:leader="none" w:pos="8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Dividend Equivalent Units</w:t>
      </w:r>
      <w:r>
        <w:rPr>
          <w:rFonts w:ascii="Arial" w:cs="Arial" w:eastAsia="Arial" w:hAnsi="Arial"/>
          <w:sz w:val="18"/>
          <w:szCs w:val="18"/>
          <w:color w:val="auto"/>
        </w:rPr>
        <w:t>. As long as the Grantee holds Restricted Stock Units granted pursuant to this Award, the Company shall accrue for the Grantee, on each date that the Company pays a cash dividend to holders of Lilly Stock, Dividend Equivalent Units equal to the total number of Restricted Stock Units credited to the Grantee under this Award multiplied by the dollar amount of the cash dividend paid per share of Lilly Stock by the Company on such date. Dividend Equivalent Units shall accrue in an account denominated in U.S. dollars and shall not accrue interest or other credits prior to being paid. The accrued Dividend Equivalent Units shall be subject to the same restrictions as the Restricted Stock Units to which the Dividend Equivalent Units relate, and the Dividend Equivalent Units shall be forfeited in the event that the Restricted Stock Units with respect to which such Dividend Equivalent Units were credited are forfeited.</w:t>
      </w:r>
    </w:p>
    <w:p>
      <w:pPr>
        <w:spacing w:after="0" w:line="206" w:lineRule="exact"/>
        <w:rPr>
          <w:rFonts w:ascii="Arial" w:cs="Arial" w:eastAsia="Arial" w:hAnsi="Arial"/>
          <w:sz w:val="18"/>
          <w:szCs w:val="18"/>
          <w:color w:val="auto"/>
        </w:rPr>
      </w:pPr>
    </w:p>
    <w:p>
      <w:pPr>
        <w:ind w:left="820" w:hanging="258"/>
        <w:spacing w:after="0" w:line="262" w:lineRule="auto"/>
        <w:tabs>
          <w:tab w:leader="none" w:pos="8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nor any action pursuant to or in accordance with this Award shall be construed to create a trust of any kind. The right of Grantee</w:t>
      </w:r>
    </w:p>
    <w:p>
      <w:pPr>
        <w:sectPr>
          <w:pgSz w:w="11900" w:h="16838" w:orient="portrait"/>
          <w:cols w:equalWidth="0" w:num="1">
            <w:col w:w="11420"/>
          </w:cols>
          <w:pgMar w:left="240" w:top="549" w:right="239" w:bottom="1440" w:gutter="0" w:footer="0" w:header="0"/>
        </w:sectPr>
      </w:pPr>
    </w:p>
    <w:bookmarkStart w:id="190" w:name="page191"/>
    <w:bookmarkEnd w:id="190"/>
    <w:p>
      <w:pPr>
        <w:ind w:left="820"/>
        <w:spacing w:after="0"/>
        <w:rPr>
          <w:sz w:val="20"/>
          <w:szCs w:val="20"/>
          <w:color w:val="auto"/>
        </w:rPr>
      </w:pPr>
      <w:r>
        <w:rPr>
          <w:rFonts w:ascii="Arial" w:cs="Arial" w:eastAsia="Arial" w:hAnsi="Arial"/>
          <w:sz w:val="18"/>
          <w:szCs w:val="18"/>
          <w:color w:val="auto"/>
        </w:rPr>
        <w:t>to receive payments of cash or Lilly Stock under this Award shall be an unsecured claim against the general assets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Restriction Period</w:t>
      </w:r>
    </w:p>
    <w:p>
      <w:pPr>
        <w:spacing w:after="0" w:line="85" w:lineRule="exact"/>
        <w:rPr>
          <w:sz w:val="20"/>
          <w:szCs w:val="20"/>
          <w:color w:val="auto"/>
        </w:rPr>
      </w:pPr>
    </w:p>
    <w:p>
      <w:pPr>
        <w:ind w:left="400"/>
        <w:spacing w:after="0" w:line="250" w:lineRule="auto"/>
        <w:rPr>
          <w:sz w:val="20"/>
          <w:szCs w:val="20"/>
          <w:color w:val="auto"/>
        </w:rPr>
      </w:pPr>
      <w:r>
        <w:rPr>
          <w:rFonts w:ascii="Arial" w:cs="Arial" w:eastAsia="Arial" w:hAnsi="Arial"/>
          <w:sz w:val="18"/>
          <w:szCs w:val="18"/>
          <w:color w:val="auto"/>
        </w:rPr>
        <w:t>The period of restriction (“Restriction Period”) under this Award shall commence on the effective date of the Award and expire at the close of business on the earliest of the following dates:</w:t>
      </w:r>
    </w:p>
    <w:p>
      <w:pPr>
        <w:spacing w:after="0" w:line="1" w:lineRule="exact"/>
        <w:rPr>
          <w:sz w:val="20"/>
          <w:szCs w:val="20"/>
          <w:color w:val="auto"/>
        </w:rPr>
      </w:pPr>
    </w:p>
    <w:p>
      <w:pPr>
        <w:ind w:left="820" w:hanging="258"/>
        <w:spacing w:after="0"/>
        <w:tabs>
          <w:tab w:leader="none" w:pos="8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January 2, 2021, or</w:t>
      </w:r>
    </w:p>
    <w:p>
      <w:pPr>
        <w:spacing w:after="0" w:line="9" w:lineRule="exact"/>
        <w:rPr>
          <w:rFonts w:ascii="Arial" w:cs="Arial" w:eastAsia="Arial" w:hAnsi="Arial"/>
          <w:sz w:val="18"/>
          <w:szCs w:val="18"/>
          <w:color w:val="auto"/>
        </w:rPr>
      </w:pPr>
    </w:p>
    <w:p>
      <w:pPr>
        <w:ind w:left="820" w:right="4760" w:hanging="258"/>
        <w:spacing w:after="0" w:line="313" w:lineRule="auto"/>
        <w:tabs>
          <w:tab w:leader="none" w:pos="8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date the Grantee’s employment is subject to a Qualifying Termination. A “Qualifying Termination” means any one of the following:</w:t>
      </w:r>
    </w:p>
    <w:p>
      <w:pPr>
        <w:ind w:left="1620" w:hanging="315"/>
        <w:spacing w:after="0"/>
        <w:tabs>
          <w:tab w:leader="none" w:pos="1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date of death of the Grantee while in the active service of the Company or any subsidiary;</w:t>
      </w:r>
    </w:p>
    <w:p>
      <w:pPr>
        <w:spacing w:after="0" w:line="9" w:lineRule="exact"/>
        <w:rPr>
          <w:rFonts w:ascii="Arial" w:cs="Arial" w:eastAsia="Arial" w:hAnsi="Arial"/>
          <w:sz w:val="18"/>
          <w:szCs w:val="18"/>
          <w:color w:val="auto"/>
        </w:rPr>
      </w:pPr>
    </w:p>
    <w:p>
      <w:pPr>
        <w:ind w:left="1620" w:hanging="315"/>
        <w:spacing w:after="0" w:line="250" w:lineRule="auto"/>
        <w:tabs>
          <w:tab w:leader="none" w:pos="1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date the Grantee’s employment is terminated by reason of “disability,” within the meaning of Section 409A of the U.S. Internal Revenue Code (the “Code”);</w:t>
      </w:r>
    </w:p>
    <w:p>
      <w:pPr>
        <w:jc w:val="both"/>
        <w:ind w:left="1620" w:hanging="315"/>
        <w:spacing w:after="0" w:line="250" w:lineRule="auto"/>
        <w:tabs>
          <w:tab w:leader="none" w:pos="1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date the Grantee suffers a “separation from service” from Lilly or the Employer, within the meaning of Section 409A of the Code (a “Section 409A Separation”), and such separation from service is due to a plant closing or reduction in workforce as defined below, or, in the event that the Award constitutes an item of non-qualified deferred compensation subject to Section 409A of the Code, the date that the Grantee suffers a Section 409A Separation;</w:t>
      </w:r>
    </w:p>
    <w:p>
      <w:pPr>
        <w:spacing w:after="0" w:line="1" w:lineRule="exact"/>
        <w:rPr>
          <w:rFonts w:ascii="Arial" w:cs="Arial" w:eastAsia="Arial" w:hAnsi="Arial"/>
          <w:sz w:val="18"/>
          <w:szCs w:val="18"/>
          <w:color w:val="auto"/>
        </w:rPr>
      </w:pPr>
    </w:p>
    <w:p>
      <w:pPr>
        <w:jc w:val="both"/>
        <w:ind w:left="1620" w:hanging="315"/>
        <w:spacing w:after="0" w:line="256" w:lineRule="auto"/>
        <w:tabs>
          <w:tab w:leader="none" w:pos="1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date the Grantee’s employment is terminated as a result of the Grantee’s failure to locate a position within the Company or any of its subsidiaries or affiliates following the placement of the Grantee on reallocation or medical reassignment in the United States (or its equivalent outside the United States as determined by the Committee).</w:t>
      </w:r>
    </w:p>
    <w:p>
      <w:pPr>
        <w:spacing w:after="0" w:line="202"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employment. Reduction in workforce means the elimination of a work group, functional or business unit or other broadly applicable reduction in job positions that directly results in termination of employment.</w:t>
      </w:r>
    </w:p>
    <w:p>
      <w:pPr>
        <w:spacing w:after="0" w:line="202"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color w:val="auto"/>
        </w:rPr>
        <w:t>The Committee’s determination as to whether (i) the Grantee’s employment has been terminated by reason of disability, (ii) a leave of absence or a transfer of employment between Lilly and a subsidiary or between Lilly subsidiaries constitutes a termination of employment,</w:t>
      </w:r>
    </w:p>
    <w:p>
      <w:pPr>
        <w:spacing w:after="0" w:line="1" w:lineRule="exact"/>
        <w:rPr>
          <w:sz w:val="20"/>
          <w:szCs w:val="20"/>
          <w:color w:val="auto"/>
        </w:rPr>
      </w:pPr>
    </w:p>
    <w:p>
      <w:pPr>
        <w:jc w:val="both"/>
        <w:ind w:left="400"/>
        <w:spacing w:after="0" w:line="253" w:lineRule="auto"/>
        <w:tabs>
          <w:tab w:leader="none" w:pos="70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Grantee’s termination is a direct result of either a plant closing or a reduction in workforce, or (iv) the Grantee’s employment has been terminated as a result of the failure to locate a position within the Company or any of its subsidiaries or affiliates following reallocation or medical reassignment (or its equivalent outside the United States as determined by the Committee), shall be final and binding on the Grantee. Notwithstanding anything in Section 10(a) of the 2002 Plan to the contrary, the Committee shall not modify the expiration dates set forth in this Award so as to accelerate the termination of the Restriction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Retirement</w:t>
      </w:r>
    </w:p>
    <w:p>
      <w:pPr>
        <w:spacing w:after="0" w:line="85"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In the event the Grantee’s employment is terminated due to retirement, the Award will continue pursuant to the established Restriction Period schedule. The Award will be paid in full to the retiree upon the lapse of all restrictions as noted in Section 9. A retiree is a person who is (i) a retired employee under the Lilly Retirement Plan; (ii) a retired employee under the retirement plan or program of a Lilly subsidiary; or (iii) a retired employee under a retirement program specifically approved by the Committee.</w:t>
      </w:r>
    </w:p>
    <w:p>
      <w:pPr>
        <w:spacing w:after="0" w:line="204"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A Grantee who has not received a year-end individual performance rating and (i) is on employment probation (or its equivalent outside the United States, as determined by the Committee) for unsatisfactory performance and takes retirement in lieu of a termination of employment; or (ii) takes retirement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Record of the Award</w:t>
      </w:r>
    </w:p>
    <w:p>
      <w:pPr>
        <w:spacing w:after="0" w:line="85"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During the Restriction Period, records of the Award and accumulated Dividend Equivalent Units will reside in an account at the Company or an Equity Administration Agent designated by the Company.</w:t>
      </w:r>
    </w:p>
    <w:p>
      <w:pPr>
        <w:sectPr>
          <w:pgSz w:w="11900" w:h="16838" w:orient="portrait"/>
          <w:cols w:equalWidth="0" w:num="1">
            <w:col w:w="11420"/>
          </w:cols>
          <w:pgMar w:left="240" w:top="571" w:right="2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Section 6. Conditions During Restriction Period</w:t>
      </w:r>
    </w:p>
    <w:p>
      <w:pPr>
        <w:spacing w:after="0" w:line="85" w:lineRule="exact"/>
        <w:rPr>
          <w:sz w:val="20"/>
          <w:szCs w:val="20"/>
          <w:color w:val="auto"/>
        </w:rPr>
      </w:pPr>
    </w:p>
    <w:p>
      <w:pPr>
        <w:jc w:val="both"/>
        <w:ind w:left="820" w:hanging="258"/>
        <w:spacing w:after="0" w:line="256" w:lineRule="auto"/>
        <w:tabs>
          <w:tab w:leader="none" w:pos="8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During the entire Restriction Period, the employment of the Grantee with the Company (or a subsidiary of the Company) must not terminate except for reasons specified in Sections 3(b) or 4. “Termination of employment” shall mean the cessation for any reason of the relationship of employer and employee between the Grantee and the Company (or a subsidiary of the Company).</w:t>
      </w:r>
    </w:p>
    <w:p>
      <w:pPr>
        <w:spacing w:after="0" w:line="201" w:lineRule="exact"/>
        <w:rPr>
          <w:rFonts w:ascii="Arial" w:cs="Arial" w:eastAsia="Arial" w:hAnsi="Arial"/>
          <w:sz w:val="18"/>
          <w:szCs w:val="18"/>
          <w:color w:val="auto"/>
        </w:rPr>
      </w:pPr>
    </w:p>
    <w:p>
      <w:pPr>
        <w:jc w:val="both"/>
        <w:ind w:left="820" w:hanging="258"/>
        <w:spacing w:after="0" w:line="252" w:lineRule="auto"/>
        <w:tabs>
          <w:tab w:leader="none" w:pos="8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Committee may, at its discretion, cancel this Restricted Stock Unit Award or reduce the number of Restricted Stock Units and any accrued Dividend Equivalent Units, prorated according to time or other measure as deemed appropriate by the Committee, if during any portion of the Award Period, including the Restriction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Consequences of Breach of Conditions</w:t>
      </w:r>
    </w:p>
    <w:p>
      <w:pPr>
        <w:spacing w:after="0" w:line="85"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If any of the conditions that must continue to be satisfied during the Restriction Period under Section 6(a) is breached during the Restriction Period, either by act of the Grantee or otherwise, the Grantee, by accepting this Award, agrees that upon such breach all interest of the Grantee in the Restricted Stock Units and associated Dividend Equivalent Units shall terminate and be forfeited.</w:t>
      </w:r>
    </w:p>
    <w:p>
      <w:pPr>
        <w:spacing w:after="0" w:line="202"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The Committee’s determination regarding the conditions specified in Section 6 (and any breach thereof) shall be final and binding on the Grantee. The Company shall incur no liability to the Grantee under this Award by terminating the Grantee's status as an Eligible Employee, whether by action with respect to the Grantee individually, either with or without cause, or by dissolution or liquidation of Lilly or merger or consolidation of Lilly with a corporation in which Lilly is not the surviving corporation, or otherwise. Notwithstanding anything in Section 10(a) of the 2002 Plan to the contrary, the Committee shall not waive the breach of the conditions set forth in Section 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Committee Election to Pay Cash</w:t>
      </w:r>
    </w:p>
    <w:p>
      <w:pPr>
        <w:spacing w:after="0" w:line="85"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At any time during the Restriction Period or until paid in accordance with Section 9, the Committee may, if it so elects, determine to pay part or all of the Restricted Stock Units in cash in lieu of issuing or transferring shares of Lilly Stock. The amount of cash shall be based upon the fair market value of Lilly Stock at the end of the Restriction Period as outlined in Section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Lapse of Restrictions</w:t>
      </w:r>
    </w:p>
    <w:p>
      <w:pPr>
        <w:spacing w:after="0" w:line="8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At the end of the Restriction Period, if the conditions specified in Section 6 have not been breached during the Restriction Period, all restrictions shall terminate. The Award shall be paid to Grantee within a sixty-day period starting the day after the end of the Restriction Period and ending on the sixtieth day after the end of the Restriction Period, but no later than December 31 of the year in which the Restriction Period ends, as follows:</w:t>
      </w:r>
    </w:p>
    <w:p>
      <w:pPr>
        <w:spacing w:after="0" w:line="204" w:lineRule="exact"/>
        <w:rPr>
          <w:sz w:val="20"/>
          <w:szCs w:val="20"/>
          <w:color w:val="auto"/>
        </w:rPr>
      </w:pPr>
    </w:p>
    <w:p>
      <w:pPr>
        <w:jc w:val="both"/>
        <w:ind w:left="880" w:hanging="318"/>
        <w:spacing w:after="0" w:line="256" w:lineRule="auto"/>
        <w:tabs>
          <w:tab w:leader="none" w:pos="8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Lilly shall issue or transfer to the Grantee shares of Lilly Stock or the cash equivalent, as described in Section 8 above, equal to one share per Restricted Stock Unit subject to the withholding tax provisions in Section 14 below. In the event Grantee is entitled to a fractional share, the fraction may be paid in cash or rounded, in the Committee’s discretion.</w:t>
      </w:r>
    </w:p>
    <w:p>
      <w:pPr>
        <w:spacing w:after="0" w:line="201" w:lineRule="exact"/>
        <w:rPr>
          <w:rFonts w:ascii="Arial" w:cs="Arial" w:eastAsia="Arial" w:hAnsi="Arial"/>
          <w:sz w:val="18"/>
          <w:szCs w:val="18"/>
          <w:color w:val="auto"/>
        </w:rPr>
      </w:pPr>
    </w:p>
    <w:p>
      <w:pPr>
        <w:ind w:left="880" w:hanging="318"/>
        <w:spacing w:after="0" w:line="262" w:lineRule="auto"/>
        <w:tabs>
          <w:tab w:leader="none" w:pos="8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Lilly shall pay to the Grantee in cash all accrued Dividend Equivalent Units following deduction for Tax-Related Items in accordance with Section 13 below.</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In the event that the Restriction Period ends by reason of death of the Grantee, the payments as described above shall be made to the Successor Grantee. Notwithstanding anything in Section 10(a) of the 2002 Plan to the contrary, the Committee shall not direct that the restrictions on this Award will lapse other than as expressly set forth in this Award. Notwithstanding the foregoing, if the Grantee is treated as a “specified employee” within the meaning of Section 409A of the Code as of the date of any payment hereunder, the commencement of any payment shall be delayed in accordance with Section 15 below.</w:t>
      </w:r>
    </w:p>
    <w:p>
      <w:pPr>
        <w:sectPr>
          <w:pgSz w:w="11900" w:h="16838" w:orient="portrait"/>
          <w:cols w:equalWidth="0" w:num="1">
            <w:col w:w="11420"/>
          </w:cols>
          <w:pgMar w:left="240" w:top="765"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Section 10. Revocation or Modification of Award</w:t>
      </w:r>
    </w:p>
    <w:p>
      <w:pPr>
        <w:spacing w:after="0" w:line="85"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This Award shall be irrevocable except that Lilly shall have the right to revoke or modify this Award under Sections 13(e) and/or 13(k) of the 2002 Plan or pursuant to Section 7 above or Section 27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Prohibition Against Transfer</w:t>
      </w:r>
    </w:p>
    <w:p>
      <w:pPr>
        <w:spacing w:after="0" w:line="85"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The right of a Grantee to receive payments of Lilly Stock and/or cash under this Award may not be transferred except to a duly appointed guardian of the estate of Grantee or to a Successor Grantee by will or the applicable laws of descent and distribution and then only subject to the provisions of this Award. A Grantee may not assign, sell, pledge, or otherwise transfer Lilly Stock or cash to which he or she may be entitled hereunder prior to transfer or payment thereof to the Grantee, and any such attempted assignment, sale, pledge or transfer shall be void.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Notices, Payments and Electronic Delivery and Participation</w:t>
      </w:r>
    </w:p>
    <w:p>
      <w:pPr>
        <w:spacing w:after="0" w:line="85" w:lineRule="exact"/>
        <w:rPr>
          <w:sz w:val="20"/>
          <w:szCs w:val="20"/>
          <w:color w:val="auto"/>
        </w:rPr>
      </w:pPr>
    </w:p>
    <w:p>
      <w:pPr>
        <w:jc w:val="both"/>
        <w:ind w:left="400"/>
        <w:spacing w:after="0" w:line="252" w:lineRule="auto"/>
        <w:rPr>
          <w:sz w:val="20"/>
          <w:szCs w:val="20"/>
          <w:color w:val="auto"/>
        </w:rPr>
      </w:pPr>
      <w:r>
        <w:rPr>
          <w:rFonts w:ascii="Arial" w:cs="Arial" w:eastAsia="Arial" w:hAnsi="Arial"/>
          <w:sz w:val="18"/>
          <w:szCs w:val="18"/>
          <w:color w:val="auto"/>
        </w:rPr>
        <w:t>Any notice to be given by the Grantee or Successor Grantee shall be in writing, and any notice or payment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2002 Plan by electronic means or request the Grantee’s consent to participate in the 2002 Plan by electronic means. By accepting this Award, the Grantee hereby consents to receive such documents by electronic delivery and agrees to participate in the 2002 Plan through an on-line or electronic system established and maintained by Lilly or a third party designated by Lilly.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Waiver</w:t>
      </w:r>
    </w:p>
    <w:p>
      <w:pPr>
        <w:spacing w:after="0" w:line="85"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The waiver by Lilly of any provision of this instrument at any time or for any purpose shall not operate as or be construed to be a waiver of the same or any other provision of this instrument at any subsequent time or for any other purpose.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Responsibility for Taxes</w:t>
      </w:r>
    </w:p>
    <w:p>
      <w:pPr>
        <w:spacing w:after="0" w:line="85" w:lineRule="exact"/>
        <w:rPr>
          <w:sz w:val="20"/>
          <w:szCs w:val="20"/>
          <w:color w:val="auto"/>
        </w:rPr>
      </w:pPr>
    </w:p>
    <w:p>
      <w:pPr>
        <w:jc w:val="both"/>
        <w:ind w:left="400"/>
        <w:spacing w:after="0" w:line="251" w:lineRule="auto"/>
        <w:rPr>
          <w:sz w:val="20"/>
          <w:szCs w:val="20"/>
          <w:color w:val="auto"/>
        </w:rPr>
      </w:pPr>
      <w:r>
        <w:rPr>
          <w:rFonts w:ascii="Arial" w:cs="Arial" w:eastAsia="Arial" w:hAnsi="Arial"/>
          <w:sz w:val="18"/>
          <w:szCs w:val="18"/>
          <w:color w:val="auto"/>
        </w:rPr>
        <w:t>Regardless of any action Lilly and/or the Grantee’s employer (the “Employer”) takes with respect to any or all income tax (including federal, state, local and non-U.S. tax), social insurance, payroll tax, fringe benefits tax, payment on account or other tax-related items related to the Grantee’s participation in the 2002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(a) make no representations or undertakings regarding the treatment of any Tax Related Items in connection with any aspect of the Award, including the grant of the Restricted Stock Units, the accrual of Dividend Equivalent Units, the vesting of the Restricted Stock Units and the lapse of restrictions, the transfer and issuance of any shares of Lilly Stock, the receipt of any cash payment pursuant to the Award, the receipt of any dividends and the sale of any shares of Lilly Stock acquired pursuant to this Award; and (b)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211"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spacing w:after="0" w:line="196" w:lineRule="exact"/>
        <w:rPr>
          <w:sz w:val="20"/>
          <w:szCs w:val="20"/>
          <w:color w:val="auto"/>
        </w:rPr>
      </w:pPr>
    </w:p>
    <w:p>
      <w:pPr>
        <w:jc w:val="both"/>
        <w:ind w:left="820" w:hanging="258"/>
        <w:spacing w:after="0" w:line="254" w:lineRule="auto"/>
        <w:tabs>
          <w:tab w:leader="none" w:pos="8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Dividend Equivalent Units paid to the Grantee in cash and in the case of any Restricted Stock Units paid to the Grantee in cash in lieu of shares of Lilly Stock,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204" w:lineRule="exact"/>
        <w:rPr>
          <w:rFonts w:ascii="Arial" w:cs="Arial" w:eastAsia="Arial" w:hAnsi="Arial"/>
          <w:sz w:val="18"/>
          <w:szCs w:val="18"/>
          <w:color w:val="auto"/>
        </w:rPr>
      </w:pPr>
    </w:p>
    <w:p>
      <w:pPr>
        <w:ind w:left="820" w:hanging="258"/>
        <w:spacing w:after="0" w:line="262" w:lineRule="auto"/>
        <w:tabs>
          <w:tab w:leader="none" w:pos="8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the Restricted Stock Units are paid in shares of Lilly Stock and the Grantee is not subject to the short-swing profit rules of Section 16(b) of the 1934 Act, the Grantee authorizes Lilly and/or the</w:t>
      </w:r>
    </w:p>
    <w:p>
      <w:pPr>
        <w:sectPr>
          <w:pgSz w:w="11900" w:h="16838" w:orient="portrait"/>
          <w:cols w:equalWidth="0" w:num="1">
            <w:col w:w="11420"/>
          </w:cols>
          <w:pgMar w:left="240" w:top="765" w:right="239" w:bottom="1440" w:gutter="0" w:footer="0" w:header="0"/>
        </w:sectPr>
      </w:pPr>
    </w:p>
    <w:bookmarkStart w:id="193" w:name="page194"/>
    <w:bookmarkEnd w:id="193"/>
    <w:p>
      <w:pPr>
        <w:jc w:val="both"/>
        <w:ind w:left="820"/>
        <w:spacing w:after="0" w:line="252" w:lineRule="auto"/>
        <w:rPr>
          <w:sz w:val="20"/>
          <w:szCs w:val="20"/>
          <w:color w:val="auto"/>
        </w:rPr>
      </w:pPr>
      <w:r>
        <w:rPr>
          <w:rFonts w:ascii="Arial" w:cs="Arial" w:eastAsia="Arial" w:hAnsi="Arial"/>
          <w:sz w:val="18"/>
          <w:szCs w:val="18"/>
          <w:color w:val="auto"/>
        </w:rPr>
        <w:t>Employer, or their respective agents, at their discretion, to (i) withhold from the Grantee’s wages or other cash compensation paid to the Grantee by the Company and/or the Employer, (ii) arrange for the sale of shares of Lilly Stock to be issued upon the expiration of the Restriction Period (on the Grantee’s behalf and at the Grantee’s direction pursuant to this authorization or such other authorization as the Grantee may be required to provide to Lilly or its designated broker in order for such sale to be effectuated) and withhold from the proceeds of such sale, and/or (iii) withhold in shares of Lilly Stock otherwise issuable to the Grantee pursuant to this Award.</w:t>
      </w:r>
    </w:p>
    <w:p>
      <w:pPr>
        <w:spacing w:after="0" w:line="209" w:lineRule="exact"/>
        <w:rPr>
          <w:sz w:val="20"/>
          <w:szCs w:val="20"/>
          <w:color w:val="auto"/>
        </w:rPr>
      </w:pPr>
    </w:p>
    <w:p>
      <w:pPr>
        <w:jc w:val="both"/>
        <w:ind w:left="820" w:hanging="258"/>
        <w:spacing w:after="0" w:line="253" w:lineRule="auto"/>
        <w:tabs>
          <w:tab w:leader="none" w:pos="8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Restricted Stock Units are paid in shares of Lilly Stock and the Grantee is subject to the short-swing profit rules of Section 16(b) of the 1934 Act, Lilly will withhold in shares of Lilly Stock otherwise issuable to the Grantee pursuant to this Award, unless the use of such withholding method is prevented by applicable law or has materially adverse accounting or tax consequences, in which case the withholding obligation for Tax Related Items may be satisfied by one or a combination of the methods set forth in Section 14(b)(i) and (ii) above.</w:t>
      </w:r>
    </w:p>
    <w:p>
      <w:pPr>
        <w:spacing w:after="0" w:line="206" w:lineRule="exact"/>
        <w:rPr>
          <w:sz w:val="20"/>
          <w:szCs w:val="20"/>
          <w:color w:val="auto"/>
        </w:rPr>
      </w:pPr>
    </w:p>
    <w:p>
      <w:pPr>
        <w:jc w:val="both"/>
        <w:ind w:left="400"/>
        <w:spacing w:after="0" w:line="251" w:lineRule="auto"/>
        <w:rPr>
          <w:sz w:val="20"/>
          <w:szCs w:val="20"/>
          <w:color w:val="auto"/>
        </w:rPr>
      </w:pPr>
      <w:r>
        <w:rPr>
          <w:rFonts w:ascii="Arial" w:cs="Arial" w:eastAsia="Arial" w:hAnsi="Arial"/>
          <w:sz w:val="18"/>
          <w:szCs w:val="18"/>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may receive a refund of any over-withheld amount in cash as soon as practicable and without interest and will not be entitled to the equivalent amount in shares of Lilly Stock. If the obligation for Tax Related Items is satisfied by withholding shares of Lilly Stock as described in Section 14(b)(iii) or Section 14(c) above, for tax purposes, the Grantee will be deemed to have been issued the full number of shares of Lilly Stock to which he or she is entitled pursuant to this Award, notwithstanding that a number of shares of Lilly Stock are withheld to satisfy the obligation for Tax Related Items. Lilly may require the Grantee to pay Lilly and/or the Employer any amount of Tax Related Items that Lilly and/or the Employer may be required to withhold or account for as a result of any aspect of this Award that cannot be satisfied by the means previously described. Lilly may refuse to deliver shares of Lilly Stock or any cash payment to the Grantee if the Grantee fails to comply with the Grantee’s obligation in connection with the Tax Related Items as described in this Section 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Section 409A Compliance</w:t>
      </w:r>
    </w:p>
    <w:p>
      <w:pPr>
        <w:spacing w:after="0" w:line="85"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 Notwithstanding anything elsewhere in this Award to the contrary, if the Award constitutes an item of non-qualified deferred compensation subject to Section 409A (“NQ Deferred Compensation”) and the Grantee is treated as a “specified employee” as of the date of any payment pursuant to the Award in connection with the Grantee’s Section 409A Separation, as determined by the Company in accordance with its procedures, then, to the extent required, the Award shall be paid on the earliest of (a) the date set forth in Section 3(a),</w:t>
      </w:r>
    </w:p>
    <w:p>
      <w:pPr>
        <w:spacing w:after="0" w:line="3" w:lineRule="exact"/>
        <w:rPr>
          <w:sz w:val="20"/>
          <w:szCs w:val="20"/>
          <w:color w:val="auto"/>
        </w:rPr>
      </w:pPr>
    </w:p>
    <w:p>
      <w:pPr>
        <w:jc w:val="both"/>
        <w:ind w:left="400"/>
        <w:spacing w:after="0" w:line="256" w:lineRule="auto"/>
        <w:tabs>
          <w:tab w:leader="none" w:pos="69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first day following the six (6) month anniversary of the Grantee’s Section 409A Separation, (c) the date of a “change in control event” within the meaning of Section 409A (a “Section 409A CIC”), and (c) the date of the Grantee’s death. This Award is subject to Section 13(k) of the 2002 Plan concerning Section 409A.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Severability and Section Headings</w:t>
      </w:r>
    </w:p>
    <w:p>
      <w:pPr>
        <w:spacing w:after="0" w:line="85"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If one or more of the provisions of this instrument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instrument to be construed so as to foster the intent of this Award and the 2002 Plan.</w:t>
      </w:r>
    </w:p>
    <w:p>
      <w:pPr>
        <w:spacing w:after="0" w:line="206"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The section headings in this instrument are for convenience of reference only and shall not be deemed a part of, or germane to, the interpretation or construction of this instrument.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Determinations by Committee</w:t>
      </w:r>
    </w:p>
    <w:p>
      <w:pPr>
        <w:spacing w:after="0" w:line="85" w:lineRule="exact"/>
        <w:rPr>
          <w:sz w:val="20"/>
          <w:szCs w:val="20"/>
          <w:color w:val="auto"/>
        </w:rPr>
      </w:pPr>
    </w:p>
    <w:p>
      <w:pPr>
        <w:jc w:val="both"/>
        <w:ind w:left="400" w:right="20"/>
        <w:spacing w:after="0" w:line="262" w:lineRule="auto"/>
        <w:rPr>
          <w:sz w:val="20"/>
          <w:szCs w:val="20"/>
          <w:color w:val="auto"/>
        </w:rPr>
      </w:pPr>
      <w:r>
        <w:rPr>
          <w:rFonts w:ascii="Arial" w:cs="Arial" w:eastAsia="Arial" w:hAnsi="Arial"/>
          <w:sz w:val="18"/>
          <w:szCs w:val="18"/>
          <w:color w:val="auto"/>
        </w:rPr>
        <w:t>Determinations by the Committee pursuant to any provision of the 2002 Plan, pursuant to rules, regulations, and procedures adopted by the Committee, or pursuant to this instrument, including what constitutes “misconduct”</w:t>
      </w:r>
    </w:p>
    <w:p>
      <w:pPr>
        <w:sectPr>
          <w:pgSz w:w="11900" w:h="16838" w:orient="portrait"/>
          <w:cols w:equalWidth="0" w:num="1">
            <w:col w:w="11420"/>
          </w:cols>
          <w:pgMar w:left="240" w:top="571" w:right="239" w:bottom="1440" w:gutter="0" w:footer="0" w:header="0"/>
        </w:sectPr>
      </w:pPr>
    </w:p>
    <w:bookmarkStart w:id="194" w:name="page195"/>
    <w:bookmarkEnd w:id="194"/>
    <w:p>
      <w:pPr>
        <w:ind w:left="400"/>
        <w:spacing w:after="0" w:line="262" w:lineRule="auto"/>
        <w:rPr>
          <w:sz w:val="20"/>
          <w:szCs w:val="20"/>
          <w:color w:val="auto"/>
        </w:rPr>
      </w:pPr>
      <w:r>
        <w:rPr>
          <w:rFonts w:ascii="Arial" w:cs="Arial" w:eastAsia="Arial" w:hAnsi="Arial"/>
          <w:sz w:val="18"/>
          <w:szCs w:val="18"/>
          <w:color w:val="auto"/>
        </w:rPr>
        <w:t>for purposes of Section 28 below and any other determinations under Section 28, shall be final and binding on the Grantee and any Successor Grantee.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Change in Control</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provisions of Section 12(a) of the 2002 Plan apply to this Award with the following modifications:</w:t>
      </w:r>
    </w:p>
    <w:p>
      <w:pPr>
        <w:spacing w:after="0" w:line="225" w:lineRule="exact"/>
        <w:rPr>
          <w:sz w:val="20"/>
          <w:szCs w:val="20"/>
          <w:color w:val="auto"/>
        </w:rPr>
      </w:pPr>
    </w:p>
    <w:p>
      <w:pPr>
        <w:ind w:left="880" w:hanging="318"/>
        <w:spacing w:after="0" w:line="250" w:lineRule="auto"/>
        <w:tabs>
          <w:tab w:leader="none" w:pos="8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18 shall be the consummation of a change in ownership of the Company as defined in Section 12(b)(i) of the 2002 Plan (a “Transaction”).</w:t>
      </w:r>
    </w:p>
    <w:p>
      <w:pPr>
        <w:jc w:val="both"/>
        <w:ind w:left="880" w:hanging="318"/>
        <w:spacing w:after="0" w:line="250" w:lineRule="auto"/>
        <w:tabs>
          <w:tab w:leader="none" w:pos="8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event that the acquiring entity or successor to the Company does not assume, continue or substitute the Award in connection with the Transaction, then the Company shall issue or transfer to the Grantee shares of Lilly Stock, as noted in Section 9, immediately prior to the consummation of the Transaction in order to allow the shares of Lilly Stock to be outstanding and for the Grantee to be eligible to receive the consideration being paid to Lilly shareholders in connection with the Transaction; provided, however, that if (i) the Grantee is subject to U.S. taxation and (ii) the Award constitutes NQ Deferred Compensation and the Transaction is not a Section 409A CIC, then the Grantee shall receive an equivalent amount in cash (based on the fair market value of the Lilly Stock at the time of the consummation of the Transaction) at the time provided under Section 9.</w:t>
      </w:r>
    </w:p>
    <w:p>
      <w:pPr>
        <w:spacing w:after="0" w:line="3" w:lineRule="exact"/>
        <w:rPr>
          <w:rFonts w:ascii="Arial" w:cs="Arial" w:eastAsia="Arial" w:hAnsi="Arial"/>
          <w:sz w:val="18"/>
          <w:szCs w:val="18"/>
          <w:color w:val="auto"/>
        </w:rPr>
      </w:pPr>
    </w:p>
    <w:p>
      <w:pPr>
        <w:jc w:val="both"/>
        <w:ind w:left="880" w:hanging="318"/>
        <w:spacing w:after="0" w:line="250" w:lineRule="auto"/>
        <w:tabs>
          <w:tab w:leader="none" w:pos="8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event that the acquiring entity or successor to the Company assumes, continues or substitutes the Award in connection with the Transaction and the Grantee is subject to a Covered Termination (as defined below) prior to the end of the Restriction Period, the Award shall vest automatically in full and shall be settled in stock of the acquiring or successor corporation within sixty (60) days</w:t>
      </w:r>
    </w:p>
    <w:p>
      <w:pPr>
        <w:spacing w:after="0" w:line="1" w:lineRule="exact"/>
        <w:rPr>
          <w:sz w:val="20"/>
          <w:szCs w:val="20"/>
          <w:color w:val="auto"/>
        </w:rPr>
      </w:pPr>
    </w:p>
    <w:p>
      <w:pPr>
        <w:jc w:val="both"/>
        <w:ind w:left="880"/>
        <w:spacing w:after="0" w:line="250" w:lineRule="auto"/>
        <w:rPr>
          <w:sz w:val="20"/>
          <w:szCs w:val="20"/>
          <w:color w:val="auto"/>
        </w:rPr>
      </w:pPr>
      <w:r>
        <w:rPr>
          <w:rFonts w:ascii="Arial" w:cs="Arial" w:eastAsia="Arial" w:hAnsi="Arial"/>
          <w:sz w:val="18"/>
          <w:szCs w:val="18"/>
          <w:color w:val="auto"/>
        </w:rPr>
        <w:t>of the date of the Covered Termination; provided however, that in the event that the Award constitutes NQ Deferred Compensation, the Award shall instead be settled within sixty (60) days of a Covered Termination that also constitutes a Section 409A Separation, but in no event later than December 31 of the year in which the Section 409A Separation occurs.</w:t>
      </w:r>
    </w:p>
    <w:p>
      <w:pPr>
        <w:spacing w:after="0" w:line="1"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“Covered Termination” for purposes of this Award shall mean a Qualifying Termination, Grantee’s termination due to retirement, Grantee’s termination without Cause or the Grantee’s resignation for Good Reason. “Cause” and “Good Reason” shall have the meanings ascribed to them in the Eli Lilly and Company 2007 Change in Control Severance Pay Plan for Employees or the Eli Lilly and Company 2007 Change in Control Severance Pay Plan for Select Employees (both as amended from time to time) or any successor plan or arrangement thereto, as applicable.</w:t>
      </w:r>
    </w:p>
    <w:p>
      <w:pPr>
        <w:spacing w:after="0" w:line="206"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18, then references to shares of Lilly Stock in this instrument shall be read to mean stock of the acquiring entity or successor to the Company as and when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Nature of 2002 Plan and Award</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225" w:lineRule="exact"/>
        <w:rPr>
          <w:sz w:val="20"/>
          <w:szCs w:val="20"/>
          <w:color w:val="auto"/>
        </w:rPr>
      </w:pPr>
    </w:p>
    <w:p>
      <w:pPr>
        <w:ind w:left="820" w:right="20" w:hanging="259"/>
        <w:spacing w:after="0" w:line="250" w:lineRule="auto"/>
        <w:tabs>
          <w:tab w:leader="none" w:pos="800" w:val="left"/>
        </w:tabs>
        <w:rPr>
          <w:sz w:val="20"/>
          <w:szCs w:val="20"/>
          <w:color w:val="auto"/>
        </w:rPr>
      </w:pPr>
      <w:r>
        <w:rPr>
          <w:rFonts w:ascii="Arial" w:cs="Arial" w:eastAsia="Arial" w:hAnsi="Arial"/>
          <w:sz w:val="18"/>
          <w:szCs w:val="18"/>
          <w:color w:val="auto"/>
        </w:rPr>
        <w:t>a.</w:t>
        <w:tab/>
        <w:t>the 2002 Plan is established voluntarily by Lilly, it is discretionary in nature and it may be modified, amended, suspended or terminated by Lilly at any time, as provided in the 2002 Plan;</w:t>
      </w:r>
    </w:p>
    <w:p>
      <w:pPr>
        <w:spacing w:after="0" w:line="1" w:lineRule="exact"/>
        <w:rPr>
          <w:sz w:val="20"/>
          <w:szCs w:val="20"/>
          <w:color w:val="auto"/>
        </w:rPr>
      </w:pPr>
    </w:p>
    <w:p>
      <w:pPr>
        <w:jc w:val="both"/>
        <w:ind w:left="820" w:hanging="258"/>
        <w:spacing w:after="0" w:line="250" w:lineRule="auto"/>
        <w:tabs>
          <w:tab w:leader="none" w:pos="8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awards of Restricted Stock Units and/or Dividend Equivalent Units, or benefits in lieu thereof, even if Restricted Stock Units and/or Dividend Equivalent Units have been granted in the past;</w:t>
      </w:r>
    </w:p>
    <w:p>
      <w:pPr>
        <w:spacing w:after="0" w:line="1" w:lineRule="exact"/>
        <w:rPr>
          <w:rFonts w:ascii="Arial" w:cs="Arial" w:eastAsia="Arial" w:hAnsi="Arial"/>
          <w:sz w:val="18"/>
          <w:szCs w:val="18"/>
          <w:color w:val="auto"/>
        </w:rPr>
      </w:pPr>
    </w:p>
    <w:p>
      <w:pPr>
        <w:ind w:left="820" w:hanging="258"/>
        <w:spacing w:after="0" w:line="250" w:lineRule="auto"/>
        <w:tabs>
          <w:tab w:leader="none" w:pos="8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decisions with respect to future awards of Restricted Stock Units, Dividend Equivalent Units or other grants, if any, will be at the sole discretion of the Committee;</w:t>
      </w:r>
    </w:p>
    <w:p>
      <w:pPr>
        <w:ind w:left="820" w:hanging="258"/>
        <w:spacing w:after="0"/>
        <w:tabs>
          <w:tab w:leader="none" w:pos="8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Grantee’s participation in the 2002 Plan is voluntary;</w:t>
      </w:r>
    </w:p>
    <w:p>
      <w:pPr>
        <w:spacing w:after="0" w:line="9" w:lineRule="exact"/>
        <w:rPr>
          <w:rFonts w:ascii="Arial" w:cs="Arial" w:eastAsia="Arial" w:hAnsi="Arial"/>
          <w:sz w:val="18"/>
          <w:szCs w:val="18"/>
          <w:color w:val="auto"/>
        </w:rPr>
      </w:pPr>
    </w:p>
    <w:p>
      <w:pPr>
        <w:ind w:left="820" w:hanging="258"/>
        <w:spacing w:after="0"/>
        <w:tabs>
          <w:tab w:leader="none" w:pos="8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Award and any shares of Lilly Stock subject to the Award are not intended to replace any pension rights or compensation;</w:t>
      </w:r>
    </w:p>
    <w:p>
      <w:pPr>
        <w:spacing w:after="0" w:line="9" w:lineRule="exact"/>
        <w:rPr>
          <w:rFonts w:ascii="Arial" w:cs="Arial" w:eastAsia="Arial" w:hAnsi="Arial"/>
          <w:sz w:val="18"/>
          <w:szCs w:val="18"/>
          <w:color w:val="auto"/>
        </w:rPr>
      </w:pPr>
    </w:p>
    <w:p>
      <w:pPr>
        <w:jc w:val="both"/>
        <w:ind w:left="820" w:hanging="258"/>
        <w:spacing w:after="0" w:line="250" w:lineRule="auto"/>
        <w:tabs>
          <w:tab w:leader="none" w:pos="8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Award and any shares of Lilly Stock subject to the Award, and the income and value of same, are not part of normal or expected compensation for purposes of calculating any severance, resignation, termination, redundancy, dismissal, end of service payments, bonuses, long-service awards, holiday pay, leave pay, pension or welfare or retirement benefits or similar payments;</w:t>
      </w:r>
    </w:p>
    <w:p>
      <w:pPr>
        <w:spacing w:after="0" w:line="1" w:lineRule="exact"/>
        <w:rPr>
          <w:rFonts w:ascii="Arial" w:cs="Arial" w:eastAsia="Arial" w:hAnsi="Arial"/>
          <w:sz w:val="18"/>
          <w:szCs w:val="18"/>
          <w:color w:val="auto"/>
        </w:rPr>
      </w:pPr>
    </w:p>
    <w:p>
      <w:pPr>
        <w:ind w:left="820" w:right="20" w:hanging="258"/>
        <w:spacing w:after="0" w:line="262" w:lineRule="auto"/>
        <w:tabs>
          <w:tab w:leader="none" w:pos="8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unless otherwise agreed with Lilly, the Award and any shares of Lilly Stock subject to the Award, and the income and value of same, are not granted as consideration for, or in connection with, the service the Grantee may provide as a director of a subsidiary of Lilly;</w:t>
      </w:r>
    </w:p>
    <w:p>
      <w:pPr>
        <w:sectPr>
          <w:pgSz w:w="11900" w:h="16838" w:orient="portrait"/>
          <w:cols w:equalWidth="0" w:num="1">
            <w:col w:w="11420"/>
          </w:cols>
          <w:pgMar w:left="240" w:top="571" w:right="239" w:bottom="1440" w:gutter="0" w:footer="0" w:header="0"/>
        </w:sectPr>
      </w:pPr>
    </w:p>
    <w:bookmarkStart w:id="195" w:name="page196"/>
    <w:bookmarkEnd w:id="195"/>
    <w:p>
      <w:pPr>
        <w:jc w:val="both"/>
        <w:ind w:left="820" w:hanging="258"/>
        <w:spacing w:after="0" w:line="250" w:lineRule="auto"/>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neither the Award nor any provision of this instrument, the 2002 Plan or the policies adopted pursuant to the 2002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subsidiary of Lilly;</w:t>
      </w:r>
    </w:p>
    <w:p>
      <w:pPr>
        <w:spacing w:after="0" w:line="1" w:lineRule="exact"/>
        <w:rPr>
          <w:rFonts w:ascii="Arial" w:cs="Arial" w:eastAsia="Arial" w:hAnsi="Arial"/>
          <w:sz w:val="18"/>
          <w:szCs w:val="18"/>
          <w:color w:val="auto"/>
        </w:rPr>
      </w:pPr>
    </w:p>
    <w:p>
      <w:pPr>
        <w:ind w:left="820" w:hanging="258"/>
        <w:spacing w:after="0"/>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future value of the underlying shares of Lilly Stock is unknown, indeterminable and cannot be predicted with certainty;</w:t>
      </w:r>
    </w:p>
    <w:p>
      <w:pPr>
        <w:spacing w:after="0" w:line="9" w:lineRule="exact"/>
        <w:rPr>
          <w:rFonts w:ascii="Arial" w:cs="Arial" w:eastAsia="Arial" w:hAnsi="Arial"/>
          <w:sz w:val="18"/>
          <w:szCs w:val="18"/>
          <w:color w:val="auto"/>
        </w:rPr>
      </w:pPr>
    </w:p>
    <w:p>
      <w:pPr>
        <w:ind w:left="820" w:hanging="258"/>
        <w:spacing w:after="0" w:line="250" w:lineRule="auto"/>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value of shares of Lilly Stock acquired upon lapse of the Restriction Period may increase or decrease, even below the tax valuation price;</w:t>
      </w:r>
    </w:p>
    <w:p>
      <w:pPr>
        <w:jc w:val="both"/>
        <w:ind w:left="820" w:hanging="258"/>
        <w:spacing w:after="0" w:line="250" w:lineRule="auto"/>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 w:lineRule="exact"/>
        <w:rPr>
          <w:rFonts w:ascii="Arial" w:cs="Arial" w:eastAsia="Arial" w:hAnsi="Arial"/>
          <w:sz w:val="18"/>
          <w:szCs w:val="18"/>
          <w:color w:val="auto"/>
        </w:rPr>
      </w:pPr>
    </w:p>
    <w:p>
      <w:pPr>
        <w:jc w:val="both"/>
        <w:ind w:left="820" w:hanging="258"/>
        <w:spacing w:after="0" w:line="250" w:lineRule="auto"/>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 subsidiary of the Company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and</w:t>
      </w:r>
    </w:p>
    <w:p>
      <w:pPr>
        <w:spacing w:after="0" w:line="4" w:lineRule="exact"/>
        <w:rPr>
          <w:rFonts w:ascii="Arial" w:cs="Arial" w:eastAsia="Arial" w:hAnsi="Arial"/>
          <w:sz w:val="18"/>
          <w:szCs w:val="18"/>
          <w:color w:val="auto"/>
        </w:rPr>
      </w:pPr>
    </w:p>
    <w:p>
      <w:pPr>
        <w:jc w:val="both"/>
        <w:ind w:left="820" w:hanging="258"/>
        <w:spacing w:after="0" w:line="256" w:lineRule="auto"/>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unless otherwise provided in the 2002 Plan or by the Committee in its discretion, the Award and the benefits evidenced by this Award do not create any entitlement to have the Award or any such benefits transferred to, or assumed by, another company nor to be exchanged, cashed out or substituted for, in connection with any corporate transaction affecting the shares of Lilly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No Advice Regarding Grant</w:t>
      </w:r>
    </w:p>
    <w:p>
      <w:pPr>
        <w:spacing w:after="0" w:line="85"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Lilly is not providing any tax, legal or financial advice, nor is Lilly making any recommendations regarding the Grantee’s participation in the 2002 Plan or the Grantee’s acquisition or sale of the underlying shares of Lilly Stock. The Grantee should consult with his or her own personal tax, legal and financial advisors regarding the Grantee’s participation in the 2002 Plan before taking any action related to the 2002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Insider Trading Restrictions/Market Abuse Laws</w:t>
      </w:r>
    </w:p>
    <w:p>
      <w:pPr>
        <w:spacing w:after="0" w:line="85" w:lineRule="exact"/>
        <w:rPr>
          <w:sz w:val="20"/>
          <w:szCs w:val="20"/>
          <w:color w:val="auto"/>
        </w:rPr>
      </w:pPr>
    </w:p>
    <w:p>
      <w:pPr>
        <w:jc w:val="both"/>
        <w:ind w:left="400"/>
        <w:spacing w:after="0" w:line="252" w:lineRule="auto"/>
        <w:rPr>
          <w:sz w:val="20"/>
          <w:szCs w:val="20"/>
          <w:color w:val="auto"/>
        </w:rPr>
      </w:pPr>
      <w:r>
        <w:rPr>
          <w:rFonts w:ascii="Arial" w:cs="Arial" w:eastAsia="Arial" w:hAnsi="Arial"/>
          <w:sz w:val="18"/>
          <w:szCs w:val="18"/>
          <w:color w:val="auto"/>
        </w:rPr>
        <w:t>The Grantee acknowledges that he or she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of Lilly Stock or rights to acquire shares of Lilly Stock (e.g., Restricted Stock Units) under the 2002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Data Privacy</w:t>
      </w:r>
    </w:p>
    <w:p>
      <w:pPr>
        <w:spacing w:after="0" w:line="85"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The Grantee hereby explicitly and unambiguously consents to the collection, use and transfer, in electronic or other form, of the Grantee’s personal data as described in this Award and any other Award materials by and among, as applicable, the Employer, Lilly, its subsidiaries and its affiliates for the exclusive purpose of implementing, administering and managing the Grantee’s participation in the 2002 Plan.</w:t>
      </w:r>
    </w:p>
    <w:p>
      <w:pPr>
        <w:spacing w:after="0" w:line="202"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The Grantee understands that Lilly and the Employer may hold certain personal information about the Grantee and persons closely associated with the Grantee, including, but not limited to, the Grantee’s name, home address</w:t>
      </w:r>
    </w:p>
    <w:p>
      <w:pPr>
        <w:sectPr>
          <w:pgSz w:w="11900" w:h="16838" w:orient="portrait"/>
          <w:cols w:equalWidth="0" w:num="1">
            <w:col w:w="11420"/>
          </w:cols>
          <w:pgMar w:left="240" w:top="571" w:right="239" w:bottom="1440" w:gutter="0" w:footer="0" w:header="0"/>
        </w:sectPr>
      </w:pPr>
    </w:p>
    <w:bookmarkStart w:id="196" w:name="page197"/>
    <w:bookmarkEnd w:id="196"/>
    <w:p>
      <w:pPr>
        <w:jc w:val="both"/>
        <w:ind w:left="400"/>
        <w:spacing w:after="0" w:line="254" w:lineRule="auto"/>
        <w:rPr>
          <w:sz w:val="20"/>
          <w:szCs w:val="20"/>
          <w:color w:val="auto"/>
        </w:rPr>
      </w:pPr>
      <w:r>
        <w:rPr>
          <w:rFonts w:ascii="Arial" w:cs="Arial" w:eastAsia="Arial" w:hAnsi="Arial"/>
          <w:sz w:val="18"/>
          <w:szCs w:val="18"/>
          <w:color w:val="auto"/>
        </w:rPr>
        <w:t>and telephone number, email address, date of birth, social insurance, passport, or other identification number (e.g. resident registration number), salary, nationality, job title, any shares of stock or directorships held in Lilly, details of all Awards or any other entitlement to shares of stock awarded, canceled, vested, unvested or outstanding in the Grantee’s favor, for the purpose of implementing, administering and managing the 2002 Plan (“Data”).</w:t>
      </w:r>
    </w:p>
    <w:p>
      <w:pPr>
        <w:spacing w:after="0" w:line="204" w:lineRule="exact"/>
        <w:rPr>
          <w:sz w:val="20"/>
          <w:szCs w:val="20"/>
          <w:color w:val="auto"/>
        </w:rPr>
      </w:pPr>
    </w:p>
    <w:p>
      <w:pPr>
        <w:jc w:val="both"/>
        <w:ind w:left="400"/>
        <w:spacing w:after="0" w:line="251" w:lineRule="auto"/>
        <w:rPr>
          <w:sz w:val="20"/>
          <w:szCs w:val="20"/>
          <w:color w:val="auto"/>
        </w:rPr>
      </w:pPr>
      <w:r>
        <w:rPr>
          <w:rFonts w:ascii="Arial" w:cs="Arial" w:eastAsia="Arial" w:hAnsi="Arial"/>
          <w:sz w:val="18"/>
          <w:szCs w:val="18"/>
          <w:color w:val="auto"/>
        </w:rPr>
        <w:t>The Grantee understands that Data will be transferred to Merrill Lynch, KPMG and/or any other stock plan service provider or tax or legal advisor as may be selected by the Company in the future, which is assisting in the implementation, administration and management of the 2002 Plan. Where required under applicable law, Data may also be disclosed to certain securities or other regulatory authorities where Lilly's securities are listed or traded or regulatory filings are made. The Grantee understands that these recipients may be located in the Grantee’s country, or elsewhere, and that the recipient’s country may have different data privacy laws and protections than the Grantee’s country. The Grantee understands that he or she may request a list with the names and addresses of any potential recipients of Data by contacting the Grantee’s local human resources representative. The Grantee authorizes the Company, Merrill Lynch, KPMG and any other possible recipients which may assist the Company (presently or in the future) with implementing, administering, and managing the 2002 Plan to receive, possess, use, retain and transfer Data, in electronic or other form, for the sole purpose of implementing, administering and managing the Grantee’s participation in the 2002 Plan, including any requisite transfer of such Data as may be required to a broker, escrow agent or other third party with whom any shares or cash received pursuant to the Award may be deposited. The Grantee understands that Data will be held only as long as is necessary to implement, administer and manage the Grantee’s participation in the 2002 Plan. The Grantee understands that the Grantee may, at any time, request an equity award transaction statement, request any necessary amendments to Data or refuse or withdraw the consents herein, in any case without cost, by contacting in writing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or service with the Employer will not be affected; the only consequence of refusing or withdrawing the Grantee’s consent is that the Company would not be able to grant the Grantee the Award or other equity awards or administer or maintain such awards. Therefore, the Grantee understands that refusal or withdrawal of consent may affect the Grantee’s ability to participate in the 2002 Plan. For more information on the consequences of the Grantee’s refusal to consent or withdrawal of consent, the Grantee understands that the Grantee may contact the Grantee’s local human resources representative.</w:t>
      </w:r>
    </w:p>
    <w:p>
      <w:pPr>
        <w:spacing w:after="0" w:line="208"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Finally, upon request of the Company or the Employer, the Grantee agrees to provide an executed data privacy consent form (or any other agreements or consents) that the Company and/or the Employer may deem necessary to obtain from the Grantee for the purpose of administering the Grantee’s participation in the 2002 Plan in compliance with the data privacy laws in the Grantee’s country, either now or in the future. The Grantee understands and agrees that he or she will not be able to participate in the 2002 Plan if he or she fails to provide any such consent or agreement requested by the Company and/or the Employer.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Effective Date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effective date of this instrument shall be the date of grant.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Governing Law and Choice of Venue</w:t>
      </w:r>
    </w:p>
    <w:p>
      <w:pPr>
        <w:spacing w:after="0" w:line="85"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The validity and construction of this Award shall be governed by the laws of the State of Indiana, U.S.A. without regard to laws that might cause other law to govern under applicable principles of conflict of laws. For purposes of litigating any dispute that arises under this Award, the parties 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18"/>
          <w:szCs w:val="18"/>
          <w:b w:val="1"/>
          <w:bCs w:val="1"/>
          <w:color w:val="auto"/>
        </w:rPr>
        <w:t>,</w:t>
      </w:r>
      <w:r>
        <w:rPr>
          <w:rFonts w:ascii="Arial" w:cs="Arial" w:eastAsia="Arial" w:hAnsi="Arial"/>
          <w:sz w:val="18"/>
          <w:szCs w:val="18"/>
          <w:color w:val="auto"/>
        </w:rPr>
        <w:t xml:space="preserve"> and no other courts, where this Award is granted and/or to be performed.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Language</w:t>
      </w:r>
    </w:p>
    <w:p>
      <w:pPr>
        <w:spacing w:after="0" w:line="85"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If the Grantee has received this instrument or any other document related to the 2002 Plan translated into a language other than English and if the meaning of the translated version is different than the English version, the English version will control.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Adjustments to Number of Shares</w:t>
      </w:r>
    </w:p>
    <w:p>
      <w:pPr>
        <w:spacing w:after="0" w:line="85" w:lineRule="exact"/>
        <w:rPr>
          <w:sz w:val="20"/>
          <w:szCs w:val="20"/>
          <w:color w:val="auto"/>
        </w:rPr>
      </w:pPr>
    </w:p>
    <w:p>
      <w:pPr>
        <w:jc w:val="both"/>
        <w:ind w:left="400" w:right="20"/>
        <w:spacing w:after="0" w:line="262" w:lineRule="auto"/>
        <w:rPr>
          <w:sz w:val="20"/>
          <w:szCs w:val="20"/>
          <w:color w:val="auto"/>
        </w:rPr>
      </w:pPr>
      <w:r>
        <w:rPr>
          <w:rFonts w:ascii="Arial" w:cs="Arial" w:eastAsia="Arial" w:hAnsi="Arial"/>
          <w:sz w:val="18"/>
          <w:szCs w:val="18"/>
          <w:color w:val="auto"/>
        </w:rPr>
        <w:t>The number of shares of Lilly Stock subject to this Award shall be subject to adjustment in accordance with the provisions of Section 4(b) of the 2002 Plan for certain corporate recapitalizations and other events.</w:t>
      </w:r>
    </w:p>
    <w:p>
      <w:pPr>
        <w:sectPr>
          <w:pgSz w:w="11900" w:h="16838" w:orient="portrait"/>
          <w:cols w:equalWidth="0" w:num="1">
            <w:col w:w="11420"/>
          </w:cols>
          <w:pgMar w:left="240" w:top="571"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Section 27. Imposition of Other Requirements</w:t>
      </w:r>
    </w:p>
    <w:p>
      <w:pPr>
        <w:spacing w:after="0" w:line="85" w:lineRule="exact"/>
        <w:rPr>
          <w:sz w:val="20"/>
          <w:szCs w:val="20"/>
          <w:color w:val="auto"/>
        </w:rPr>
      </w:pPr>
    </w:p>
    <w:p>
      <w:pPr>
        <w:jc w:val="both"/>
        <w:ind w:left="400"/>
        <w:spacing w:after="0" w:line="252" w:lineRule="auto"/>
        <w:rPr>
          <w:sz w:val="20"/>
          <w:szCs w:val="20"/>
          <w:color w:val="auto"/>
        </w:rPr>
      </w:pPr>
      <w:r>
        <w:rPr>
          <w:rFonts w:ascii="Arial" w:cs="Arial" w:eastAsia="Arial" w:hAnsi="Arial"/>
          <w:sz w:val="18"/>
          <w:szCs w:val="18"/>
          <w:color w:val="auto"/>
        </w:rPr>
        <w:t>The Company reserves the right to impose other requirements on the Award and any shares of Lilly Stock acquired under the 2002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Restricted Stock Unit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Compensation Recovery</w:t>
      </w:r>
    </w:p>
    <w:p>
      <w:pPr>
        <w:spacing w:after="0" w:line="85"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At any time during the three years following the date on which the number of shares of Lilly Stock subject to this Award was determined, the Company reserves the right to and, in appropriate cases, will seek restitution of all or part of any shares of Lilly Stock subject to or issued (or cash paid) pursuant to this Award if:</w:t>
      </w:r>
    </w:p>
    <w:p>
      <w:pPr>
        <w:spacing w:after="0" w:line="202" w:lineRule="exact"/>
        <w:rPr>
          <w:sz w:val="20"/>
          <w:szCs w:val="20"/>
          <w:color w:val="auto"/>
        </w:rPr>
      </w:pPr>
    </w:p>
    <w:p>
      <w:pPr>
        <w:jc w:val="both"/>
        <w:ind w:left="1220" w:hanging="647"/>
        <w:spacing w:after="0" w:line="250" w:lineRule="auto"/>
        <w:tabs>
          <w:tab w:leader="none" w:pos="1200" w:val="left"/>
        </w:tabs>
        <w:rPr>
          <w:sz w:val="20"/>
          <w:szCs w:val="20"/>
          <w:color w:val="auto"/>
        </w:rPr>
      </w:pPr>
      <w:r>
        <w:rPr>
          <w:rFonts w:ascii="Arial" w:cs="Arial" w:eastAsia="Arial" w:hAnsi="Arial"/>
          <w:sz w:val="18"/>
          <w:szCs w:val="18"/>
          <w:color w:val="auto"/>
        </w:rPr>
        <w:t>a. (i)</w:t>
      </w:r>
      <w:r>
        <w:rPr>
          <w:sz w:val="20"/>
          <w:szCs w:val="20"/>
          <w:color w:val="auto"/>
        </w:rPr>
        <w:tab/>
      </w:r>
      <w:r>
        <w:rPr>
          <w:rFonts w:ascii="Arial" w:cs="Arial" w:eastAsia="Arial" w:hAnsi="Arial"/>
          <w:sz w:val="18"/>
          <w:szCs w:val="18"/>
          <w:color w:val="auto"/>
        </w:rPr>
        <w:t>the number of shares of Lilly Stock subject to the Award was calculated based, directly or indirectly, upon the achievement of financial results (e.g., earnings per share) that were subsequently the subject of restatement of all or a portion of the Company’s financial statements;</w:t>
      </w:r>
    </w:p>
    <w:p>
      <w:pPr>
        <w:spacing w:after="0" w:line="1" w:lineRule="exact"/>
        <w:rPr>
          <w:sz w:val="20"/>
          <w:szCs w:val="20"/>
          <w:color w:val="auto"/>
        </w:rPr>
      </w:pPr>
    </w:p>
    <w:p>
      <w:pPr>
        <w:ind w:left="1220" w:hanging="429"/>
        <w:spacing w:after="0"/>
        <w:tabs>
          <w:tab w:leader="none" w:pos="12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Grantee engaged in intentional misconduct that caused or partially caused the need for such a restatement; and</w:t>
      </w:r>
    </w:p>
    <w:p>
      <w:pPr>
        <w:spacing w:after="0" w:line="9" w:lineRule="exact"/>
        <w:rPr>
          <w:rFonts w:ascii="Arial" w:cs="Arial" w:eastAsia="Arial" w:hAnsi="Arial"/>
          <w:sz w:val="18"/>
          <w:szCs w:val="18"/>
          <w:color w:val="auto"/>
        </w:rPr>
      </w:pPr>
    </w:p>
    <w:p>
      <w:pPr>
        <w:ind w:left="1220" w:hanging="429"/>
        <w:spacing w:after="0" w:line="250" w:lineRule="auto"/>
        <w:tabs>
          <w:tab w:leader="none" w:pos="12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number of shares of Lilly Stock that would have been subject to the Award had the financial results been properly reported would have been lower than the number of shares of Lilly Stock actually subject to the Award.</w:t>
      </w:r>
    </w:p>
    <w:p>
      <w:pPr>
        <w:jc w:val="both"/>
        <w:ind w:left="820" w:hanging="258"/>
        <w:spacing w:after="0" w:line="256" w:lineRule="auto"/>
        <w:tabs>
          <w:tab w:leader="none" w:pos="8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202"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In the event the number of shares of Lilly Stock subject to the Award is determined to have been based on materially inaccurate financial statements or other Company performance measures or on calculation errors (without any misconduct on the part of the Grantee), the Company reserves the right to and, in appropriate cases, will:</w:t>
      </w:r>
    </w:p>
    <w:p>
      <w:pPr>
        <w:spacing w:after="0" w:line="202" w:lineRule="exact"/>
        <w:rPr>
          <w:sz w:val="20"/>
          <w:szCs w:val="20"/>
          <w:color w:val="auto"/>
        </w:rPr>
      </w:pPr>
    </w:p>
    <w:p>
      <w:pPr>
        <w:jc w:val="both"/>
        <w:ind w:left="820" w:hanging="258"/>
        <w:spacing w:after="0" w:line="250" w:lineRule="auto"/>
        <w:tabs>
          <w:tab w:leader="none" w:pos="8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seek restitution of the shares of Lilly Stock subject to or issued (or cash paid) pursuant to this Award to the extent that the number of shares of Lilly Stock subject to the Award exceeded the number of shares of Lilly Stock that would have been subject to the Award had the inaccuracy or error not occurred, or</w:t>
      </w:r>
    </w:p>
    <w:p>
      <w:pPr>
        <w:spacing w:after="0" w:line="1" w:lineRule="exact"/>
        <w:rPr>
          <w:rFonts w:ascii="Arial" w:cs="Arial" w:eastAsia="Arial" w:hAnsi="Arial"/>
          <w:sz w:val="18"/>
          <w:szCs w:val="18"/>
          <w:color w:val="auto"/>
        </w:rPr>
      </w:pPr>
    </w:p>
    <w:p>
      <w:pPr>
        <w:ind w:left="820" w:hanging="258"/>
        <w:spacing w:after="0" w:line="250" w:lineRule="auto"/>
        <w:tabs>
          <w:tab w:leader="none" w:pos="8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issue additional shares of Lilly Stock or make additional cash payment to the extent that the number of shares of Lilly Stock subject to the Award was less than the correct amount.</w:t>
      </w:r>
    </w:p>
    <w:p>
      <w:pPr>
        <w:spacing w:after="0" w:line="1"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This Section 28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29. Award Subject to Acknowledgement of Acceptance</w:t>
      </w:r>
    </w:p>
    <w:p>
      <w:pPr>
        <w:spacing w:after="0" w:line="85"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Notwithstanding any provisions of this instrument, the Award is subject to acknowledgement of acceptance by the Grantee prior to 4:00 PM. (EDT) February 15, 2020 through the website of Merrill Lynch, the Company’s stock plan administrator. If the Grantee does not acknowledge acceptance of the Award prior to 4:00 PM. (EDT) February 15, 2020, the Award will be cancelled, subject to the Committee's discretion for unforeseen circumstances.</w:t>
      </w:r>
    </w:p>
    <w:p>
      <w:pPr>
        <w:sectPr>
          <w:pgSz w:w="11900" w:h="16838" w:orient="portrait"/>
          <w:cols w:equalWidth="0" w:num="1">
            <w:col w:w="11420"/>
          </w:cols>
          <w:pgMar w:left="240" w:top="765" w:right="23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color w:val="auto"/>
        </w:rPr>
        <w:t>IN WITNESS WHEREOF, Lilly has caused this Award to be executed in Indianapolis, Indiana, by its proper officer.</w:t>
      </w:r>
    </w:p>
    <w:p>
      <w:pPr>
        <w:sectPr>
          <w:pgSz w:w="11900" w:h="16838" w:orient="portrait"/>
          <w:cols w:equalWidth="0" w:num="1">
            <w:col w:w="9879"/>
          </w:cols>
          <w:pgMar w:left="580" w:top="571" w:right="1440" w:bottom="1440" w:gutter="0" w:footer="0" w:header="0"/>
        </w:sectPr>
      </w:pPr>
    </w:p>
    <w:p>
      <w:pPr>
        <w:spacing w:after="0" w:line="23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143510</wp:posOffset>
            </wp:positionV>
            <wp:extent cx="1895475" cy="548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18954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_________________________</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David A. Ricks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Chairman of the Board, President and</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w:t>
      </w:r>
    </w:p>
    <w:p>
      <w:pPr>
        <w:sectPr>
          <w:pgSz w:w="11900" w:h="16838" w:orient="portrait"/>
          <w:cols w:equalWidth="0" w:num="1">
            <w:col w:w="9879"/>
          </w:cols>
          <w:pgMar w:left="580" w:top="571" w:right="1440" w:bottom="1440" w:gutter="0" w:footer="0" w:header="0"/>
          <w:type w:val="continuous"/>
        </w:sectPr>
      </w:pPr>
    </w:p>
    <w:bookmarkStart w:id="199" w:name="page200"/>
    <w:bookmarkEnd w:id="199"/>
    <w:p>
      <w:pPr>
        <w:ind w:left="378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The following are subsidiaries and affiliated corporations of the company at December 31, 2019.</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51"/>
        </w:trPr>
        <w:tc>
          <w:tcPr>
            <w:tcW w:w="6140" w:type="dxa"/>
            <w:vAlign w:val="bottom"/>
          </w:tcPr>
          <w:p>
            <w:pPr>
              <w:spacing w:after="0"/>
              <w:rPr>
                <w:sz w:val="20"/>
                <w:szCs w:val="20"/>
                <w:color w:val="auto"/>
              </w:rPr>
            </w:pPr>
            <w:r>
              <w:rPr>
                <w:rFonts w:ascii="Arial" w:cs="Arial" w:eastAsia="Arial" w:hAnsi="Arial"/>
                <w:sz w:val="18"/>
                <w:szCs w:val="18"/>
                <w:color w:val="auto"/>
              </w:rPr>
              <w:t>1096401 B.C. Unlimited Liability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240" w:type="dxa"/>
            <w:vAlign w:val="bottom"/>
          </w:tcPr>
          <w:p>
            <w:pPr>
              <w:jc w:val="center"/>
              <w:spacing w:after="0"/>
              <w:rPr>
                <w:sz w:val="20"/>
                <w:szCs w:val="20"/>
                <w:color w:val="auto"/>
              </w:rPr>
            </w:pPr>
            <w:r>
              <w:rPr>
                <w:rFonts w:ascii="Arial" w:cs="Arial" w:eastAsia="Arial" w:hAnsi="Arial"/>
                <w:sz w:val="18"/>
                <w:szCs w:val="18"/>
                <w:color w:val="auto"/>
              </w:rPr>
              <w:t>Peru</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ARMO Bioscience</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AurKa Pharma</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CoLucid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Ilac Ticaret Ltd. Sti.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Switzerland Holding Sarl</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ELCO Dominicana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ELCO Management,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240" w:type="dxa"/>
            <w:vAlign w:val="bottom"/>
          </w:tcPr>
          <w:p>
            <w:pPr>
              <w:jc w:val="center"/>
              <w:spacing w:after="0"/>
              <w:rPr>
                <w:sz w:val="20"/>
                <w:szCs w:val="20"/>
                <w:color w:val="auto"/>
              </w:rPr>
            </w:pPr>
            <w:r>
              <w:rPr>
                <w:rFonts w:ascii="Arial" w:cs="Arial" w:eastAsia="Arial" w:hAnsi="Arial"/>
                <w:sz w:val="18"/>
                <w:szCs w:val="18"/>
                <w:color w:val="auto"/>
              </w:rPr>
              <w:t>Philippines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Singapore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(Suisse)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New Zealand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Asia,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Benelux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B-H d.o.o.</w:t>
            </w:r>
          </w:p>
        </w:tc>
        <w:tc>
          <w:tcPr>
            <w:tcW w:w="5240" w:type="dxa"/>
            <w:vAlign w:val="bottom"/>
          </w:tcPr>
          <w:p>
            <w:pPr>
              <w:jc w:val="center"/>
              <w:spacing w:after="0"/>
              <w:rPr>
                <w:sz w:val="20"/>
                <w:szCs w:val="20"/>
                <w:color w:val="auto"/>
              </w:rPr>
            </w:pPr>
            <w:r>
              <w:rPr>
                <w:rFonts w:ascii="Arial" w:cs="Arial" w:eastAsia="Arial" w:hAnsi="Arial"/>
                <w:sz w:val="18"/>
                <w:szCs w:val="18"/>
                <w:color w:val="auto"/>
              </w:rPr>
              <w:t>Bosnia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Canada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Cork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CR s.r.o.</w:t>
            </w:r>
          </w:p>
        </w:tc>
        <w:tc>
          <w:tcPr>
            <w:tcW w:w="5240" w:type="dxa"/>
            <w:vAlign w:val="bottom"/>
          </w:tcPr>
          <w:p>
            <w:pPr>
              <w:jc w:val="center"/>
              <w:spacing w:after="0"/>
              <w:rPr>
                <w:sz w:val="20"/>
                <w:szCs w:val="20"/>
                <w:color w:val="auto"/>
              </w:rPr>
            </w:pPr>
            <w:r>
              <w:rPr>
                <w:rFonts w:ascii="Arial" w:cs="Arial" w:eastAsia="Arial" w:hAnsi="Arial"/>
                <w:sz w:val="18"/>
                <w:szCs w:val="18"/>
                <w:color w:val="auto"/>
              </w:rPr>
              <w:t>Czech Republic</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Danmark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Denmark</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de Centro America,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bl>
    <w:p>
      <w:pPr>
        <w:sectPr>
          <w:pgSz w:w="11900" w:h="16838" w:orient="portrait"/>
          <w:cols w:equalWidth="0" w:num="1">
            <w:col w:w="11380"/>
          </w:cols>
          <w:pgMar w:left="280" w:top="549" w:right="239" w:bottom="1440" w:gutter="0" w:footer="0" w:header="0"/>
        </w:sectPr>
      </w:pPr>
    </w:p>
    <w:bookmarkStart w:id="200" w:name="page201"/>
    <w:bookmarkEnd w:id="2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51"/>
        </w:trPr>
        <w:tc>
          <w:tcPr>
            <w:tcW w:w="614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Egypt for Trading</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Export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Slovenia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Finance,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Ges.m.b.H.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Holdings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240" w:type="dxa"/>
            <w:vAlign w:val="bottom"/>
          </w:tcPr>
          <w:p>
            <w:pPr>
              <w:jc w:val="center"/>
              <w:spacing w:after="0"/>
              <w:rPr>
                <w:sz w:val="20"/>
                <w:szCs w:val="20"/>
                <w:color w:val="auto"/>
              </w:rPr>
            </w:pPr>
            <w:r>
              <w:rPr>
                <w:rFonts w:ascii="Arial" w:cs="Arial" w:eastAsia="Arial" w:hAnsi="Arial"/>
                <w:sz w:val="18"/>
                <w:szCs w:val="18"/>
                <w:color w:val="auto"/>
              </w:rPr>
              <w:t>Croatia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Israel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Italia S.p.A.</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Nigeria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Nigeria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Norge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Norway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Pakistan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Polska Sp.z.o.o.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Romania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Saudi Arabia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Saudi Arabia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Sweden AB</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Sweden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Vostok S.A., Geneva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Glycostasis,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ICOS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Washington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ImClone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Systems Holdings,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ImClone Systems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Irisfarma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Kinsale Financial Services Unlimited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380"/>
          </w:cols>
          <w:pgMar w:left="280" w:top="721" w:right="239" w:bottom="1440" w:gutter="0" w:footer="0" w:header="0"/>
        </w:sectPr>
      </w:pPr>
    </w:p>
    <w:bookmarkStart w:id="201" w:name="page202"/>
    <w:bookmarkEnd w:id="2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51"/>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Cayman Holdings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Lylly Centre for Clinical Pharmacology PTE.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Singapore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del Caribe,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France S.A.S.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Holding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Hungaria KFT</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ilaç ticaret limited şirketi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Japan Financing G.K.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Nederland Finance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Nederland Finance B.V. - GCC</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Pharma Ltd.</w:t>
            </w:r>
          </w:p>
        </w:tc>
        <w:tc>
          <w:tcPr>
            <w:tcW w:w="5240" w:type="dxa"/>
            <w:vAlign w:val="bottom"/>
          </w:tcPr>
          <w:p>
            <w:pPr>
              <w:jc w:val="center"/>
              <w:spacing w:after="0"/>
              <w:rPr>
                <w:sz w:val="20"/>
                <w:szCs w:val="20"/>
                <w:color w:val="auto"/>
              </w:rPr>
            </w:pPr>
            <w:r>
              <w:rPr>
                <w:rFonts w:ascii="Arial" w:cs="Arial" w:eastAsia="Arial" w:hAnsi="Arial"/>
                <w:sz w:val="18"/>
                <w:szCs w:val="18"/>
                <w:color w:val="auto"/>
              </w:rPr>
              <w:t>Russia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Trading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USA, LLC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Loxo Oncology,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240" w:type="dxa"/>
            <w:vAlign w:val="bottom"/>
          </w:tcPr>
          <w:p>
            <w:pPr>
              <w:jc w:val="center"/>
              <w:spacing w:after="0"/>
              <w:rPr>
                <w:sz w:val="20"/>
                <w:szCs w:val="20"/>
                <w:color w:val="auto"/>
              </w:rPr>
            </w:pPr>
            <w:r>
              <w:rPr>
                <w:rFonts w:ascii="Arial" w:cs="Arial" w:eastAsia="Arial" w:hAnsi="Arial"/>
                <w:sz w:val="18"/>
                <w:szCs w:val="18"/>
                <w:color w:val="auto"/>
              </w:rPr>
              <w:t>Finland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Pharmaserve-Lilly S.A.C.I.</w:t>
            </w:r>
          </w:p>
        </w:tc>
        <w:tc>
          <w:tcPr>
            <w:tcW w:w="5240" w:type="dxa"/>
            <w:vAlign w:val="bottom"/>
          </w:tcPr>
          <w:p>
            <w:pPr>
              <w:jc w:val="center"/>
              <w:spacing w:after="0"/>
              <w:rPr>
                <w:sz w:val="20"/>
                <w:szCs w:val="20"/>
                <w:color w:val="auto"/>
              </w:rPr>
            </w:pPr>
            <w:r>
              <w:rPr>
                <w:rFonts w:ascii="Arial" w:cs="Arial" w:eastAsia="Arial" w:hAnsi="Arial"/>
                <w:sz w:val="18"/>
                <w:szCs w:val="18"/>
                <w:color w:val="auto"/>
              </w:rPr>
              <w:t>Greece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240" w:type="dxa"/>
            <w:vAlign w:val="bottom"/>
          </w:tcPr>
          <w:p>
            <w:pPr>
              <w:jc w:val="center"/>
              <w:spacing w:after="0"/>
              <w:rPr>
                <w:sz w:val="20"/>
                <w:szCs w:val="20"/>
                <w:color w:val="auto"/>
              </w:rPr>
            </w:pPr>
            <w:r>
              <w:rPr>
                <w:rFonts w:ascii="Arial" w:cs="Arial" w:eastAsia="Arial" w:hAnsi="Arial"/>
                <w:sz w:val="18"/>
                <w:szCs w:val="18"/>
                <w:color w:val="auto"/>
              </w:rPr>
              <w:t>Indonesia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Spaly Bioquimica,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UAB Eli Lilly Lietuva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Lithuania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Valquifarma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Vital Pharma Productos Farmaceuticos</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bl>
    <w:p>
      <w:pPr>
        <w:sectPr>
          <w:pgSz w:w="11900" w:h="16838" w:orient="portrait"/>
          <w:cols w:equalWidth="0" w:num="1">
            <w:col w:w="11380"/>
          </w:cols>
          <w:pgMar w:left="280" w:top="720"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Exhibit 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spacing w:after="0" w:line="364" w:lineRule="auto"/>
        <w:rPr>
          <w:sz w:val="20"/>
          <w:szCs w:val="20"/>
          <w:color w:val="auto"/>
        </w:rPr>
      </w:pPr>
      <w:r>
        <w:rPr>
          <w:rFonts w:ascii="Arial" w:cs="Arial" w:eastAsia="Arial" w:hAnsi="Arial"/>
          <w:sz w:val="18"/>
          <w:szCs w:val="18"/>
          <w:color w:val="auto"/>
        </w:rPr>
        <w:t>We consent to the incorporation by reference in the Registration Statements (Form S-3 ASR No. 333-229735; and Form S-8 Nos. 333-104057 and 333-172422) of Eli Lilly and Company and in the related Prospectus of our reports dated February 19, 2020, with respect to the consolidated financial statements of Eli Lilly and Company and subsidiaries, and the effectiveness of internal control over financial reporting of Eli Lilly and Company and subsidiaries, included in this Annual Report (10-K) for the year ended December 31, 2019.</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Ernst and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ectPr>
          <w:pgSz w:w="11900" w:h="16838" w:orient="portrait"/>
          <w:cols w:equalWidth="0" w:num="1">
            <w:col w:w="11320"/>
          </w:cols>
          <w:pgMar w:left="240" w:top="144"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EXHIBIT 31.1 Rule 13a-14(a) Certification of David A. Ricks, Chairman,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Chairman, President, and Chief Executive Officer, certify that:</w:t>
      </w:r>
    </w:p>
    <w:p>
      <w:pPr>
        <w:spacing w:after="0" w:line="90"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300" w:right="140" w:hanging="320"/>
        <w:spacing w:after="0" w:line="256" w:lineRule="auto"/>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300" w:right="80" w:hanging="320"/>
        <w:spacing w:after="0" w:line="256" w:lineRule="auto"/>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300" w:right="220" w:hanging="320"/>
        <w:spacing w:after="0" w:line="256" w:lineRule="auto"/>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171"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4474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549" w:right="2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EXHIBIT 31.2 Rule 13a-14(a) Certification of Joshua L. Smiley, Senior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Senior Vice President and Chief Financial Officer, certify that:</w:t>
      </w:r>
    </w:p>
    <w:p>
      <w:pPr>
        <w:spacing w:after="0" w:line="90"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300" w:right="140" w:hanging="320"/>
        <w:spacing w:after="0" w:line="256" w:lineRule="auto"/>
        <w:tabs>
          <w:tab w:leader="none" w:pos="13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300" w:right="80" w:hanging="320"/>
        <w:spacing w:after="0" w:line="256" w:lineRule="auto"/>
        <w:tabs>
          <w:tab w:leader="none" w:pos="13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300" w:right="220" w:hanging="320"/>
        <w:spacing w:after="0" w:line="256" w:lineRule="auto"/>
        <w:tabs>
          <w:tab w:leader="none" w:pos="13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17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016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00"/>
          </w:cols>
          <w:pgMar w:left="240" w:top="549" w:right="2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his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Annual Report on Form 10-K for the year ended December 31, 2019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337"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7"/>
          <w:szCs w:val="17"/>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334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Chairman, President, and Chief Executive Officer</w:t>
      </w:r>
    </w:p>
    <w:p>
      <w:pPr>
        <w:spacing w:after="0" w:line="374"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7"/>
          <w:szCs w:val="17"/>
          <w:color w:val="auto"/>
        </w:rPr>
        <w:t>/s/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334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Joshua L. Smiley</w:t>
      </w:r>
    </w:p>
    <w:p>
      <w:pPr>
        <w:spacing w:after="0" w:line="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Senior Vice President and</w:t>
      </w: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40"/>
      </w:cols>
      <w:pgMar w:left="240" w:top="54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lvl w:ilvl="1">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1)"/>
      <w:numFmt w:val="decimal"/>
      <w:start w:val="1"/>
    </w:lvl>
  </w:abstractNum>
  <w:abstractNum w:abstractNumId="21">
    <w:nsid w:val="53299938"/>
    <w:multiLevelType w:val="hybridMultilevel"/>
    <w:lvl w:ilvl="0">
      <w:lvlJc w:val="left"/>
      <w:lvlText w:val="(%1)"/>
      <w:numFmt w:val="decimal"/>
      <w:start w:val="1"/>
    </w:lvl>
  </w:abstractNum>
  <w:abstractNum w:abstractNumId="22">
    <w:nsid w:val="1FBFE8E0"/>
    <w:multiLevelType w:val="hybridMultilevel"/>
    <w:lvl w:ilvl="0">
      <w:lvlJc w:val="left"/>
      <w:lvlText w:val="%1"/>
      <w:numFmt w:val="upperLetter"/>
      <w:start w:val="35"/>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1)"/>
      <w:numFmt w:val="decimal"/>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1)"/>
      <w:numFmt w:val="decimal"/>
      <w:start w:val="1"/>
    </w:lvl>
  </w:abstractNum>
  <w:abstractNum w:abstractNumId="33">
    <w:nsid w:val="415E286C"/>
    <w:multiLevelType w:val="hybridMultilevel"/>
    <w:lvl w:ilvl="0">
      <w:lvlJc w:val="left"/>
      <w:lvlText w:val="(%1)"/>
      <w:numFmt w:val="decimal"/>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1)"/>
      <w:numFmt w:val="decimal"/>
      <w:start w:val="1"/>
    </w:lvl>
  </w:abstractNum>
  <w:abstractNum w:abstractNumId="37">
    <w:nsid w:val="5C10FE21"/>
    <w:multiLevelType w:val="hybridMultilevel"/>
    <w:lvl w:ilvl="0">
      <w:lvlJc w:val="left"/>
      <w:lvlText w:val="(%1)"/>
      <w:numFmt w:val="decimal"/>
      <w:start w:val="1"/>
    </w:lvl>
  </w:abstractNum>
  <w:abstractNum w:abstractNumId="38">
    <w:nsid w:val="E7FFA2B"/>
    <w:multiLevelType w:val="hybridMultilevel"/>
    <w:lvl w:ilvl="0">
      <w:lvlJc w:val="left"/>
      <w:lvlText w:val="(%1)"/>
      <w:numFmt w:val="decimal"/>
      <w:start w:val="1"/>
    </w:lvl>
    <w:lvl w:ilvl="1">
      <w:lvlJc w:val="left"/>
      <w:lvlText w:val="•"/>
      <w:numFmt w:val="bullet"/>
      <w:start w:val="1"/>
    </w:lvl>
  </w:abstractNum>
  <w:abstractNum w:abstractNumId="39">
    <w:nsid w:val="3C5991AA"/>
    <w:multiLevelType w:val="hybridMultilevel"/>
    <w:lvl w:ilvl="0">
      <w:lvlJc w:val="left"/>
      <w:lvlText w:val="(%1)"/>
      <w:numFmt w:val="decimal"/>
      <w:start w:val="1"/>
    </w:lvl>
  </w:abstractNum>
  <w:abstractNum w:abstractNumId="40">
    <w:nsid w:val="4BD8591A"/>
    <w:multiLevelType w:val="hybridMultilevel"/>
    <w:lvl w:ilvl="0">
      <w:lvlJc w:val="left"/>
      <w:lvlText w:val="\emdash "/>
      <w:numFmt w:val="bullet"/>
      <w:start w:val="1"/>
    </w:lvl>
  </w:abstractNum>
  <w:abstractNum w:abstractNumId="41">
    <w:nsid w:val="78DF6A55"/>
    <w:multiLevelType w:val="hybridMultilevel"/>
    <w:lvl w:ilvl="0">
      <w:lvlJc w:val="left"/>
      <w:lvlText w:val="\emdash "/>
      <w:numFmt w:val="bullet"/>
      <w:start w:val="1"/>
    </w:lvl>
  </w:abstractNum>
  <w:abstractNum w:abstractNumId="42">
    <w:nsid w:val="39B7AAA2"/>
    <w:multiLevelType w:val="hybridMultilevel"/>
    <w:lvl w:ilvl="0">
      <w:lvlJc w:val="left"/>
      <w:lvlText w:val="\emdash "/>
      <w:numFmt w:val="bullet"/>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1)"/>
      <w:numFmt w:val="decimal"/>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
      <w:numFmt w:val="bullet"/>
      <w:start w:val="1"/>
    </w:lvl>
  </w:abstractNum>
  <w:abstractNum w:abstractNumId="48">
    <w:nsid w:val="4C9B0904"/>
    <w:multiLevelType w:val="hybridMultilevel"/>
    <w:lvl w:ilvl="0">
      <w:lvlJc w:val="left"/>
      <w:lvlText w:val="•"/>
      <w:numFmt w:val="bullet"/>
      <w:start w:val="1"/>
    </w:lvl>
  </w:abstractNum>
  <w:abstractNum w:abstractNumId="49">
    <w:nsid w:val="6AA7B75C"/>
    <w:multiLevelType w:val="hybridMultilevel"/>
    <w:lvl w:ilvl="0">
      <w:lvlJc w:val="left"/>
      <w:lvlText w:val="(%1)"/>
      <w:numFmt w:val="decimal"/>
      <w:start w:val="1"/>
    </w:lvl>
  </w:abstractNum>
  <w:abstractNum w:abstractNumId="50">
    <w:nsid w:val="1DF029D3"/>
    <w:multiLevelType w:val="hybridMultilevel"/>
    <w:lvl w:ilvl="0">
      <w:lvlJc w:val="left"/>
      <w:lvlText w:val="(%1)"/>
      <w:numFmt w:val="decimal"/>
      <w:start w:val="1"/>
    </w:lvl>
  </w:abstractNum>
  <w:abstractNum w:abstractNumId="51">
    <w:nsid w:val="5675FF36"/>
    <w:multiLevelType w:val="hybridMultilevel"/>
    <w:lvl w:ilvl="0">
      <w:lvlJc w:val="left"/>
      <w:lvlText w:val="(%1)"/>
      <w:numFmt w:val="decimal"/>
      <w:start w:val="1"/>
    </w:lvl>
  </w:abstractNum>
  <w:abstractNum w:abstractNumId="52">
    <w:nsid w:val="3DD15094"/>
    <w:multiLevelType w:val="hybridMultilevel"/>
    <w:lvl w:ilvl="0">
      <w:lvlJc w:val="left"/>
      <w:lvlText w:val="(%1)"/>
      <w:numFmt w:val="decimal"/>
      <w:start w:val="1"/>
    </w:lvl>
  </w:abstractNum>
  <w:abstractNum w:abstractNumId="53">
    <w:nsid w:val="3DB012B3"/>
    <w:multiLevelType w:val="hybridMultilevel"/>
    <w:lvl w:ilvl="0">
      <w:lvlJc w:val="left"/>
      <w:lvlText w:val="(%1)"/>
      <w:numFmt w:val="decimal"/>
      <w:start w:val="1"/>
    </w:lvl>
  </w:abstractNum>
  <w:abstractNum w:abstractNumId="54">
    <w:nsid w:val="2708C9AF"/>
    <w:multiLevelType w:val="hybridMultilevel"/>
    <w:lvl w:ilvl="0">
      <w:lvlJc w:val="left"/>
      <w:lvlText w:val="•"/>
      <w:numFmt w:val="bullet"/>
      <w:start w:val="1"/>
    </w:lvl>
  </w:abstractNum>
  <w:abstractNum w:abstractNumId="55">
    <w:nsid w:val="5B25ACE2"/>
    <w:multiLevelType w:val="hybridMultilevel"/>
    <w:lvl w:ilvl="0">
      <w:lvlJc w:val="left"/>
      <w:lvlText w:val="(%1)"/>
      <w:numFmt w:val="decimal"/>
      <w:start w:val="1"/>
    </w:lvl>
  </w:abstractNum>
  <w:abstractNum w:abstractNumId="56">
    <w:nsid w:val="175DFCF0"/>
    <w:multiLevelType w:val="hybridMultilevel"/>
    <w:lvl w:ilvl="0">
      <w:lvlJc w:val="left"/>
      <w:lvlText w:val="(%1)"/>
      <w:numFmt w:val="decimal"/>
      <w:start w:val="1"/>
    </w:lvl>
  </w:abstractNum>
  <w:abstractNum w:abstractNumId="57">
    <w:nsid w:val="4F97E3E4"/>
    <w:multiLevelType w:val="hybridMultilevel"/>
    <w:lvl w:ilvl="0">
      <w:lvlJc w:val="left"/>
      <w:lvlText w:val="(%1)"/>
      <w:numFmt w:val="decimal"/>
      <w:start w:val="1"/>
    </w:lvl>
  </w:abstractNum>
  <w:abstractNum w:abstractNumId="58">
    <w:nsid w:val="53B0A9E"/>
    <w:multiLevelType w:val="hybridMultilevel"/>
    <w:lvl w:ilvl="0">
      <w:lvlJc w:val="left"/>
      <w:lvlText w:val="(%1)"/>
      <w:numFmt w:val="decimal"/>
      <w:start w:val="1"/>
    </w:lvl>
  </w:abstractNum>
  <w:abstractNum w:abstractNumId="59">
    <w:nsid w:val="34FD6B4F"/>
    <w:multiLevelType w:val="hybridMultilevel"/>
    <w:lvl w:ilvl="0">
      <w:lvlJc w:val="left"/>
      <w:lvlText w:val="(%1)"/>
      <w:numFmt w:val="decimal"/>
      <w:start w:val="1"/>
    </w:lvl>
  </w:abstractNum>
  <w:abstractNum w:abstractNumId="60">
    <w:nsid w:val="5915FF32"/>
    <w:multiLevelType w:val="hybridMultilevel"/>
    <w:lvl w:ilvl="0">
      <w:lvlJc w:val="left"/>
      <w:lvlText w:val="(%1)"/>
      <w:numFmt w:val="decimal"/>
      <w:start w:val="1"/>
    </w:lvl>
  </w:abstractNum>
  <w:abstractNum w:abstractNumId="61">
    <w:nsid w:val="56438D15"/>
    <w:multiLevelType w:val="hybridMultilevel"/>
    <w:lvl w:ilvl="0">
      <w:lvlJc w:val="left"/>
      <w:lvlText w:val="(%1)"/>
      <w:numFmt w:val="decimal"/>
      <w:start w:val="1"/>
    </w:lvl>
  </w:abstractNum>
  <w:abstractNum w:abstractNumId="62">
    <w:nsid w:val="519E3149"/>
    <w:multiLevelType w:val="hybridMultilevel"/>
    <w:lvl w:ilvl="0">
      <w:lvlJc w:val="left"/>
      <w:lvlText w:val="(%1)"/>
      <w:numFmt w:val="decimal"/>
      <w:start w:val="1"/>
    </w:lvl>
  </w:abstractNum>
  <w:abstractNum w:abstractNumId="63">
    <w:nsid w:val="2C6E4AFD"/>
    <w:multiLevelType w:val="hybridMultilevel"/>
    <w:lvl w:ilvl="0">
      <w:lvlJc w:val="left"/>
      <w:lvlText w:val="(%1)"/>
      <w:numFmt w:val="decimal"/>
      <w:start w:val="1"/>
    </w:lvl>
  </w:abstractNum>
  <w:abstractNum w:abstractNumId="64">
    <w:nsid w:val="17A1B582"/>
    <w:multiLevelType w:val="hybridMultilevel"/>
    <w:lvl w:ilvl="0">
      <w:lvlJc w:val="left"/>
      <w:lvlText w:val="•"/>
      <w:numFmt w:val="bullet"/>
      <w:start w:val="1"/>
    </w:lvl>
  </w:abstractNum>
  <w:abstractNum w:abstractNumId="65">
    <w:nsid w:val="4DF72E4E"/>
    <w:multiLevelType w:val="hybridMultilevel"/>
    <w:lvl w:ilvl="0">
      <w:lvlJc w:val="left"/>
      <w:lvlText w:val="%1"/>
      <w:numFmt w:val="decimal"/>
      <w:start w:val="1"/>
    </w:lvl>
    <w:lvl w:ilvl="1">
      <w:lvlJc w:val="left"/>
      <w:lvlText w:val="%2"/>
      <w:numFmt w:val="decimal"/>
      <w:start w:val="104"/>
    </w:lvl>
  </w:abstractNum>
  <w:abstractNum w:abstractNumId="66">
    <w:nsid w:val="5046B5A9"/>
    <w:multiLevelType w:val="hybridMultilevel"/>
    <w:lvl w:ilvl="0">
      <w:lvlJc w:val="left"/>
      <w:lvlText w:val="(%1)"/>
      <w:numFmt w:val="decimal"/>
      <w:start w:val="1"/>
    </w:lvl>
    <w:lvl w:ilvl="1">
      <w:lvlJc w:val="left"/>
      <w:lvlText w:val="%2"/>
      <w:numFmt w:val="decimal"/>
      <w:start w:val="1"/>
    </w:lvl>
  </w:abstractNum>
  <w:abstractNum w:abstractNumId="67">
    <w:nsid w:val="5D888A08"/>
    <w:multiLevelType w:val="hybridMultilevel"/>
    <w:lvl w:ilvl="0">
      <w:lvlJc w:val="left"/>
      <w:lvlText w:val="•"/>
      <w:numFmt w:val="bullet"/>
      <w:start w:val="1"/>
    </w:lvl>
  </w:abstractNum>
  <w:abstractNum w:abstractNumId="68">
    <w:nsid w:val="2A082C70"/>
    <w:multiLevelType w:val="hybridMultilevel"/>
    <w:lvl w:ilvl="0">
      <w:lvlJc w:val="left"/>
      <w:lvlText w:val="•"/>
      <w:numFmt w:val="bullet"/>
      <w:start w:val="1"/>
    </w:lvl>
  </w:abstractNum>
  <w:abstractNum w:abstractNumId="69">
    <w:nsid w:val="5EC6AFD4"/>
    <w:multiLevelType w:val="hybridMultilevel"/>
    <w:lvl w:ilvl="0">
      <w:lvlJc w:val="left"/>
      <w:lvlText w:val="•"/>
      <w:numFmt w:val="bullet"/>
      <w:start w:val="1"/>
    </w:lvl>
  </w:abstractNum>
  <w:abstractNum w:abstractNumId="70">
    <w:nsid w:val="19E21BB2"/>
    <w:multiLevelType w:val="hybridMultilevel"/>
    <w:lvl w:ilvl="0">
      <w:lvlJc w:val="left"/>
      <w:lvlText w:val="•"/>
      <w:numFmt w:val="bullet"/>
      <w:start w:val="1"/>
    </w:lvl>
  </w:abstractNum>
  <w:abstractNum w:abstractNumId="71">
    <w:nsid w:val="75E0858A"/>
    <w:multiLevelType w:val="hybridMultilevel"/>
    <w:lvl w:ilvl="0">
      <w:lvlJc w:val="left"/>
      <w:lvlText w:val="•"/>
      <w:numFmt w:val="bullet"/>
      <w:start w:val="1"/>
    </w:lvl>
  </w:abstractNum>
  <w:abstractNum w:abstractNumId="72">
    <w:nsid w:val="57A61A29"/>
    <w:multiLevelType w:val="hybridMultilevel"/>
    <w:lvl w:ilvl="0">
      <w:lvlJc w:val="left"/>
      <w:lvlText w:val="(%1)"/>
      <w:numFmt w:val="lowerRoman"/>
      <w:start w:val="1"/>
    </w:lvl>
  </w:abstractNum>
  <w:abstractNum w:abstractNumId="73">
    <w:nsid w:val="5399C654"/>
    <w:multiLevelType w:val="hybridMultilevel"/>
    <w:lvl w:ilvl="0">
      <w:lvlJc w:val="left"/>
      <w:lvlText w:val="%1"/>
      <w:numFmt w:val="lowerRoman"/>
      <w:start w:val="1"/>
    </w:lvl>
    <w:lvl w:ilvl="1">
      <w:lvlJc w:val="left"/>
      <w:lvlText w:val="(%2)"/>
      <w:numFmt w:val="decimal"/>
      <w:start w:val="1"/>
    </w:lvl>
  </w:abstractNum>
  <w:abstractNum w:abstractNumId="74">
    <w:nsid w:val="20EE1348"/>
    <w:multiLevelType w:val="hybridMultilevel"/>
    <w:lvl w:ilvl="0">
      <w:lvlJc w:val="left"/>
      <w:lvlText w:val="(%1)"/>
      <w:numFmt w:val="lowerRoman"/>
      <w:start w:val="2"/>
    </w:lvl>
    <w:lvl w:ilvl="1">
      <w:lvlJc w:val="left"/>
      <w:lvlText w:val="%2"/>
      <w:numFmt w:val="decimal"/>
      <w:start w:val="1"/>
    </w:lvl>
  </w:abstractNum>
  <w:abstractNum w:abstractNumId="75">
    <w:nsid w:val="4427069A"/>
    <w:multiLevelType w:val="hybridMultilevel"/>
    <w:lvl w:ilvl="0">
      <w:lvlJc w:val="left"/>
      <w:lvlText w:val="•"/>
      <w:numFmt w:val="bullet"/>
      <w:start w:val="1"/>
    </w:lvl>
  </w:abstractNum>
  <w:abstractNum w:abstractNumId="76">
    <w:nsid w:val="B37E80A"/>
    <w:multiLevelType w:val="hybridMultilevel"/>
    <w:lvl w:ilvl="0">
      <w:lvlJc w:val="left"/>
      <w:lvlText w:val="•"/>
      <w:numFmt w:val="bullet"/>
      <w:start w:val="1"/>
    </w:lvl>
  </w:abstractNum>
  <w:abstractNum w:abstractNumId="77">
    <w:nsid w:val="2157F6BC"/>
    <w:multiLevelType w:val="hybridMultilevel"/>
    <w:lvl w:ilvl="0">
      <w:lvlJc w:val="left"/>
      <w:lvlText w:val="(%1)"/>
      <w:numFmt w:val="lowerRoman"/>
      <w:start w:val="1"/>
    </w:lvl>
  </w:abstractNum>
  <w:abstractNum w:abstractNumId="78">
    <w:nsid w:val="704E1DD5"/>
    <w:multiLevelType w:val="hybridMultilevel"/>
    <w:lvl w:ilvl="0">
      <w:lvlJc w:val="left"/>
      <w:lvlText w:val="(%1)"/>
      <w:numFmt w:val="lowerRoman"/>
      <w:start w:val="8"/>
    </w:lvl>
    <w:lvl w:ilvl="1">
      <w:lvlJc w:val="left"/>
      <w:lvlText w:val="▪"/>
      <w:numFmt w:val="bullet"/>
      <w:start w:val="1"/>
    </w:lvl>
  </w:abstractNum>
  <w:abstractNum w:abstractNumId="79">
    <w:nsid w:val="57D2F10E"/>
    <w:multiLevelType w:val="hybridMultilevel"/>
    <w:lvl w:ilvl="0">
      <w:lvlJc w:val="left"/>
      <w:lvlText w:val="(%1)"/>
      <w:numFmt w:val="decimal"/>
      <w:start w:val="1"/>
    </w:lvl>
  </w:abstractNum>
  <w:abstractNum w:abstractNumId="80">
    <w:nsid w:val="BFFAE18"/>
    <w:multiLevelType w:val="hybridMultilevel"/>
    <w:lvl w:ilvl="0">
      <w:lvlJc w:val="left"/>
      <w:lvlText w:val="•"/>
      <w:numFmt w:val="bullet"/>
      <w:start w:val="1"/>
    </w:lvl>
    <w:lvl w:ilvl="1">
      <w:lvlJc w:val="left"/>
      <w:lvlText w:val="◦"/>
      <w:numFmt w:val="bullet"/>
      <w:start w:val="1"/>
    </w:lvl>
  </w:abstractNum>
  <w:abstractNum w:abstractNumId="81">
    <w:nsid w:val="E3E47A8"/>
    <w:multiLevelType w:val="hybridMultilevel"/>
    <w:lvl w:ilvl="0">
      <w:lvlJc w:val="left"/>
      <w:lvlText w:val="•"/>
      <w:numFmt w:val="bullet"/>
      <w:start w:val="1"/>
    </w:lvl>
  </w:abstractNum>
  <w:abstractNum w:abstractNumId="82">
    <w:nsid w:val="2E48F044"/>
    <w:multiLevelType w:val="hybridMultilevel"/>
    <w:lvl w:ilvl="0">
      <w:lvlJc w:val="left"/>
      <w:lvlText w:val="•"/>
      <w:numFmt w:val="bullet"/>
      <w:start w:val="1"/>
    </w:lvl>
  </w:abstractNum>
  <w:abstractNum w:abstractNumId="83">
    <w:nsid w:val="49D0FEAC"/>
    <w:multiLevelType w:val="hybridMultilevel"/>
    <w:lvl w:ilvl="0">
      <w:lvlJc w:val="left"/>
      <w:lvlText w:val="%1."/>
      <w:numFmt w:val="decimal"/>
      <w:start w:val="1"/>
    </w:lvl>
    <w:lvl w:ilvl="1">
      <w:lvlJc w:val="left"/>
      <w:lvlText w:val="%2."/>
      <w:numFmt w:val="lowerLetter"/>
      <w:start w:val="1"/>
    </w:lvl>
  </w:abstractNum>
  <w:abstractNum w:abstractNumId="84">
    <w:nsid w:val="4BEE5A5B"/>
    <w:multiLevelType w:val="hybridMultilevel"/>
    <w:lvl w:ilvl="0">
      <w:lvlJc w:val="left"/>
      <w:lvlText w:val="%1"/>
      <w:numFmt w:val="decimal"/>
      <w:start w:val="1"/>
    </w:lvl>
    <w:lvl w:ilvl="1">
      <w:lvlJc w:val="left"/>
      <w:lvlText w:val="%2."/>
      <w:numFmt w:val="lowerLetter"/>
      <w:start w:val="3"/>
    </w:lvl>
  </w:abstractNum>
  <w:abstractNum w:abstractNumId="85">
    <w:nsid w:val="5551B9F3"/>
    <w:multiLevelType w:val="hybridMultilevel"/>
    <w:lvl w:ilvl="0">
      <w:lvlJc w:val="left"/>
      <w:lvlText w:val="%1."/>
      <w:numFmt w:val="decimal"/>
      <w:start w:val="2"/>
    </w:lvl>
    <w:lvl w:ilvl="1">
      <w:lvlJc w:val="left"/>
      <w:lvlText w:val="%2"/>
      <w:numFmt w:val="lowerLetter"/>
      <w:start w:val="1"/>
    </w:lvl>
  </w:abstractNum>
  <w:abstractNum w:abstractNumId="86">
    <w:nsid w:val="24F6AB8E"/>
    <w:multiLevelType w:val="hybridMultilevel"/>
    <w:lvl w:ilvl="0">
      <w:lvlJc w:val="left"/>
      <w:lvlText w:val="•"/>
      <w:numFmt w:val="bullet"/>
      <w:start w:val="1"/>
    </w:lvl>
  </w:abstractNum>
  <w:abstractNum w:abstractNumId="87">
    <w:nsid w:val="634C574C"/>
    <w:multiLevelType w:val="hybridMultilevel"/>
    <w:lvl w:ilvl="0">
      <w:lvlJc w:val="left"/>
      <w:lvlText w:val="%1."/>
      <w:numFmt w:val="lowerRoman"/>
      <w:start w:val="1"/>
    </w:lvl>
  </w:abstractNum>
  <w:abstractNum w:abstractNumId="88">
    <w:nsid w:val="24E99DD7"/>
    <w:multiLevelType w:val="hybridMultilevel"/>
    <w:lvl w:ilvl="0">
      <w:lvlJc w:val="left"/>
      <w:lvlText w:val="(%1)"/>
      <w:numFmt w:val="decimal"/>
      <w:start w:val="1"/>
    </w:lvl>
  </w:abstractNum>
  <w:abstractNum w:abstractNumId="89">
    <w:nsid w:val="2A31B62D"/>
    <w:multiLevelType w:val="hybridMultilevel"/>
    <w:lvl w:ilvl="0">
      <w:lvlJc w:val="left"/>
      <w:lvlText w:val="•"/>
      <w:numFmt w:val="bullet"/>
      <w:start w:val="1"/>
    </w:lvl>
  </w:abstractNum>
  <w:abstractNum w:abstractNumId="90">
    <w:nsid w:val="1849C29B"/>
    <w:multiLevelType w:val="hybridMultilevel"/>
    <w:lvl w:ilvl="0">
      <w:lvlJc w:val="left"/>
      <w:lvlText w:val="•"/>
      <w:numFmt w:val="bullet"/>
      <w:start w:val="1"/>
    </w:lvl>
  </w:abstractNum>
  <w:abstractNum w:abstractNumId="91">
    <w:nsid w:val="7DFF9D09"/>
    <w:multiLevelType w:val="hybridMultilevel"/>
    <w:lvl w:ilvl="0">
      <w:lvlJc w:val="left"/>
      <w:lvlText w:val="•"/>
      <w:numFmt w:val="bullet"/>
      <w:start w:val="1"/>
    </w:lvl>
  </w:abstractNum>
  <w:abstractNum w:abstractNumId="92">
    <w:nsid w:val="754342"/>
    <w:multiLevelType w:val="hybridMultilevel"/>
    <w:lvl w:ilvl="0">
      <w:lvlJc w:val="left"/>
      <w:lvlText w:val="•"/>
      <w:numFmt w:val="bullet"/>
      <w:start w:val="1"/>
    </w:lvl>
  </w:abstractNum>
  <w:abstractNum w:abstractNumId="93">
    <w:nsid w:val="69E7F3E5"/>
    <w:multiLevelType w:val="hybridMultilevel"/>
    <w:lvl w:ilvl="0">
      <w:lvlJc w:val="left"/>
      <w:lvlText w:val="•"/>
      <w:numFmt w:val="bullet"/>
      <w:start w:val="1"/>
    </w:lvl>
  </w:abstractNum>
  <w:abstractNum w:abstractNumId="94">
    <w:nsid w:val="2A6DE806"/>
    <w:multiLevelType w:val="hybridMultilevel"/>
    <w:lvl w:ilvl="0">
      <w:lvlJc w:val="left"/>
      <w:lvlText w:val="(%1)"/>
      <w:numFmt w:val="lowerRoman"/>
      <w:start w:val="1"/>
    </w:lvl>
    <w:lvl w:ilvl="1">
      <w:lvlJc w:val="left"/>
      <w:lvlText w:val="(%2)"/>
      <w:numFmt w:val="decimal"/>
      <w:start w:val="1"/>
    </w:lvl>
  </w:abstractNum>
  <w:abstractNum w:abstractNumId="95">
    <w:nsid w:val="1816F8C4"/>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5"/>
    </w:lvl>
  </w:abstractNum>
  <w:abstractNum w:abstractNumId="96">
    <w:nsid w:val="37DF2233"/>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1"/>
    </w:lvl>
  </w:abstractNum>
  <w:abstractNum w:abstractNumId="97">
    <w:nsid w:val="7AB49DAF"/>
    <w:multiLevelType w:val="hybridMultilevel"/>
    <w:lvl w:ilvl="0">
      <w:lvlJc w:val="left"/>
      <w:lvlText w:val="(%1)"/>
      <w:numFmt w:val="lowerRoman"/>
      <w:start w:val="10"/>
    </w:lvl>
    <w:lvl w:ilvl="1">
      <w:lvlJc w:val="left"/>
      <w:lvlText w:val="%2"/>
      <w:numFmt w:val="lowerRoman"/>
      <w:start w:val="1"/>
    </w:lvl>
    <w:lvl w:ilvl="2">
      <w:lvlJc w:val="left"/>
      <w:lvlText w:val="%3"/>
      <w:numFmt w:val="decimal"/>
      <w:start w:val="1"/>
    </w:lvl>
  </w:abstractNum>
  <w:abstractNum w:abstractNumId="98">
    <w:nsid w:val="759F82CD"/>
    <w:multiLevelType w:val="hybridMultilevel"/>
    <w:lvl w:ilvl="0">
      <w:lvlJc w:val="left"/>
      <w:lvlText w:val="(%1)"/>
      <w:numFmt w:val="lowerRoman"/>
      <w:start w:val="1"/>
    </w:lvl>
    <w:lvl w:ilvl="1">
      <w:lvlJc w:val="left"/>
      <w:lvlText w:val="▪"/>
      <w:numFmt w:val="bullet"/>
      <w:start w:val="1"/>
    </w:lvl>
  </w:abstractNum>
  <w:abstractNum w:abstractNumId="99">
    <w:nsid w:val="61E74EA3"/>
    <w:multiLevelType w:val="hybridMultilevel"/>
    <w:lvl w:ilvl="0">
      <w:lvlJc w:val="left"/>
      <w:lvlText w:val="(%1)"/>
      <w:numFmt w:val="decimal"/>
      <w:start w:val="1"/>
    </w:lvl>
  </w:abstractNum>
  <w:abstractNum w:abstractNumId="100">
    <w:nsid w:val="597B4D84"/>
    <w:multiLevelType w:val="hybridMultilevel"/>
    <w:lvl w:ilvl="0">
      <w:lvlJc w:val="left"/>
      <w:lvlText w:val="(%1)"/>
      <w:numFmt w:val="decimal"/>
      <w:start w:val="2"/>
    </w:lvl>
  </w:abstractNum>
  <w:abstractNum w:abstractNumId="101">
    <w:nsid w:val="F819E7F"/>
    <w:multiLevelType w:val="hybridMultilevel"/>
    <w:lvl w:ilvl="0">
      <w:lvlJc w:val="left"/>
      <w:lvlText w:val="•"/>
      <w:numFmt w:val="bullet"/>
      <w:start w:val="1"/>
    </w:lvl>
    <w:lvl w:ilvl="1">
      <w:lvlJc w:val="left"/>
      <w:lvlText w:val="◦"/>
      <w:numFmt w:val="bullet"/>
      <w:start w:val="1"/>
    </w:lvl>
  </w:abstractNum>
  <w:abstractNum w:abstractNumId="102">
    <w:nsid w:val="57C7D42D"/>
    <w:multiLevelType w:val="hybridMultilevel"/>
    <w:lvl w:ilvl="0">
      <w:lvlJc w:val="left"/>
      <w:lvlText w:val="•"/>
      <w:numFmt w:val="bullet"/>
      <w:start w:val="1"/>
    </w:lvl>
  </w:abstractNum>
  <w:abstractNum w:abstractNumId="103">
    <w:nsid w:val="312167AD"/>
    <w:multiLevelType w:val="hybridMultilevel"/>
    <w:lvl w:ilvl="0">
      <w:lvlJc w:val="left"/>
      <w:lvlText w:val="%1)"/>
      <w:numFmt w:val="decimal"/>
      <w:start w:val="1"/>
    </w:lvl>
    <w:lvl w:ilvl="1">
      <w:lvlJc w:val="left"/>
      <w:lvlText w:val="%2."/>
      <w:numFmt w:val="lowerLetter"/>
      <w:start w:val="1"/>
    </w:lvl>
  </w:abstractNum>
  <w:abstractNum w:abstractNumId="104">
    <w:nsid w:val="631B64D4"/>
    <w:multiLevelType w:val="hybridMultilevel"/>
    <w:lvl w:ilvl="0">
      <w:lvlJc w:val="left"/>
      <w:lvlText w:val="•"/>
      <w:numFmt w:val="bullet"/>
      <w:start w:val="1"/>
    </w:lvl>
  </w:abstractNum>
  <w:abstractNum w:abstractNumId="105">
    <w:nsid w:val="78B5E776"/>
    <w:multiLevelType w:val="hybridMultilevel"/>
    <w:lvl w:ilvl="0">
      <w:lvlJc w:val="left"/>
      <w:lvlText w:val="%1."/>
      <w:numFmt w:val="lowerRoman"/>
      <w:start w:val="1"/>
    </w:lvl>
  </w:abstractNum>
  <w:abstractNum w:abstractNumId="106">
    <w:nsid w:val="75486E47"/>
    <w:multiLevelType w:val="hybridMultilevel"/>
    <w:lvl w:ilvl="0">
      <w:lvlJc w:val="left"/>
      <w:lvlText w:val="(%1)"/>
      <w:numFmt w:val="decimal"/>
      <w:start w:val="1"/>
    </w:lvl>
  </w:abstractNum>
  <w:abstractNum w:abstractNumId="107">
    <w:nsid w:val="6E534CDE"/>
    <w:multiLevelType w:val="hybridMultilevel"/>
    <w:lvl w:ilvl="0">
      <w:lvlJc w:val="left"/>
      <w:lvlText w:val="%1"/>
      <w:numFmt w:val="lowerRoman"/>
      <w:start w:val="1"/>
    </w:lvl>
    <w:lvl w:ilvl="1">
      <w:lvlJc w:val="left"/>
      <w:lvlText w:val="(%2)"/>
      <w:numFmt w:val="decimal"/>
      <w:start w:val="2"/>
    </w:lvl>
  </w:abstractNum>
  <w:abstractNum w:abstractNumId="108">
    <w:nsid w:val="1A0DDE32"/>
    <w:multiLevelType w:val="hybridMultilevel"/>
    <w:lvl w:ilvl="0">
      <w:lvlJc w:val="left"/>
      <w:lvlText w:val="(%1)"/>
      <w:numFmt w:val="lowerRoman"/>
      <w:start w:val="3"/>
    </w:lvl>
    <w:lvl w:ilvl="1">
      <w:lvlJc w:val="left"/>
      <w:lvlText w:val="(%2)"/>
      <w:numFmt w:val="decimal"/>
      <w:start w:val="3"/>
    </w:lvl>
  </w:abstractNum>
  <w:abstractNum w:abstractNumId="109">
    <w:nsid w:val="65968C1C"/>
    <w:multiLevelType w:val="hybridMultilevel"/>
    <w:lvl w:ilvl="0">
      <w:lvlJc w:val="left"/>
      <w:lvlText w:val="%1."/>
      <w:numFmt w:val="lowerLetter"/>
      <w:start w:val="1"/>
    </w:lvl>
    <w:lvl w:ilvl="1">
      <w:lvlJc w:val="left"/>
      <w:lvlText w:val="%2."/>
      <w:numFmt w:val="lowerRoman"/>
      <w:start w:val="1"/>
    </w:lvl>
  </w:abstractNum>
  <w:abstractNum w:abstractNumId="110">
    <w:nsid w:val="46263DEC"/>
    <w:multiLevelType w:val="hybridMultilevel"/>
    <w:lvl w:ilvl="0">
      <w:lvlJc w:val="left"/>
      <w:lvlText w:val="%1"/>
      <w:numFmt w:val="lowerLetter"/>
      <w:start w:val="1"/>
    </w:lvl>
    <w:lvl w:ilvl="1">
      <w:lvlJc w:val="left"/>
      <w:lvlText w:val="%2."/>
      <w:numFmt w:val="lowerRoman"/>
      <w:start w:val="2"/>
    </w:lvl>
  </w:abstractNum>
  <w:abstractNum w:abstractNumId="111">
    <w:nsid w:val="260D8C4A"/>
    <w:multiLevelType w:val="hybridMultilevel"/>
    <w:lvl w:ilvl="0">
      <w:lvlJc w:val="left"/>
      <w:lvlText w:val="%1."/>
      <w:numFmt w:val="lowerLetter"/>
      <w:start w:val="2"/>
    </w:lvl>
    <w:lvl w:ilvl="1">
      <w:lvlJc w:val="left"/>
      <w:lvlText w:val="%2"/>
      <w:numFmt w:val="lowerRoman"/>
      <w:start w:val="1"/>
    </w:lvl>
  </w:abstractNum>
  <w:abstractNum w:abstractNumId="112">
    <w:nsid w:val="73D4D3C4"/>
    <w:multiLevelType w:val="hybridMultilevel"/>
    <w:lvl w:ilvl="0">
      <w:lvlJc w:val="left"/>
      <w:lvlText w:val="%1."/>
      <w:numFmt w:val="lowerLetter"/>
      <w:start w:val="1"/>
    </w:lvl>
    <w:lvl w:ilvl="1">
      <w:lvlJc w:val="left"/>
      <w:lvlText w:val="%2."/>
      <w:numFmt w:val="lowerRoman"/>
      <w:start w:val="1"/>
    </w:lvl>
  </w:abstractNum>
  <w:abstractNum w:abstractNumId="113">
    <w:nsid w:val="746F2E30"/>
    <w:multiLevelType w:val="hybridMultilevel"/>
    <w:lvl w:ilvl="0">
      <w:lvlJc w:val="left"/>
      <w:lvlText w:val="%1."/>
      <w:numFmt w:val="lowerLetter"/>
      <w:start w:val="4"/>
    </w:lvl>
  </w:abstractNum>
  <w:abstractNum w:abstractNumId="114">
    <w:nsid w:val="6FDE8AF6"/>
    <w:multiLevelType w:val="hybridMultilevel"/>
    <w:lvl w:ilvl="0">
      <w:lvlJc w:val="left"/>
      <w:lvlText w:val="%1."/>
      <w:numFmt w:val="lowerLetter"/>
      <w:start w:val="5"/>
    </w:lvl>
  </w:abstractNum>
  <w:abstractNum w:abstractNumId="115">
    <w:nsid w:val="3FC32E2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16">
    <w:nsid w:val="49C0E823"/>
    <w:multiLevelType w:val="hybridMultilevel"/>
    <w:lvl w:ilvl="0">
      <w:lvlJc w:val="left"/>
      <w:lvlText w:val="%1."/>
      <w:numFmt w:val="lowerLetter"/>
      <w:start w:val="3"/>
    </w:lvl>
    <w:lvl w:ilvl="1">
      <w:lvlJc w:val="left"/>
      <w:lvlText w:val="%2."/>
      <w:numFmt w:val="lowerRoman"/>
      <w:start w:val="1"/>
    </w:lvl>
  </w:abstractNum>
  <w:abstractNum w:abstractNumId="117">
    <w:nsid w:val="14D53685"/>
    <w:multiLevelType w:val="hybridMultilevel"/>
    <w:lvl w:ilvl="0">
      <w:lvlJc w:val="left"/>
      <w:lvlText w:val="%1."/>
      <w:numFmt w:val="lowerRoman"/>
      <w:start w:val="2"/>
    </w:lvl>
  </w:abstractNum>
  <w:abstractNum w:abstractNumId="118">
    <w:nsid w:val="230F856C"/>
    <w:multiLevelType w:val="hybridMultilevel"/>
    <w:lvl w:ilvl="0">
      <w:lvlJc w:val="left"/>
      <w:lvlText w:val="%1."/>
      <w:numFmt w:val="lowerLetter"/>
      <w:start w:val="1"/>
    </w:lvl>
  </w:abstractNum>
  <w:abstractNum w:abstractNumId="119">
    <w:nsid w:val="6EAA85FB"/>
    <w:multiLevelType w:val="hybridMultilevel"/>
    <w:lvl w:ilvl="0">
      <w:lvlJc w:val="left"/>
      <w:lvlText w:val="%1."/>
      <w:numFmt w:val="lowerLetter"/>
      <w:start w:val="1"/>
    </w:lvl>
  </w:abstractNum>
  <w:abstractNum w:abstractNumId="120">
    <w:nsid w:val="3F06ECB2"/>
    <w:multiLevelType w:val="hybridMultilevel"/>
    <w:lvl w:ilvl="0">
      <w:lvlJc w:val="left"/>
      <w:lvlText w:val="%1."/>
      <w:numFmt w:val="lowerLetter"/>
      <w:start w:val="1"/>
    </w:lvl>
    <w:lvl w:ilvl="1">
      <w:lvlJc w:val="left"/>
      <w:lvlText w:val="%2."/>
      <w:numFmt w:val="lowerRoman"/>
      <w:start w:val="1"/>
    </w:lvl>
  </w:abstractNum>
  <w:abstractNum w:abstractNumId="121">
    <w:nsid w:val="3B594807"/>
    <w:multiLevelType w:val="hybridMultilevel"/>
    <w:lvl w:ilvl="0">
      <w:lvlJc w:val="left"/>
      <w:lvlText w:val="%1."/>
      <w:numFmt w:val="lowerLetter"/>
      <w:start w:val="1"/>
    </w:lvl>
  </w:abstractNum>
  <w:abstractNum w:abstractNumId="122">
    <w:nsid w:val="6CAA2304"/>
    <w:multiLevelType w:val="hybridMultilevel"/>
    <w:lvl w:ilvl="0">
      <w:lvlJc w:val="left"/>
      <w:lvlText w:val="%1."/>
      <w:numFmt w:val="lowerLetter"/>
      <w:start w:val="1"/>
    </w:lvl>
  </w:abstractNum>
  <w:abstractNum w:abstractNumId="123">
    <w:nsid w:val="3F7C2FF4"/>
    <w:multiLevelType w:val="hybridMultilevel"/>
    <w:lvl w:ilvl="0">
      <w:lvlJc w:val="left"/>
      <w:lvlText w:val="%1."/>
      <w:numFmt w:val="lowerLetter"/>
      <w:start w:val="2"/>
    </w:lvl>
  </w:abstractNum>
  <w:abstractNum w:abstractNumId="124">
    <w:nsid w:val="25413BEC"/>
    <w:multiLevelType w:val="hybridMultilevel"/>
    <w:lvl w:ilvl="0">
      <w:lvlJc w:val="left"/>
      <w:lvlText w:val="%1."/>
      <w:numFmt w:val="lowerLetter"/>
      <w:start w:val="1"/>
    </w:lvl>
  </w:abstractNum>
  <w:abstractNum w:abstractNumId="125">
    <w:nsid w:val="17180B0B"/>
    <w:multiLevelType w:val="hybridMultilevel"/>
    <w:lvl w:ilvl="0">
      <w:lvlJc w:val="left"/>
      <w:lvlText w:val="%1."/>
      <w:numFmt w:val="lowerLetter"/>
      <w:start w:val="1"/>
    </w:lvl>
    <w:lvl w:ilvl="1">
      <w:lvlJc w:val="left"/>
      <w:lvlText w:val="(%2)"/>
      <w:numFmt w:val="lowerRoman"/>
      <w:start w:val="2"/>
    </w:lvl>
  </w:abstractNum>
  <w:abstractNum w:abstractNumId="126">
    <w:nsid w:val="579328B9"/>
    <w:multiLevelType w:val="hybridMultilevel"/>
    <w:lvl w:ilvl="0">
      <w:lvlJc w:val="left"/>
      <w:lvlText w:val="%1."/>
      <w:numFmt w:val="lowerLetter"/>
      <w:start w:val="1"/>
    </w:lvl>
  </w:abstractNum>
  <w:abstractNum w:abstractNumId="127">
    <w:nsid w:val="5D205E20"/>
    <w:multiLevelType w:val="hybridMultilevel"/>
    <w:lvl w:ilvl="0">
      <w:lvlJc w:val="left"/>
      <w:lvlText w:val="%1."/>
      <w:numFmt w:val="lowerLetter"/>
      <w:start w:val="1"/>
    </w:lvl>
  </w:abstractNum>
  <w:abstractNum w:abstractNumId="128">
    <w:nsid w:val="11CCA8BA"/>
    <w:multiLevelType w:val="hybridMultilevel"/>
    <w:lvl w:ilvl="0">
      <w:lvlJc w:val="left"/>
      <w:lvlText w:val="%1."/>
      <w:numFmt w:val="lowerLetter"/>
      <w:start w:val="2"/>
    </w:lvl>
    <w:lvl w:ilvl="1">
      <w:lvlJc w:val="left"/>
      <w:lvlText w:val="%2."/>
      <w:numFmt w:val="lowerRoman"/>
      <w:start w:val="1"/>
    </w:lvl>
  </w:abstractNum>
  <w:abstractNum w:abstractNumId="129">
    <w:nsid w:val="4D32AB86"/>
    <w:multiLevelType w:val="hybridMultilevel"/>
    <w:lvl w:ilvl="0">
      <w:lvlJc w:val="left"/>
      <w:lvlText w:val="%1."/>
      <w:numFmt w:val="lowerLetter"/>
      <w:start w:val="4"/>
    </w:lvl>
  </w:abstractNum>
  <w:abstractNum w:abstractNumId="130">
    <w:nsid w:val="3F07ACC3"/>
    <w:multiLevelType w:val="hybridMultilevel"/>
    <w:lvl w:ilvl="0">
      <w:lvlJc w:val="left"/>
      <w:lvlText w:val="%1."/>
      <w:numFmt w:val="lowerLetter"/>
      <w:start w:val="1"/>
    </w:lvl>
    <w:lvl w:ilvl="1">
      <w:lvlJc w:val="left"/>
      <w:lvlText w:val="%2."/>
      <w:numFmt w:val="lowerRoman"/>
      <w:start w:val="1"/>
    </w:lvl>
  </w:abstractNum>
  <w:abstractNum w:abstractNumId="131">
    <w:nsid w:val="6B47F63E"/>
    <w:multiLevelType w:val="hybridMultilevel"/>
    <w:lvl w:ilvl="0">
      <w:lvlJc w:val="left"/>
      <w:lvlText w:val="%1."/>
      <w:numFmt w:val="lowerLetter"/>
      <w:start w:val="3"/>
    </w:lvl>
  </w:abstractNum>
  <w:abstractNum w:abstractNumId="132">
    <w:nsid w:val="5CB44A05"/>
    <w:multiLevelType w:val="hybridMultilevel"/>
    <w:lvl w:ilvl="0">
      <w:lvlJc w:val="left"/>
      <w:lvlText w:val="%1."/>
      <w:numFmt w:val="lowerLetter"/>
      <w:start w:val="1"/>
    </w:lvl>
  </w:abstractNum>
  <w:abstractNum w:abstractNumId="133">
    <w:nsid w:val="16CF80F1"/>
    <w:multiLevelType w:val="hybridMultilevel"/>
    <w:lvl w:ilvl="0">
      <w:lvlJc w:val="left"/>
      <w:lvlText w:val="%1."/>
      <w:numFmt w:val="lowerLetter"/>
      <w:start w:val="1"/>
    </w:lvl>
  </w:abstractNum>
  <w:abstractNum w:abstractNumId="134">
    <w:nsid w:val="1C695DEC"/>
    <w:multiLevelType w:val="hybridMultilevel"/>
    <w:lvl w:ilvl="0">
      <w:lvlJc w:val="left"/>
      <w:lvlText w:val="%1."/>
      <w:numFmt w:val="lowerLetter"/>
      <w:start w:val="1"/>
    </w:lvl>
  </w:abstractNum>
  <w:abstractNum w:abstractNumId="135">
    <w:nsid w:val="3FCFAED9"/>
    <w:multiLevelType w:val="hybridMultilevel"/>
    <w:lvl w:ilvl="0">
      <w:lvlJc w:val="left"/>
      <w:lvlText w:val="%1."/>
      <w:numFmt w:val="lowerLetter"/>
      <w:start w:val="2"/>
    </w:lvl>
    <w:lvl w:ilvl="1">
      <w:lvlJc w:val="left"/>
      <w:lvlText w:val="%2."/>
      <w:numFmt w:val="lowerRoman"/>
      <w:start w:val="1"/>
    </w:lvl>
  </w:abstractNum>
  <w:abstractNum w:abstractNumId="136">
    <w:nsid w:val="F856867"/>
    <w:multiLevelType w:val="hybridMultilevel"/>
    <w:lvl w:ilvl="0">
      <w:lvlJc w:val="left"/>
      <w:lvlText w:val="%1."/>
      <w:numFmt w:val="lowerLetter"/>
      <w:start w:val="1"/>
    </w:lvl>
  </w:abstractNum>
  <w:abstractNum w:abstractNumId="137">
    <w:nsid w:val="11B1CC33"/>
    <w:multiLevelType w:val="hybridMultilevel"/>
    <w:lvl w:ilvl="0">
      <w:lvlJc w:val="left"/>
      <w:lvlText w:val="%1."/>
      <w:numFmt w:val="lowerLetter"/>
      <w:start w:val="2"/>
    </w:lvl>
  </w:abstractNum>
  <w:abstractNum w:abstractNumId="138">
    <w:nsid w:val="2E22FBB7"/>
    <w:multiLevelType w:val="hybridMultilevel"/>
    <w:lvl w:ilvl="0">
      <w:lvlJc w:val="left"/>
      <w:lvlText w:val="%1."/>
      <w:numFmt w:val="lowerLetter"/>
      <w:start w:val="1"/>
    </w:lvl>
  </w:abstractNum>
  <w:abstractNum w:abstractNumId="139">
    <w:nsid w:val="29934699"/>
    <w:multiLevelType w:val="hybridMultilevel"/>
    <w:lvl w:ilvl="0">
      <w:lvlJc w:val="left"/>
      <w:lvlText w:val="%1."/>
      <w:numFmt w:val="lowerLetter"/>
      <w:start w:val="3"/>
    </w:lvl>
  </w:abstractNum>
  <w:abstractNum w:abstractNumId="140">
    <w:nsid w:val="77485850"/>
    <w:multiLevelType w:val="hybridMultilevel"/>
    <w:lvl w:ilvl="0">
      <w:lvlJc w:val="left"/>
      <w:lvlText w:val="%1."/>
      <w:numFmt w:val="lowerLetter"/>
      <w:start w:val="1"/>
    </w:lvl>
  </w:abstractNum>
  <w:abstractNum w:abstractNumId="141">
    <w:nsid w:val="744939A3"/>
    <w:multiLevelType w:val="hybridMultilevel"/>
    <w:lvl w:ilvl="0">
      <w:lvlJc w:val="left"/>
      <w:lvlText w:val="%1."/>
      <w:numFmt w:val="lowerLetter"/>
      <w:start w:val="1"/>
    </w:lvl>
  </w:abstractNum>
  <w:abstractNum w:abstractNumId="142">
    <w:nsid w:val="4FA0D2E3"/>
    <w:multiLevelType w:val="hybridMultilevel"/>
    <w:lvl w:ilvl="0">
      <w:lvlJc w:val="left"/>
      <w:lvlText w:val="%1."/>
      <w:numFmt w:val="lowerLetter"/>
      <w:start w:val="1"/>
    </w:lvl>
  </w:abstractNum>
  <w:abstractNum w:abstractNumId="143">
    <w:nsid w:val="6B1D2C14"/>
    <w:multiLevelType w:val="hybridMultilevel"/>
    <w:lvl w:ilvl="0">
      <w:lvlJc w:val="left"/>
      <w:lvlText w:val="%1."/>
      <w:numFmt w:val="lowerLetter"/>
      <w:start w:val="4"/>
    </w:lvl>
  </w:abstractNum>
  <w:abstractNum w:abstractNumId="144">
    <w:nsid w:val="68B867D3"/>
    <w:multiLevelType w:val="hybridMultilevel"/>
    <w:lvl w:ilvl="0">
      <w:lvlJc w:val="left"/>
      <w:lvlText w:val="%1."/>
      <w:numFmt w:val="lowerLetter"/>
      <w:start w:val="1"/>
    </w:lvl>
    <w:lvl w:ilvl="1">
      <w:lvlJc w:val="left"/>
      <w:lvlText w:val="%2."/>
      <w:numFmt w:val="lowerRoman"/>
      <w:start w:val="1"/>
    </w:lvl>
  </w:abstractNum>
  <w:abstractNum w:abstractNumId="145">
    <w:nsid w:val="3F7F5DD9"/>
    <w:multiLevelType w:val="hybridMultilevel"/>
    <w:lvl w:ilvl="0">
      <w:lvlJc w:val="left"/>
      <w:lvlText w:val="%1."/>
      <w:numFmt w:val="lowerLetter"/>
      <w:start w:val="4"/>
    </w:lvl>
  </w:abstractNum>
  <w:abstractNum w:abstractNumId="146">
    <w:nsid w:val="2AE05A34"/>
    <w:multiLevelType w:val="hybridMultilevel"/>
    <w:lvl w:ilvl="0">
      <w:lvlJc w:val="left"/>
      <w:lvlText w:val="%1."/>
      <w:numFmt w:val="lowerLetter"/>
      <w:start w:val="1"/>
    </w:lvl>
    <w:lvl w:ilvl="1">
      <w:lvlJc w:val="left"/>
      <w:lvlText w:val="%2."/>
      <w:numFmt w:val="lowerRoman"/>
      <w:start w:val="1"/>
    </w:lvl>
  </w:abstractNum>
  <w:abstractNum w:abstractNumId="147">
    <w:nsid w:val="32794FF7"/>
    <w:multiLevelType w:val="hybridMultilevel"/>
    <w:lvl w:ilvl="0">
      <w:lvlJc w:val="left"/>
      <w:lvlText w:val="%1."/>
      <w:numFmt w:val="lowerLetter"/>
      <w:start w:val="3"/>
    </w:lvl>
  </w:abstractNum>
  <w:abstractNum w:abstractNumId="148">
    <w:nsid w:val="5454945E"/>
    <w:multiLevelType w:val="hybridMultilevel"/>
    <w:lvl w:ilvl="0">
      <w:lvlJc w:val="left"/>
      <w:lvlText w:val="%1."/>
      <w:numFmt w:val="lowerLetter"/>
      <w:start w:val="1"/>
    </w:lvl>
  </w:abstractNum>
  <w:abstractNum w:abstractNumId="149">
    <w:nsid w:val="4DEFDFA0"/>
    <w:multiLevelType w:val="hybridMultilevel"/>
    <w:lvl w:ilvl="0">
      <w:lvlJc w:val="left"/>
      <w:lvlText w:val="%1."/>
      <w:numFmt w:val="lowerLetter"/>
      <w:start w:val="3"/>
    </w:lvl>
  </w:abstractNum>
  <w:abstractNum w:abstractNumId="150">
    <w:nsid w:val="2123D5F2"/>
    <w:multiLevelType w:val="hybridMultilevel"/>
    <w:lvl w:ilvl="0">
      <w:lvlJc w:val="left"/>
      <w:lvlText w:val="%1."/>
      <w:numFmt w:val="lowerLetter"/>
      <w:start w:val="1"/>
    </w:lvl>
  </w:abstractNum>
  <w:abstractNum w:abstractNumId="151">
    <w:nsid w:val="135B8110"/>
    <w:multiLevelType w:val="hybridMultilevel"/>
    <w:lvl w:ilvl="0">
      <w:lvlJc w:val="left"/>
      <w:lvlText w:val="%1."/>
      <w:numFmt w:val="lowerLetter"/>
      <w:start w:val="1"/>
    </w:lvl>
  </w:abstractNum>
  <w:abstractNum w:abstractNumId="152">
    <w:nsid w:val="94927A8"/>
    <w:multiLevelType w:val="hybridMultilevel"/>
    <w:lvl w:ilvl="0">
      <w:lvlJc w:val="left"/>
      <w:lvlText w:val="%1."/>
      <w:numFmt w:val="lowerLetter"/>
      <w:start w:val="2"/>
    </w:lvl>
    <w:lvl w:ilvl="1">
      <w:lvlJc w:val="left"/>
      <w:lvlText w:val="%2."/>
      <w:numFmt w:val="lowerRoman"/>
      <w:start w:val="1"/>
    </w:lvl>
  </w:abstractNum>
  <w:abstractNum w:abstractNumId="153">
    <w:nsid w:val="DCDF8F6"/>
    <w:multiLevelType w:val="hybridMultilevel"/>
    <w:lvl w:ilvl="0">
      <w:lvlJc w:val="left"/>
      <w:lvlText w:val="%1."/>
      <w:numFmt w:val="lowerLetter"/>
      <w:start w:val="1"/>
    </w:lvl>
  </w:abstractNum>
  <w:abstractNum w:abstractNumId="154">
    <w:nsid w:val="52D7B105"/>
    <w:multiLevelType w:val="hybridMultilevel"/>
    <w:lvl w:ilvl="0">
      <w:lvlJc w:val="left"/>
      <w:lvlText w:val="%1."/>
      <w:numFmt w:val="lowerLetter"/>
      <w:start w:val="7"/>
    </w:lvl>
  </w:abstractNum>
  <w:abstractNum w:abstractNumId="155">
    <w:nsid w:val="2E8A6394"/>
    <w:multiLevelType w:val="hybridMultilevel"/>
    <w:lvl w:ilvl="0">
      <w:lvlJc w:val="left"/>
      <w:lvlText w:val="%1."/>
      <w:numFmt w:val="lowerLetter"/>
      <w:start w:val="1"/>
    </w:lvl>
  </w:abstractNum>
  <w:abstractNum w:abstractNumId="156">
    <w:nsid w:val="24E60401"/>
    <w:multiLevelType w:val="hybridMultilevel"/>
    <w:lvl w:ilvl="0">
      <w:lvlJc w:val="left"/>
      <w:lvlText w:val="%1."/>
      <w:numFmt w:val="lowerLetter"/>
      <w:start w:val="3"/>
    </w:lvl>
  </w:abstractNum>
  <w:abstractNum w:abstractNumId="157">
    <w:nsid w:val="2A6AD9BE"/>
    <w:multiLevelType w:val="hybridMultilevel"/>
    <w:lvl w:ilvl="0">
      <w:lvlJc w:val="left"/>
      <w:lvlText w:val="%1."/>
      <w:numFmt w:val="lowerLetter"/>
      <w:start w:val="1"/>
    </w:lvl>
  </w:abstractNum>
  <w:abstractNum w:abstractNumId="158">
    <w:nsid w:val="BAAC1B4"/>
    <w:multiLevelType w:val="hybridMultilevel"/>
    <w:lvl w:ilvl="0">
      <w:lvlJc w:val="left"/>
      <w:lvlText w:val="%1."/>
      <w:numFmt w:val="lowerLetter"/>
      <w:start w:val="3"/>
    </w:lvl>
  </w:abstractNum>
  <w:abstractNum w:abstractNumId="159">
    <w:nsid w:val="36B2ACBC"/>
    <w:multiLevelType w:val="hybridMultilevel"/>
    <w:lvl w:ilvl="0">
      <w:lvlJc w:val="left"/>
      <w:lvlText w:val="%1."/>
      <w:numFmt w:val="lowerLetter"/>
      <w:start w:val="1"/>
    </w:lvl>
  </w:abstractNum>
  <w:abstractNum w:abstractNumId="160">
    <w:nsid w:val="779D8544"/>
    <w:multiLevelType w:val="hybridMultilevel"/>
    <w:lvl w:ilvl="0">
      <w:lvlJc w:val="left"/>
      <w:lvlText w:val="%1."/>
      <w:numFmt w:val="lowerLetter"/>
      <w:start w:val="1"/>
    </w:lvl>
  </w:abstractNum>
  <w:abstractNum w:abstractNumId="161">
    <w:nsid w:val="4AB26E78"/>
    <w:multiLevelType w:val="hybridMultilevel"/>
    <w:lvl w:ilvl="0">
      <w:lvlJc w:val="left"/>
      <w:lvlText w:val="(%1)"/>
      <w:numFmt w:val="decimal"/>
      <w:start w:val="60"/>
    </w:lvl>
  </w:abstractNum>
  <w:abstractNum w:abstractNumId="162">
    <w:nsid w:val="21FAA2FA"/>
    <w:multiLevelType w:val="hybridMultilevel"/>
    <w:lvl w:ilvl="0">
      <w:lvlJc w:val="left"/>
      <w:lvlText w:val="(%1)"/>
      <w:numFmt w:val="decimal"/>
      <w:start w:val="1"/>
    </w:lvl>
  </w:abstractNum>
  <w:abstractNum w:abstractNumId="163">
    <w:nsid w:val="5451CF49"/>
    <w:multiLevelType w:val="hybridMultilevel"/>
    <w:lvl w:ilvl="0">
      <w:lvlJc w:val="left"/>
      <w:lvlText w:val="(%1)"/>
      <w:numFmt w:val="decimal"/>
      <w:start w:val="1"/>
    </w:lvl>
  </w:abstractNum>
  <w:abstractNum w:abstractNumId="164">
    <w:nsid w:val="6181EF69"/>
    <w:multiLevelType w:val="hybridMultilevel"/>
    <w:lvl w:ilvl="0">
      <w:lvlJc w:val="left"/>
      <w:lvlText w:val="&amp;"/>
      <w:numFmt w:val="bullet"/>
      <w:start w:val="1"/>
    </w:lvl>
  </w:abstractNum>
  <w:abstractNum w:abstractNumId="165">
    <w:nsid w:val="3E6400E6"/>
    <w:multiLevelType w:val="hybridMultilevel"/>
    <w:lvl w:ilvl="0">
      <w:lvlJc w:val="left"/>
      <w:lvlText w:val="•"/>
      <w:numFmt w:val="bullet"/>
      <w:start w:val="1"/>
    </w:lvl>
  </w:abstractNum>
  <w:abstractNum w:abstractNumId="166">
    <w:nsid w:val="14217E23"/>
    <w:multiLevelType w:val="hybridMultilevel"/>
    <w:lvl w:ilvl="0">
      <w:lvlJc w:val="left"/>
      <w:lvlText w:val="%1."/>
      <w:numFmt w:val="upperLetter"/>
      <w:start w:val="1"/>
    </w:lvl>
  </w:abstractNum>
  <w:abstractNum w:abstractNumId="167">
    <w:nsid w:val="710757D0"/>
    <w:multiLevelType w:val="hybridMultilevel"/>
    <w:lvl w:ilvl="0">
      <w:lvlJc w:val="left"/>
      <w:lvlText w:val="%1."/>
      <w:numFmt w:val="decimal"/>
      <w:start w:val="1"/>
    </w:lvl>
  </w:abstractNum>
  <w:abstractNum w:abstractNumId="168">
    <w:nsid w:val="5015CD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9">
    <w:nsid w:val="424479DA"/>
    <w:multiLevelType w:val="hybridMultilevel"/>
    <w:lvl w:ilvl="0">
      <w:lvlJc w:val="left"/>
      <w:lvlText w:val="%1."/>
      <w:numFmt w:val="decimal"/>
      <w:start w:val="2"/>
    </w:lvl>
  </w:abstractNum>
  <w:abstractNum w:abstractNumId="170">
    <w:nsid w:val="1A9A9E69"/>
    <w:multiLevelType w:val="hybridMultilevel"/>
    <w:lvl w:ilvl="0">
      <w:lvlJc w:val="left"/>
      <w:lvlText w:val="(%1)"/>
      <w:numFmt w:val="lowerLetter"/>
      <w:start w:val="1"/>
    </w:lvl>
  </w:abstractNum>
  <w:abstractNum w:abstractNumId="171">
    <w:nsid w:val="475E256A"/>
    <w:multiLevelType w:val="hybridMultilevel"/>
    <w:lvl w:ilvl="0">
      <w:lvlJc w:val="left"/>
      <w:lvlText w:val="%1."/>
      <w:numFmt w:val="decimal"/>
      <w:start w:val="4"/>
    </w:lvl>
  </w:abstractNum>
  <w:abstractNum w:abstractNumId="172">
    <w:nsid w:val="368DB37E"/>
    <w:multiLevelType w:val="hybridMultilevel"/>
    <w:lvl w:ilvl="0">
      <w:lvlJc w:val="left"/>
      <w:lvlText w:val="(%1)"/>
      <w:numFmt w:val="lowerLetter"/>
      <w:start w:val="1"/>
    </w:lvl>
  </w:abstractNum>
  <w:abstractNum w:abstractNumId="173">
    <w:nsid w:val="6A3B714C"/>
    <w:multiLevelType w:val="hybridMultilevel"/>
    <w:lvl w:ilvl="0">
      <w:lvlJc w:val="left"/>
      <w:lvlText w:val="%1."/>
      <w:numFmt w:val="lowerLetter"/>
      <w:start w:val="1"/>
    </w:lvl>
  </w:abstractNum>
  <w:abstractNum w:abstractNumId="174">
    <w:nsid w:val="327B517E"/>
    <w:multiLevelType w:val="hybridMultilevel"/>
    <w:lvl w:ilvl="0">
      <w:lvlJc w:val="left"/>
      <w:lvlText w:val="%1."/>
      <w:numFmt w:val="lowerLetter"/>
      <w:start w:val="1"/>
    </w:lvl>
    <w:lvl w:ilvl="1">
      <w:lvlJc w:val="left"/>
      <w:lvlText w:val="(%2)"/>
      <w:numFmt w:val="lowerRoman"/>
      <w:start w:val="1"/>
    </w:lvl>
  </w:abstractNum>
  <w:abstractNum w:abstractNumId="175">
    <w:nsid w:val="1F461B51"/>
    <w:multiLevelType w:val="hybridMultilevel"/>
    <w:lvl w:ilvl="0">
      <w:lvlJc w:val="left"/>
      <w:lvlText w:val="(%1)"/>
      <w:numFmt w:val="lowerRoman"/>
      <w:start w:val="3"/>
    </w:lvl>
  </w:abstractNum>
  <w:abstractNum w:abstractNumId="176">
    <w:nsid w:val="29BACF25"/>
    <w:multiLevelType w:val="hybridMultilevel"/>
    <w:lvl w:ilvl="0">
      <w:lvlJc w:val="left"/>
      <w:lvlText w:val="%1."/>
      <w:numFmt w:val="lowerLetter"/>
      <w:start w:val="1"/>
    </w:lvl>
  </w:abstractNum>
  <w:abstractNum w:abstractNumId="177">
    <w:nsid w:val="5D5BABB3"/>
    <w:multiLevelType w:val="hybridMultilevel"/>
    <w:lvl w:ilvl="0">
      <w:lvlJc w:val="left"/>
      <w:lvlText w:val="%1."/>
      <w:numFmt w:val="lowerLetter"/>
      <w:start w:val="1"/>
    </w:lvl>
  </w:abstractNum>
  <w:abstractNum w:abstractNumId="178">
    <w:nsid w:val="51BF6B48"/>
    <w:multiLevelType w:val="hybridMultilevel"/>
    <w:lvl w:ilvl="0">
      <w:lvlJc w:val="left"/>
      <w:lvlText w:val="%1."/>
      <w:numFmt w:val="lowerLetter"/>
      <w:start w:val="1"/>
    </w:lvl>
  </w:abstractNum>
  <w:abstractNum w:abstractNumId="179">
    <w:nsid w:val="7E0F6384"/>
    <w:multiLevelType w:val="hybridMultilevel"/>
    <w:lvl w:ilvl="0">
      <w:lvlJc w:val="left"/>
      <w:lvlText w:val="%1."/>
      <w:numFmt w:val="lowerLetter"/>
      <w:start w:val="3"/>
    </w:lvl>
  </w:abstractNum>
  <w:abstractNum w:abstractNumId="180">
    <w:nsid w:val="2B4B8B53"/>
    <w:multiLevelType w:val="hybridMultilevel"/>
    <w:lvl w:ilvl="0">
      <w:lvlJc w:val="left"/>
      <w:lvlText w:val="(%1)"/>
      <w:numFmt w:val="lowerLetter"/>
      <w:start w:val="2"/>
    </w:lvl>
  </w:abstractNum>
  <w:abstractNum w:abstractNumId="181">
    <w:nsid w:val="72E3413A"/>
    <w:multiLevelType w:val="hybridMultilevel"/>
    <w:lvl w:ilvl="0">
      <w:lvlJc w:val="left"/>
      <w:lvlText w:val="%1."/>
      <w:numFmt w:val="lowerLetter"/>
      <w:start w:val="1"/>
    </w:lvl>
  </w:abstractNum>
  <w:abstractNum w:abstractNumId="182">
    <w:nsid w:val="116AE494"/>
    <w:multiLevelType w:val="hybridMultilevel"/>
    <w:lvl w:ilvl="0">
      <w:lvlJc w:val="left"/>
      <w:lvlText w:val="%1."/>
      <w:numFmt w:val="lowerLetter"/>
      <w:start w:val="2"/>
    </w:lvl>
  </w:abstractNum>
  <w:abstractNum w:abstractNumId="183">
    <w:nsid w:val="3494B2FB"/>
    <w:multiLevelType w:val="hybridMultilevel"/>
    <w:lvl w:ilvl="0">
      <w:lvlJc w:val="left"/>
      <w:lvlText w:val="%1."/>
      <w:numFmt w:val="lowerLetter"/>
      <w:start w:val="8"/>
    </w:lvl>
  </w:abstractNum>
  <w:abstractNum w:abstractNumId="184">
    <w:nsid w:val="B13A31"/>
    <w:multiLevelType w:val="hybridMultilevel"/>
    <w:lvl w:ilvl="0">
      <w:lvlJc w:val="left"/>
      <w:lvlText w:val="%1"/>
      <w:numFmt w:val="lowerLetter"/>
      <w:start w:val="1"/>
    </w:lvl>
    <w:lvl w:ilvl="1">
      <w:lvlJc w:val="left"/>
      <w:lvlText w:val="(%2)"/>
      <w:numFmt w:val="lowerRoman"/>
      <w:start w:val="2"/>
    </w:lvl>
  </w:abstractNum>
  <w:abstractNum w:abstractNumId="185">
    <w:nsid w:val="64429599"/>
    <w:multiLevelType w:val="hybridMultilevel"/>
    <w:lvl w:ilvl="0">
      <w:lvlJc w:val="left"/>
      <w:lvlText w:val="%1."/>
      <w:numFmt w:val="lowerLetter"/>
      <w:start w:val="2"/>
    </w:lvl>
    <w:lvl w:ilvl="1">
      <w:lvlJc w:val="left"/>
      <w:lvlText w:val="%2"/>
      <w:numFmt w:val="lowerRoman"/>
      <w:start w:val="1"/>
    </w:lvl>
  </w:abstractNum>
  <w:abstractNum w:abstractNumId="186">
    <w:nsid w:val="631F1690"/>
    <w:multiLevelType w:val="hybridMultilevel"/>
    <w:lvl w:ilvl="0">
      <w:lvlJc w:val="left"/>
      <w:lvlText w:val="%1."/>
      <w:numFmt w:val="lowerLetter"/>
      <w:start w:val="1"/>
    </w:lvl>
  </w:abstractNum>
  <w:abstractNum w:abstractNumId="187">
    <w:nsid w:val="25973E32"/>
    <w:multiLevelType w:val="hybridMultilevel"/>
    <w:lvl w:ilvl="0">
      <w:lvlJc w:val="left"/>
      <w:lvlText w:val="%1."/>
      <w:numFmt w:val="decimal"/>
      <w:start w:val="1"/>
    </w:lvl>
    <w:lvl w:ilvl="1">
      <w:lvlJc w:val="left"/>
      <w:lvlText w:val="%2."/>
      <w:numFmt w:val="lowerLetter"/>
      <w:start w:val="1"/>
    </w:lvl>
  </w:abstractNum>
  <w:abstractNum w:abstractNumId="188">
    <w:nsid w:val="EAD6F5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jpeg"/><Relationship Id="rId171" Type="http://schemas.openxmlformats.org/officeDocument/2006/relationships/image" Target="media/image153.jpeg"/><Relationship Id="rId172" Type="http://schemas.openxmlformats.org/officeDocument/2006/relationships/image" Target="media/image154.jpeg"/><Relationship Id="rId173" Type="http://schemas.openxmlformats.org/officeDocument/2006/relationships/image" Target="media/image155.jpeg"/><Relationship Id="rId174" Type="http://schemas.openxmlformats.org/officeDocument/2006/relationships/image" Target="media/image156.png"/><Relationship Id="rId175" Type="http://schemas.openxmlformats.org/officeDocument/2006/relationships/image" Target="media/image157.jpeg"/><Relationship Id="rId176" Type="http://schemas.openxmlformats.org/officeDocument/2006/relationships/image" Target="media/image158.png"/><Relationship Id="rId177" Type="http://schemas.openxmlformats.org/officeDocument/2006/relationships/image" Target="media/image159.jpeg"/><Relationship Id="rId178" Type="http://schemas.openxmlformats.org/officeDocument/2006/relationships/image" Target="media/image160.jpe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52" Type="http://schemas.openxmlformats.org/officeDocument/2006/relationships/hyperlink" Target="http://www.sec.gov/Archives/edgar/data/1581720/000119312519003083/d674169dex21.htm" TargetMode="External"/><Relationship Id="rId153" Type="http://schemas.openxmlformats.org/officeDocument/2006/relationships/hyperlink" Target="http://www.sec.gov/Archives/edgar/data/59478/000005947814000078/lly-20131231x10kexhibit31.htm" TargetMode="External"/><Relationship Id="rId154" Type="http://schemas.openxmlformats.org/officeDocument/2006/relationships/hyperlink" Target="http://www.sec.gov/Archives/edgar/data/59478/000005947819000335/elilillyandcompanybyla.htm" TargetMode="External"/><Relationship Id="rId155" Type="http://schemas.openxmlformats.org/officeDocument/2006/relationships/hyperlink" Target="http://www.sec.gov/Archives/edgar/data/59478/000005947813000010/exhibit41-indenturedatedfe.htm" TargetMode="External"/><Relationship Id="rId156" Type="http://schemas.openxmlformats.org/officeDocument/2006/relationships/hyperlink" Target="http://www.sec.gov/Archives/edgar/data/59478/000095015209001897/c49534exv4w2.htm" TargetMode="External"/><Relationship Id="rId157" Type="http://schemas.openxmlformats.org/officeDocument/2006/relationships/hyperlink" Target="http://www.sec.gov/Archives/edgar/data/59478/000005947818000188/lly-6302018x10qxexhibit101.htm" TargetMode="External"/><Relationship Id="rId158" Type="http://schemas.openxmlformats.org/officeDocument/2006/relationships/hyperlink" Target="http://www.sec.gov/Archives/edgar/data/59478/000005947814000078/lly-20131231x10kexhibit105.htm" TargetMode="External"/><Relationship Id="rId159" Type="http://schemas.openxmlformats.org/officeDocument/2006/relationships/hyperlink" Target="http://www.sec.gov/Archives/edgar/data/59478/000005947817000183/lly-6302017x10qxexhibit10.htm" TargetMode="External"/><Relationship Id="rId160" Type="http://schemas.openxmlformats.org/officeDocument/2006/relationships/hyperlink" Target="http://www.sec.gov/Archives/edgar/data/59478/000005947814000078/lly-20131231x10kexhibit107.htm" TargetMode="External"/><Relationship Id="rId161" Type="http://schemas.openxmlformats.org/officeDocument/2006/relationships/hyperlink" Target="http://www.sec.gov/Archives/edgar/data/59478/000119312511057036/ddef14a.htm" TargetMode="External"/><Relationship Id="rId162" Type="http://schemas.openxmlformats.org/officeDocument/2006/relationships/hyperlink" Target="http://www.sec.gov/Archives/edgar/data/59478/000095012310097867/c60891exv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2020-02-19T11:40:33Z</dcterms:created>
  <dcterms:modified xsi:type="dcterms:W3CDTF">2020-02-19T11:40:33Z</dcterms:modified>
</cp:coreProperties>
</file>