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ELI LILLY AND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1700" w:type="dxa"/>
        <w:tblCellMar>
          <w:top w:w="0" w:type="dxa"/>
          <w:left w:w="0" w:type="dxa"/>
          <w:bottom w:w="0" w:type="dxa"/>
          <w:right w:w="0" w:type="dxa"/>
        </w:tblCellMar>
      </w:tblPr>
      <w:tr>
        <w:trPr>
          <w:trHeight w:val="195"/>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Indiana</w:t>
            </w:r>
          </w:p>
        </w:tc>
        <w:tc>
          <w:tcPr>
            <w:tcW w:w="3340" w:type="dxa"/>
            <w:vAlign w:val="bottom"/>
          </w:tcPr>
          <w:p>
            <w:pPr>
              <w:jc w:val="center"/>
              <w:ind w:left="1979"/>
              <w:spacing w:after="0"/>
              <w:rPr>
                <w:sz w:val="20"/>
                <w:szCs w:val="20"/>
                <w:color w:val="auto"/>
              </w:rPr>
            </w:pPr>
            <w:r>
              <w:rPr>
                <w:rFonts w:ascii="Arial" w:cs="Arial" w:eastAsia="Arial" w:hAnsi="Arial"/>
                <w:sz w:val="16"/>
                <w:szCs w:val="16"/>
                <w:color w:val="auto"/>
              </w:rPr>
              <w:t>35-0470950</w:t>
            </w:r>
          </w:p>
        </w:tc>
      </w:tr>
      <w:tr>
        <w:trPr>
          <w:trHeight w:val="216"/>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(State or other jurisdiction of</w:t>
            </w:r>
          </w:p>
        </w:tc>
        <w:tc>
          <w:tcPr>
            <w:tcW w:w="3340" w:type="dxa"/>
            <w:vAlign w:val="bottom"/>
          </w:tcPr>
          <w:p>
            <w:pPr>
              <w:jc w:val="center"/>
              <w:ind w:left="1979"/>
              <w:spacing w:after="0"/>
              <w:rPr>
                <w:sz w:val="20"/>
                <w:szCs w:val="20"/>
                <w:color w:val="auto"/>
              </w:rPr>
            </w:pPr>
            <w:r>
              <w:rPr>
                <w:rFonts w:ascii="Arial" w:cs="Arial" w:eastAsia="Arial" w:hAnsi="Arial"/>
                <w:sz w:val="16"/>
                <w:szCs w:val="16"/>
                <w:color w:val="auto"/>
              </w:rPr>
              <w:t>(I.R.S. Employer</w:t>
            </w:r>
          </w:p>
        </w:tc>
      </w:tr>
      <w:tr>
        <w:trPr>
          <w:trHeight w:val="216"/>
        </w:trPr>
        <w:tc>
          <w:tcPr>
            <w:tcW w:w="4160" w:type="dxa"/>
            <w:vAlign w:val="bottom"/>
          </w:tcPr>
          <w:p>
            <w:pPr>
              <w:jc w:val="center"/>
              <w:ind w:right="1979"/>
              <w:spacing w:after="0"/>
              <w:rPr>
                <w:sz w:val="20"/>
                <w:szCs w:val="20"/>
                <w:color w:val="auto"/>
              </w:rPr>
            </w:pPr>
            <w:r>
              <w:rPr>
                <w:rFonts w:ascii="Arial" w:cs="Arial" w:eastAsia="Arial" w:hAnsi="Arial"/>
                <w:sz w:val="16"/>
                <w:szCs w:val="16"/>
                <w:color w:val="auto"/>
              </w:rPr>
              <w:t>incorporation or organization)</w:t>
            </w:r>
          </w:p>
        </w:tc>
        <w:tc>
          <w:tcPr>
            <w:tcW w:w="3340" w:type="dxa"/>
            <w:vAlign w:val="bottom"/>
          </w:tcPr>
          <w:p>
            <w:pPr>
              <w:jc w:val="center"/>
              <w:ind w:left="1999"/>
              <w:spacing w:after="0"/>
              <w:rPr>
                <w:sz w:val="20"/>
                <w:szCs w:val="20"/>
                <w:color w:val="auto"/>
              </w:rPr>
            </w:pPr>
            <w:r>
              <w:rPr>
                <w:rFonts w:ascii="Arial" w:cs="Arial" w:eastAsia="Arial" w:hAnsi="Arial"/>
                <w:sz w:val="16"/>
                <w:szCs w:val="16"/>
                <w:color w:val="auto"/>
              </w:rPr>
              <w:t>Identification No.)</w:t>
            </w:r>
          </w:p>
        </w:tc>
      </w:tr>
    </w:tbl>
    <w:p>
      <w:pPr>
        <w:spacing w:after="0" w:line="170"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Lilly Corporate Center, Indianapolis, Indiana 46285</w:t>
      </w:r>
    </w:p>
    <w:p>
      <w:pPr>
        <w:spacing w:after="0" w:line="5"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(Address and zip code of principal executive offices)</w:t>
      </w:r>
    </w:p>
    <w:p>
      <w:pPr>
        <w:spacing w:after="0" w:line="59"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199"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Trading Symbols</w:t>
            </w:r>
          </w:p>
        </w:tc>
        <w:tc>
          <w:tcPr>
            <w:tcW w:w="4100" w:type="dxa"/>
            <w:vAlign w:val="bottom"/>
            <w:gridSpan w:val="2"/>
          </w:tcPr>
          <w:p>
            <w:pPr>
              <w:ind w:left="9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8"/>
        </w:trPr>
        <w:tc>
          <w:tcPr>
            <w:tcW w:w="374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2100" w:type="dxa"/>
            <w:vAlign w:val="bottom"/>
            <w:gridSpan w:val="2"/>
          </w:tcPr>
          <w:p>
            <w:pPr>
              <w:spacing w:after="0"/>
              <w:rPr>
                <w:sz w:val="20"/>
                <w:szCs w:val="20"/>
                <w:color w:val="auto"/>
              </w:rPr>
            </w:pPr>
            <w:r>
              <w:rPr>
                <w:rFonts w:ascii="Arial" w:cs="Arial" w:eastAsia="Arial" w:hAnsi="Arial"/>
                <w:sz w:val="14"/>
                <w:szCs w:val="14"/>
                <w:color w:val="auto"/>
              </w:rPr>
              <w:t>LLY</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LLY22</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LLY25</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2100" w:type="dxa"/>
            <w:vAlign w:val="bottom"/>
            <w:gridSpan w:val="2"/>
          </w:tcPr>
          <w:p>
            <w:pPr>
              <w:spacing w:after="0"/>
              <w:rPr>
                <w:sz w:val="20"/>
                <w:szCs w:val="20"/>
                <w:color w:val="auto"/>
              </w:rPr>
            </w:pPr>
            <w:r>
              <w:rPr>
                <w:rFonts w:ascii="Arial" w:cs="Arial" w:eastAsia="Arial" w:hAnsi="Arial"/>
                <w:sz w:val="14"/>
                <w:szCs w:val="14"/>
                <w:color w:val="auto"/>
              </w:rPr>
              <w:t>LLY26</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LLY30</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LLY31</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2100" w:type="dxa"/>
            <w:vAlign w:val="bottom"/>
            <w:gridSpan w:val="2"/>
          </w:tcPr>
          <w:p>
            <w:pPr>
              <w:spacing w:after="0"/>
              <w:rPr>
                <w:sz w:val="20"/>
                <w:szCs w:val="20"/>
                <w:color w:val="auto"/>
              </w:rPr>
            </w:pPr>
            <w:r>
              <w:rPr>
                <w:rFonts w:ascii="Arial" w:cs="Arial" w:eastAsia="Arial" w:hAnsi="Arial"/>
                <w:sz w:val="14"/>
                <w:szCs w:val="14"/>
                <w:color w:val="auto"/>
              </w:rPr>
              <w:t>LLY36</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r>
        <w:trPr>
          <w:trHeight w:val="189"/>
        </w:trPr>
        <w:tc>
          <w:tcPr>
            <w:tcW w:w="374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2100" w:type="dxa"/>
            <w:vAlign w:val="bottom"/>
            <w:gridSpan w:val="2"/>
          </w:tcPr>
          <w:p>
            <w:pPr>
              <w:spacing w:after="0"/>
              <w:rPr>
                <w:sz w:val="20"/>
                <w:szCs w:val="20"/>
                <w:color w:val="auto"/>
              </w:rPr>
            </w:pPr>
            <w:r>
              <w:rPr>
                <w:rFonts w:ascii="Arial" w:cs="Arial" w:eastAsia="Arial" w:hAnsi="Arial"/>
                <w:sz w:val="14"/>
                <w:szCs w:val="14"/>
                <w:color w:val="auto"/>
              </w:rPr>
              <w:t>LLY49A</w:t>
            </w:r>
          </w:p>
        </w:tc>
        <w:tc>
          <w:tcPr>
            <w:tcW w:w="4100" w:type="dxa"/>
            <w:vAlign w:val="bottom"/>
            <w:gridSpan w:val="2"/>
          </w:tcPr>
          <w:p>
            <w:pPr>
              <w:ind w:left="920"/>
              <w:spacing w:after="0"/>
              <w:rPr>
                <w:sz w:val="20"/>
                <w:szCs w:val="20"/>
                <w:color w:val="auto"/>
              </w:rPr>
            </w:pPr>
            <w:r>
              <w:rPr>
                <w:rFonts w:ascii="Arial" w:cs="Arial" w:eastAsia="Arial" w:hAnsi="Arial"/>
                <w:sz w:val="14"/>
                <w:szCs w:val="14"/>
                <w:color w:val="auto"/>
              </w:rPr>
              <w:t>New York Stock Exchange</w:t>
            </w:r>
          </w:p>
        </w:tc>
      </w:tr>
    </w:tbl>
    <w:p>
      <w:pPr>
        <w:spacing w:after="0" w:line="81" w:lineRule="exact"/>
        <w:rPr>
          <w:sz w:val="24"/>
          <w:szCs w:val="24"/>
          <w:color w:val="auto"/>
        </w:rPr>
      </w:pPr>
    </w:p>
    <w:p>
      <w:pPr>
        <w:ind w:right="40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1" w:lineRule="exact"/>
        <w:rPr>
          <w:sz w:val="24"/>
          <w:szCs w:val="24"/>
          <w:color w:val="auto"/>
        </w:rPr>
      </w:pPr>
    </w:p>
    <w:p>
      <w:pPr>
        <w:ind w:right="1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660" w:type="dxa"/>
        <w:tblCellMar>
          <w:top w:w="0" w:type="dxa"/>
          <w:left w:w="0" w:type="dxa"/>
          <w:bottom w:w="0" w:type="dxa"/>
          <w:right w:w="0" w:type="dxa"/>
        </w:tblCellMar>
      </w:tblPr>
      <w:tr>
        <w:trPr>
          <w:trHeight w:val="237"/>
        </w:trPr>
        <w:tc>
          <w:tcPr>
            <w:tcW w:w="5040" w:type="dxa"/>
            <w:vAlign w:val="bottom"/>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504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40" w:type="dxa"/>
            <w:vAlign w:val="bottom"/>
          </w:tcPr>
          <w:p>
            <w:pPr>
              <w:spacing w:after="0"/>
              <w:rPr>
                <w:sz w:val="22"/>
                <w:szCs w:val="22"/>
                <w:color w:val="auto"/>
              </w:rPr>
            </w:pPr>
          </w:p>
        </w:tc>
        <w:tc>
          <w:tcPr>
            <w:tcW w:w="5280" w:type="dxa"/>
            <w:vAlign w:val="bottom"/>
          </w:tcPr>
          <w:p>
            <w:pPr>
              <w:jc w:val="right"/>
              <w:ind w:right="19"/>
              <w:spacing w:after="0"/>
              <w:rPr>
                <w:sz w:val="20"/>
                <w:szCs w:val="20"/>
                <w:color w:val="auto"/>
              </w:rPr>
            </w:pPr>
            <w:r>
              <w:rPr>
                <w:rFonts w:ascii="Arial" w:cs="Arial" w:eastAsia="Arial" w:hAnsi="Arial"/>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April 27, 2021:</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4"/>
                <w:szCs w:val="14"/>
                <w:color w:val="auto"/>
              </w:rPr>
            </w:pPr>
          </w:p>
        </w:tc>
        <w:tc>
          <w:tcPr>
            <w:tcW w:w="5320" w:type="dxa"/>
            <w:vAlign w:val="bottom"/>
            <w:tcBorders>
              <w:bottom w:val="single" w:sz="8" w:color="auto"/>
            </w:tcBorders>
          </w:tcPr>
          <w:p>
            <w:pPr>
              <w:jc w:val="right"/>
              <w:ind w:right="1579"/>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8"/>
                <w:szCs w:val="18"/>
                <w:color w:val="auto"/>
              </w:rPr>
              <w:t>Common</w:t>
            </w:r>
          </w:p>
        </w:tc>
        <w:tc>
          <w:tcPr>
            <w:tcW w:w="5320" w:type="dxa"/>
            <w:vAlign w:val="bottom"/>
          </w:tcPr>
          <w:p>
            <w:pPr>
              <w:jc w:val="right"/>
              <w:spacing w:after="0"/>
              <w:rPr>
                <w:sz w:val="20"/>
                <w:szCs w:val="20"/>
                <w:color w:val="auto"/>
              </w:rPr>
            </w:pPr>
            <w:r>
              <w:rPr>
                <w:rFonts w:ascii="Arial" w:cs="Arial" w:eastAsia="Arial" w:hAnsi="Arial"/>
                <w:sz w:val="18"/>
                <w:szCs w:val="18"/>
                <w:color w:val="auto"/>
              </w:rPr>
              <w:t>959,025,446</w:t>
            </w:r>
          </w:p>
        </w:tc>
        <w:tc>
          <w:tcPr>
            <w:tcW w:w="20" w:type="dxa"/>
            <w:vAlign w:val="bottom"/>
          </w:tcPr>
          <w:p>
            <w:pPr>
              <w:spacing w:after="0"/>
              <w:rPr>
                <w:sz w:val="19"/>
                <w:szCs w:val="19"/>
                <w:color w:val="auto"/>
              </w:rPr>
            </w:pPr>
          </w:p>
        </w:tc>
      </w:tr>
      <w:tr>
        <w:trPr>
          <w:trHeight w:val="122"/>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65"/>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PART I. Financial Information</w:t>
              </w:r>
            </w:hyperlink>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gridSpan w:val="2"/>
          </w:tcPr>
          <w:p>
            <w:pPr>
              <w:jc w:val="center"/>
              <w:ind w:left="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Item 1.</w:t>
              </w:r>
            </w:hyperlink>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3"/>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Condensed Statements of Operations</w:t>
              </w:r>
            </w:hyperlink>
          </w:p>
        </w:tc>
        <w:tc>
          <w:tcPr>
            <w:tcW w:w="3240" w:type="dxa"/>
            <w:vAlign w:val="bottom"/>
            <w:gridSpan w:val="6"/>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Comprehensive Income (Loss)</w:t>
              </w:r>
            </w:hyperlink>
          </w:p>
        </w:tc>
        <w:tc>
          <w:tcPr>
            <w:tcW w:w="260" w:type="dxa"/>
            <w:vAlign w:val="bottom"/>
            <w:gridSpan w:val="2"/>
          </w:tcPr>
          <w:p>
            <w:pPr>
              <w:jc w:val="center"/>
              <w:ind w:left="7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Condensed Balance Sheets</w:t>
              </w:r>
            </w:hyperlink>
          </w:p>
        </w:tc>
        <w:tc>
          <w:tcPr>
            <w:tcW w:w="2340" w:type="dxa"/>
            <w:vAlign w:val="bottom"/>
            <w:gridSpan w:val="6"/>
          </w:tcPr>
          <w:p>
            <w:pPr>
              <w:spacing w:after="0"/>
              <w:rPr>
                <w:sz w:val="18"/>
                <w:szCs w:val="18"/>
                <w:color w:val="auto"/>
              </w:rPr>
            </w:pPr>
          </w:p>
        </w:tc>
        <w:tc>
          <w:tcPr>
            <w:tcW w:w="1680" w:type="dxa"/>
            <w:vAlign w:val="bottom"/>
            <w:gridSpan w:val="2"/>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Consolidated Condensed Statements of Equity</w:t>
              </w:r>
            </w:hyperlink>
          </w:p>
        </w:tc>
        <w:tc>
          <w:tcPr>
            <w:tcW w:w="3620" w:type="dxa"/>
            <w:vAlign w:val="bottom"/>
            <w:gridSpan w:val="7"/>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4"/>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Consolidated Condensed Statements of Cash Flows</w:t>
              </w:r>
            </w:hyperlink>
          </w:p>
        </w:tc>
        <w:tc>
          <w:tcPr>
            <w:tcW w:w="3180" w:type="dxa"/>
            <w:vAlign w:val="bottom"/>
            <w:gridSpan w:val="5"/>
          </w:tcPr>
          <w:p>
            <w:pPr>
              <w:spacing w:after="0"/>
              <w:rPr>
                <w:sz w:val="18"/>
                <w:szCs w:val="18"/>
                <w:color w:val="auto"/>
              </w:rPr>
            </w:pPr>
          </w:p>
        </w:tc>
        <w:tc>
          <w:tcPr>
            <w:tcW w:w="260" w:type="dxa"/>
            <w:vAlign w:val="bottom"/>
            <w:gridSpan w:val="2"/>
          </w:tcPr>
          <w:p>
            <w:pPr>
              <w:jc w:val="center"/>
              <w:ind w:left="7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6"/>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Notes to Consolidated Condensed Financial Statements</w:t>
              </w:r>
            </w:hyperlink>
          </w:p>
        </w:tc>
        <w:tc>
          <w:tcPr>
            <w:tcW w:w="30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2.</w:t>
              </w:r>
            </w:hyperlink>
          </w:p>
        </w:tc>
        <w:tc>
          <w:tcPr>
            <w:tcW w:w="2560" w:type="dxa"/>
            <w:vAlign w:val="bottom"/>
            <w:gridSpan w:val="5"/>
          </w:tcPr>
          <w:p>
            <w:pPr>
              <w:spacing w:after="0"/>
              <w:rPr>
                <w:sz w:val="18"/>
                <w:szCs w:val="18"/>
                <w:color w:val="auto"/>
              </w:rPr>
            </w:pPr>
          </w:p>
        </w:tc>
        <w:tc>
          <w:tcPr>
            <w:tcW w:w="7080" w:type="dxa"/>
            <w:vAlign w:val="bottom"/>
            <w:gridSpan w:val="19"/>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Management's Discussion and Analysis of Results of Operations and Financial Condition</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34</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Executive Overview</w:t>
              </w:r>
            </w:hyperlink>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34</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Revenue</w:t>
              </w:r>
            </w:hyperlink>
          </w:p>
        </w:tc>
        <w:tc>
          <w:tcPr>
            <w:tcW w:w="578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44</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6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Gross Margin, Costs, and Expenses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47</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Financial Condition and Liquidity</w:t>
              </w:r>
            </w:hyperlink>
          </w:p>
        </w:tc>
        <w:tc>
          <w:tcPr>
            <w:tcW w:w="280" w:type="dxa"/>
            <w:vAlign w:val="bottom"/>
            <w:gridSpan w:val="2"/>
          </w:tcPr>
          <w:p>
            <w:pPr>
              <w:spacing w:after="0"/>
              <w:rPr>
                <w:sz w:val="18"/>
                <w:szCs w:val="18"/>
                <w:color w:val="auto"/>
              </w:rPr>
            </w:pPr>
          </w:p>
        </w:tc>
        <w:tc>
          <w:tcPr>
            <w:tcW w:w="448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48</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Financial Expectations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49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40" w:type="dxa"/>
            <w:vAlign w:val="bottom"/>
            <w:gridSpan w:val="10"/>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Available Information on our Website</w:t>
              </w:r>
            </w:hyperlink>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49</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Item 4.</w:t>
              </w:r>
            </w:hyperlink>
          </w:p>
        </w:tc>
        <w:tc>
          <w:tcPr>
            <w:tcW w:w="2560" w:type="dxa"/>
            <w:vAlign w:val="bottom"/>
            <w:gridSpan w:val="5"/>
          </w:tcPr>
          <w:p>
            <w:pPr>
              <w:spacing w:after="0"/>
              <w:rPr>
                <w:sz w:val="18"/>
                <w:szCs w:val="18"/>
                <w:color w:val="auto"/>
              </w:rPr>
            </w:pPr>
          </w:p>
        </w:tc>
        <w:tc>
          <w:tcPr>
            <w:tcW w:w="2000" w:type="dxa"/>
            <w:vAlign w:val="bottom"/>
            <w:gridSpan w:val="8"/>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Controls and Procedures</w:t>
              </w:r>
            </w:hyperlink>
          </w:p>
        </w:tc>
        <w:tc>
          <w:tcPr>
            <w:tcW w:w="940" w:type="dxa"/>
            <w:vAlign w:val="bottom"/>
            <w:gridSpan w:val="2"/>
          </w:tcPr>
          <w:p>
            <w:pPr>
              <w:spacing w:after="0"/>
              <w:rPr>
                <w:sz w:val="18"/>
                <w:szCs w:val="18"/>
                <w:color w:val="auto"/>
              </w:rPr>
            </w:pPr>
          </w:p>
        </w:tc>
        <w:tc>
          <w:tcPr>
            <w:tcW w:w="462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50</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rFonts w:ascii="Arial" w:cs="Arial" w:eastAsia="Arial" w:hAnsi="Arial"/>
                <w:sz w:val="18"/>
                <w:szCs w:val="18"/>
                <w:color w:val="0000FF"/>
                <w:w w:val="98"/>
              </w:rPr>
            </w:pPr>
            <w:hyperlink w:anchor="page50">
              <w:r>
                <w:rPr>
                  <w:rFonts w:ascii="Arial" w:cs="Arial" w:eastAsia="Arial" w:hAnsi="Arial"/>
                  <w:sz w:val="18"/>
                  <w:szCs w:val="18"/>
                  <w:color w:val="0000FF"/>
                  <w:w w:val="98"/>
                </w:rPr>
                <w:t>PART II. Other Information</w:t>
              </w:r>
            </w:hyperlink>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51</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1.</w:t>
              </w:r>
            </w:hyperlink>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Legal Proceedings</w:t>
              </w:r>
            </w:hyperlink>
          </w:p>
        </w:tc>
        <w:tc>
          <w:tcPr>
            <w:tcW w:w="606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1A.</w:t>
              </w:r>
            </w:hyperlink>
          </w:p>
        </w:tc>
        <w:tc>
          <w:tcPr>
            <w:tcW w:w="2440" w:type="dxa"/>
            <w:vAlign w:val="bottom"/>
            <w:gridSpan w:val="4"/>
          </w:tcPr>
          <w:p>
            <w:pPr>
              <w:spacing w:after="0"/>
              <w:rPr>
                <w:sz w:val="18"/>
                <w:szCs w:val="18"/>
                <w:color w:val="auto"/>
              </w:rPr>
            </w:pPr>
          </w:p>
        </w:tc>
        <w:tc>
          <w:tcPr>
            <w:tcW w:w="756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420" w:type="dxa"/>
            <w:vAlign w:val="bottom"/>
            <w:gridSpan w:val="3"/>
          </w:tcPr>
          <w:p>
            <w:pPr>
              <w:jc w:val="center"/>
              <w:ind w:right="20"/>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51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2.</w:t>
              </w:r>
            </w:hyperlink>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Unregistered Sales of Equity Securities and Use of Proceeds</w:t>
              </w:r>
            </w:hyperlink>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20" w:type="dxa"/>
            <w:vAlign w:val="bottom"/>
            <w:gridSpan w:val="15"/>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Item 6.</w:t>
              </w:r>
            </w:hyperlink>
          </w:p>
        </w:tc>
        <w:tc>
          <w:tcPr>
            <w:tcW w:w="2560" w:type="dxa"/>
            <w:vAlign w:val="bottom"/>
            <w:gridSpan w:val="5"/>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Exhibits</w:t>
              </w:r>
            </w:hyperlink>
          </w:p>
        </w:tc>
        <w:tc>
          <w:tcPr>
            <w:tcW w:w="4220" w:type="dxa"/>
            <w:vAlign w:val="bottom"/>
            <w:gridSpan w:val="15"/>
          </w:tcPr>
          <w:p>
            <w:pPr>
              <w:spacing w:after="0"/>
              <w:rPr>
                <w:sz w:val="18"/>
                <w:szCs w:val="18"/>
                <w:color w:val="auto"/>
              </w:rPr>
            </w:pPr>
          </w:p>
        </w:tc>
        <w:tc>
          <w:tcPr>
            <w:tcW w:w="27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center"/>
              <w:ind w:right="1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52</w:t>
              </w:r>
            </w:hyperlink>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Signatures</w:t>
              </w:r>
            </w:hyperlink>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3"/>
          </w:tcPr>
          <w:p>
            <w:pPr>
              <w:jc w:val="center"/>
              <w:ind w:right="20"/>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52</w:t>
              </w:r>
            </w:hyperlink>
          </w:p>
        </w:tc>
        <w:tc>
          <w:tcPr>
            <w:tcW w:w="12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9"/>
          </w:tcPr>
          <w:p>
            <w:pPr>
              <w:ind w:left="2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Quarterly Report on Form 10-Q and our other publicly available documents include forward-looking statements within the meaning of Section 27A of the Securities Act of 1933 and Section 21E of the Securities Exchange Act of 1934, as amended (Exchange Act), and are subject to the safe harbor created thereby under the Private Securities Litigation Reform Act of 1995. In particular, information appearing under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4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potential treatments for COVID-19;</w:t>
      </w:r>
    </w:p>
    <w:p>
      <w:pPr>
        <w:spacing w:after="0" w:line="49" w:lineRule="exact"/>
        <w:rPr>
          <w:rFonts w:ascii="Arial" w:cs="Arial" w:eastAsia="Arial" w:hAnsi="Arial"/>
          <w:sz w:val="18"/>
          <w:szCs w:val="18"/>
          <w:color w:val="auto"/>
        </w:rPr>
      </w:pPr>
    </w:p>
    <w:p>
      <w:pPr>
        <w:ind w:left="660" w:right="24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acquisitions and business development transactions and related integration costs;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49" w:lineRule="exact"/>
        <w:rPr>
          <w:rFonts w:ascii="Arial" w:cs="Arial" w:eastAsia="Arial" w:hAnsi="Arial"/>
          <w:sz w:val="18"/>
          <w:szCs w:val="18"/>
          <w:color w:val="auto"/>
        </w:rPr>
      </w:pPr>
    </w:p>
    <w:p>
      <w:pPr>
        <w:ind w:left="660" w:right="2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IT systems, networks, and facilities, or those of third parties with whom we share our data;</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49" w:lineRule="exact"/>
        <w:rPr>
          <w:rFonts w:ascii="Arial" w:cs="Arial" w:eastAsia="Arial" w:hAnsi="Arial"/>
          <w:sz w:val="18"/>
          <w:szCs w:val="18"/>
          <w:color w:val="auto"/>
        </w:rPr>
      </w:pPr>
    </w:p>
    <w:p>
      <w:pPr>
        <w:ind w:left="660" w:right="46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41" w:lineRule="exact"/>
        <w:rPr>
          <w:rFonts w:ascii="Arial" w:cs="Arial" w:eastAsia="Arial" w:hAnsi="Arial"/>
          <w:sz w:val="18"/>
          <w:szCs w:val="18"/>
          <w:color w:val="auto"/>
        </w:rPr>
      </w:pPr>
    </w:p>
    <w:p>
      <w:pPr>
        <w:ind w:left="660" w:right="28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or disruptions, including as a result of regulatory actions relating to our facilities;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49" w:lineRule="exact"/>
        <w:rPr>
          <w:rFonts w:ascii="Arial" w:cs="Arial" w:eastAsia="Arial" w:hAnsi="Arial"/>
          <w:sz w:val="18"/>
          <w:szCs w:val="18"/>
          <w:color w:val="auto"/>
        </w:rPr>
      </w:pPr>
    </w:p>
    <w:p>
      <w:pPr>
        <w:ind w:left="660" w:right="1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or changes in interest rates, and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 trade disruptions or disputes;</w:t>
      </w:r>
    </w:p>
    <w:p>
      <w:pPr>
        <w:spacing w:after="0" w:line="49" w:lineRule="exact"/>
        <w:rPr>
          <w:rFonts w:ascii="Arial" w:cs="Arial" w:eastAsia="Arial" w:hAnsi="Arial"/>
          <w:sz w:val="18"/>
          <w:szCs w:val="18"/>
          <w:color w:val="auto"/>
        </w:rPr>
      </w:pPr>
    </w:p>
    <w:p>
      <w:pPr>
        <w:ind w:left="660" w:right="420" w:hanging="328"/>
        <w:spacing w:after="0" w:line="24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104" w:lineRule="exact"/>
        <w:rPr>
          <w:sz w:val="20"/>
          <w:szCs w:val="20"/>
          <w:color w:val="auto"/>
        </w:rPr>
      </w:pPr>
    </w:p>
    <w:p>
      <w:pPr>
        <w:ind w:right="14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particularly under the caption “Risk Factors”.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line="237"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18" w:right="47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6,805.6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1,878.6</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1,684.8</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1,392.1</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1,576.0</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40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299.3</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211.6</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(321.1)</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23"/>
        </w:trPr>
        <w:tc>
          <w:tcPr>
            <w:tcW w:w="77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5,329.2</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4,179.9</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1,476.4</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1,679.9</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7)</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121.1</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1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1,355.3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1,456.5</w:t>
            </w:r>
          </w:p>
        </w:tc>
      </w:tr>
      <w:tr>
        <w:trPr>
          <w:trHeight w:val="257"/>
        </w:trPr>
        <w:tc>
          <w:tcPr>
            <w:tcW w:w="7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1.49</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56"/>
        </w:trPr>
        <w:tc>
          <w:tcPr>
            <w:tcW w:w="7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908.8</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r>
      <w:tr>
        <w:trPr>
          <w:trHeight w:val="239"/>
        </w:trPr>
        <w:tc>
          <w:tcPr>
            <w:tcW w:w="7740" w:type="dxa"/>
            <w:vAlign w:val="bottom"/>
          </w:tcPr>
          <w:p>
            <w:pPr>
              <w:ind w:left="1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b w:val="1"/>
                <w:bCs w:val="1"/>
                <w:color w:val="auto"/>
              </w:rPr>
              <w:t>912.4</w:t>
            </w:r>
          </w:p>
        </w:tc>
        <w:tc>
          <w:tcPr>
            <w:tcW w:w="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911.7</w:t>
            </w:r>
          </w:p>
        </w:tc>
      </w:tr>
    </w:tbl>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5"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1,355.3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10)</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100.8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1,456.1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(Note 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Short-term investments (Note 6)</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49.0</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$23.9 (2021)</w:t>
            </w:r>
            <w:r>
              <w:rPr>
                <w:rFonts w:ascii="Arial" w:cs="Arial" w:eastAsia="Arial" w:hAnsi="Arial"/>
                <w:sz w:val="18"/>
                <w:szCs w:val="18"/>
                <w:color w:val="auto"/>
              </w:rPr>
              <w:t xml:space="preserve"> and $25.9 (2020)</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5,592.8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1,065.8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3,660.8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3,233.7</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16,604.5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(Note 6)</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3,232.4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3,877.4</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8,087.8</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2,649.9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188"/>
        </w:trPr>
        <w:tc>
          <w:tcPr>
            <w:tcW w:w="7400" w:type="dxa"/>
            <w:vAlign w:val="bottom"/>
          </w:tcPr>
          <w:p>
            <w:pPr>
              <w:ind w:left="20"/>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$9,643.4 (2021)</w:t>
            </w:r>
            <w:r>
              <w:rPr>
                <w:rFonts w:ascii="Arial" w:cs="Arial" w:eastAsia="Arial" w:hAnsi="Arial"/>
                <w:sz w:val="18"/>
                <w:szCs w:val="18"/>
                <w:color w:val="auto"/>
              </w:rPr>
              <w:t xml:space="preserve"> and $9,570.7</w:t>
            </w:r>
          </w:p>
        </w:tc>
        <w:tc>
          <w:tcPr>
            <w:tcW w:w="280" w:type="dxa"/>
            <w:vAlign w:val="bottom"/>
          </w:tcPr>
          <w:p>
            <w:pPr>
              <w:spacing w:after="0"/>
              <w:rPr>
                <w:sz w:val="16"/>
                <w:szCs w:val="16"/>
                <w:color w:val="auto"/>
              </w:rPr>
            </w:pPr>
          </w:p>
        </w:tc>
        <w:tc>
          <w:tcPr>
            <w:tcW w:w="1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8,630.1</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8,681.9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3,756.2</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46,838.3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1,639.6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649.9</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5,821.4</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791.6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2,806.8</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11,714.2</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12,481.6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16,199.6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16,586.6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retirement benefits (Note 8)</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3,969.8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Long-term income taxes payable</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3,917.5</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2,200.6</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1,737.3</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28,024.8</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28,326.3</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9)</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Eli Lilly and Company Shareholders’ Equity</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599.7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6,579.2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6,778.5</w:t>
            </w:r>
          </w:p>
        </w:tc>
        <w:tc>
          <w:tcPr>
            <w:tcW w:w="0" w:type="dxa"/>
            <w:vAlign w:val="bottom"/>
          </w:tcPr>
          <w:p>
            <w:pPr>
              <w:spacing w:after="0"/>
              <w:rPr>
                <w:sz w:val="1"/>
                <w:szCs w:val="1"/>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9,181.3</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7,830.2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 trust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Accumulated other comprehensive loss (Note 10)</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(6,395.6)</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tcPr>
          <w:p>
            <w:pPr>
              <w:spacing w:after="0"/>
              <w:rPr>
                <w:sz w:val="19"/>
                <w:szCs w:val="19"/>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b w:val="1"/>
                <w:bCs w:val="1"/>
                <w:color w:val="auto"/>
              </w:rPr>
              <w:t>6,898.7</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5,641.6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7,099.3</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46,838.3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30" w:lineRule="exact"/>
        <w:rPr>
          <w:sz w:val="20"/>
          <w:szCs w:val="20"/>
          <w:color w:val="auto"/>
        </w:rPr>
      </w:pPr>
    </w:p>
    <w:tbl>
      <w:tblPr>
        <w:tblLayout w:type="fixed"/>
        <w:tblInd w:w="32" w:type="dxa"/>
        <w:tblCellMar>
          <w:top w:w="0" w:type="dxa"/>
          <w:left w:w="0" w:type="dxa"/>
          <w:bottom w:w="0" w:type="dxa"/>
          <w:right w:w="0" w:type="dxa"/>
        </w:tblCellMar>
      </w:tblPr>
      <w:tr>
        <w:trPr>
          <w:trHeight w:val="142"/>
        </w:trPr>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gridSpan w:val="6"/>
          </w:tcPr>
          <w:p>
            <w:pPr>
              <w:jc w:val="right"/>
              <w:ind w:right="84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620" w:type="dxa"/>
            <w:vAlign w:val="bottom"/>
          </w:tcPr>
          <w:p>
            <w:pPr>
              <w:spacing w:after="0"/>
              <w:rPr>
                <w:sz w:val="20"/>
                <w:szCs w:val="20"/>
                <w:color w:val="auto"/>
              </w:rPr>
            </w:pPr>
          </w:p>
        </w:tc>
        <w:tc>
          <w:tcPr>
            <w:tcW w:w="162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Arial" w:cs="Arial" w:eastAsia="Arial" w:hAnsi="Arial"/>
                <w:sz w:val="11"/>
                <w:szCs w:val="11"/>
                <w:b w:val="1"/>
                <w:bCs w:val="1"/>
                <w:color w:val="auto"/>
                <w:w w:val="96"/>
              </w:rPr>
              <w:t>Additional</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Common Stock in Treasury</w:t>
            </w:r>
            <w:r>
              <w:rPr>
                <w:rFonts w:ascii="Arial" w:cs="Arial" w:eastAsia="Arial" w:hAnsi="Arial"/>
                <w:sz w:val="16"/>
                <w:szCs w:val="16"/>
                <w:b w:val="1"/>
                <w:bCs w:val="1"/>
                <w:color w:val="auto"/>
                <w:w w:val="98"/>
                <w:vertAlign w:val="superscript"/>
              </w:rPr>
              <w:t>(1)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vMerge w:val="restart"/>
          </w:tcPr>
          <w:p>
            <w:pPr>
              <w:jc w:val="right"/>
              <w:ind w:right="140"/>
              <w:spacing w:after="0" w:line="95" w:lineRule="exact"/>
              <w:rPr>
                <w:sz w:val="20"/>
                <w:szCs w:val="20"/>
                <w:color w:val="auto"/>
              </w:rPr>
            </w:pPr>
            <w:r>
              <w:rPr>
                <w:rFonts w:ascii="Arial" w:cs="Arial" w:eastAsia="Arial" w:hAnsi="Arial"/>
                <w:sz w:val="10"/>
                <w:szCs w:val="10"/>
                <w:b w:val="1"/>
                <w:bCs w:val="1"/>
                <w:color w:val="auto"/>
              </w:rPr>
              <w:t>Paid-in</w:t>
            </w:r>
          </w:p>
        </w:tc>
        <w:tc>
          <w:tcPr>
            <w:tcW w:w="24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6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vMerge w:val="restart"/>
          </w:tcPr>
          <w:p>
            <w:pPr>
              <w:jc w:val="right"/>
              <w:ind w:right="120"/>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millions and shares in thousands)</w:t>
            </w:r>
          </w:p>
        </w:tc>
        <w:tc>
          <w:tcPr>
            <w:tcW w:w="90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720" w:type="dxa"/>
            <w:vAlign w:val="bottom"/>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840" w:type="dxa"/>
            <w:vAlign w:val="bottom"/>
          </w:tcPr>
          <w:p>
            <w:pPr>
              <w:jc w:val="right"/>
              <w:ind w:right="121"/>
              <w:spacing w:after="0"/>
              <w:rPr>
                <w:sz w:val="20"/>
                <w:szCs w:val="20"/>
                <w:color w:val="auto"/>
              </w:rPr>
            </w:pPr>
            <w:r>
              <w:rPr>
                <w:rFonts w:ascii="Arial" w:cs="Arial" w:eastAsia="Arial" w:hAnsi="Arial"/>
                <w:sz w:val="11"/>
                <w:szCs w:val="11"/>
                <w:b w:val="1"/>
                <w:bCs w:val="1"/>
                <w:color w:val="auto"/>
                <w:w w:val="94"/>
              </w:rPr>
              <w:t>Benefit Trust</w:t>
            </w:r>
          </w:p>
        </w:tc>
        <w:tc>
          <w:tcPr>
            <w:tcW w:w="18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80"/>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958,056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6,685.3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4,920.4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(6,523.6)</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530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1,456.5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(362.3)</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(3,627)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(497.7)</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Arial" w:cs="Arial" w:eastAsia="Arial" w:hAnsi="Arial"/>
                <w:sz w:val="13"/>
                <w:szCs w:val="13"/>
                <w:color w:val="auto"/>
              </w:rPr>
              <w:t>(3,627)</w:t>
            </w:r>
          </w:p>
        </w:tc>
        <w:tc>
          <w:tcPr>
            <w:tcW w:w="18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500.0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3,627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(201.0)</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1"/>
                <w:szCs w:val="11"/>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0.2</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2020</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956,929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5,879.4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(6,885.9)</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2021</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957,077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598.2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6,778.5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7,830.2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(6,496.4)</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487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183.6</w:t>
            </w: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1,355.3</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3"/>
                <w:szCs w:val="13"/>
                <w:b w:val="1"/>
                <w:bCs w:val="1"/>
                <w:color w:val="auto"/>
              </w:rPr>
              <w:t>16.4</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100.8</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 stock</w:t>
            </w:r>
          </w:p>
        </w:tc>
        <w:tc>
          <w:tcPr>
            <w:tcW w:w="90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2,405</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(283.9)</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rPr>
              <w:t>(24)</w:t>
            </w:r>
          </w:p>
        </w:tc>
        <w:tc>
          <w:tcPr>
            <w:tcW w:w="180" w:type="dxa"/>
            <w:vAlign w:val="bottom"/>
          </w:tcPr>
          <w:p>
            <w:pPr>
              <w:spacing w:after="0"/>
              <w:rPr>
                <w:sz w:val="11"/>
                <w:szCs w:val="11"/>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3.0</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3"/>
                <w:szCs w:val="13"/>
                <w:color w:val="auto"/>
              </w:rPr>
              <w:t>plans, net</w:t>
            </w: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85.5</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(0.9)</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(4.2)</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0.6</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2021</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959,482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9,181.3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(6,395.6)</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32" w:hanging="132"/>
        <w:spacing w:after="0"/>
        <w:tabs>
          <w:tab w:leader="none" w:pos="132"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As of March 31, 2021, there was $1.00 billion remaining under our $8.00 billion share repurchase program authorized in June 2018.</w:t>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8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1,355.3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350.3</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Change in deferred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(119.1)</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85.5</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Net investment gains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(302.2)</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299.3</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operating activities,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131.1</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1,697.4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Net purchases of property and equipment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(300.3)</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and maturities of short-term investments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noncurrent investments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284.8</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Purchases of noncurrent investments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(291.5)</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 (Note 3)</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(191.8)</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(1,283.5)</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(774.8)</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1,748.7</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42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(654.7)</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3,657.1</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3,002.4</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We issue our financial statements by filing them with the Securities and Exchange Commission and have evaluated subsequent events up to the time of the filing of this Quarterly Report on Form 10-Q.</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6,320.0</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5,403.5</w:t>
            </w:r>
          </w:p>
        </w:tc>
      </w:tr>
      <w:tr>
        <w:trPr>
          <w:trHeight w:val="229"/>
        </w:trPr>
        <w:tc>
          <w:tcPr>
            <w:tcW w:w="7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485.6</w:t>
            </w: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6,805.6</w:t>
            </w: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r>
    </w:tbl>
    <w:p>
      <w:pPr>
        <w:spacing w:after="0" w:line="113" w:lineRule="exact"/>
        <w:rPr>
          <w:sz w:val="20"/>
          <w:szCs w:val="20"/>
          <w:color w:val="auto"/>
        </w:rPr>
      </w:pPr>
    </w:p>
    <w:p>
      <w:pPr>
        <w:ind w:left="180" w:right="240" w:hanging="172"/>
        <w:spacing w:after="0" w:line="217" w:lineRule="auto"/>
        <w:tabs>
          <w:tab w:leader="none" w:pos="15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$43.0 million and $35.4 million during the three months ended March 31, 2021 and 2020, respectively.</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 as well as royalties, upfront and milestone payments we receive under these types of contracts. See Note 4 for additional information related to certain of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w:t>
      </w:r>
    </w:p>
    <w:p>
      <w:pPr>
        <w:spacing w:after="0" w:line="1" w:lineRule="exact"/>
        <w:rPr>
          <w:sz w:val="20"/>
          <w:szCs w:val="20"/>
          <w:color w:val="auto"/>
        </w:rPr>
      </w:pPr>
    </w:p>
    <w:p>
      <w:pPr>
        <w:ind w:right="420" w:firstLine="8"/>
        <w:spacing w:after="0" w:line="375"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Substantially all of the remainder of collaboration and other revenue is related to contracts accounted for as contracts with customers. </w:t>
      </w:r>
      <w:r>
        <w:rPr>
          <w:rFonts w:ascii="Arial" w:cs="Arial" w:eastAsia="Arial" w:hAnsi="Arial"/>
          <w:sz w:val="18"/>
          <w:szCs w:val="18"/>
          <w:u w:val="single" w:color="auto"/>
          <w:color w:val="auto"/>
        </w:rPr>
        <w:t>Adjustments to Revenue</w:t>
      </w:r>
    </w:p>
    <w:p>
      <w:pPr>
        <w:spacing w:after="0" w:line="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Adjustments to increase revenue recognized as a result of changes in estimates for our most significant United States (U.S.) sales returns, rebates, and discounts liability balances for products shipped in previous periods were less than 2 percent of U.S. revenue during the three months ended March 31, 2021 and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346.6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r>
    </w:tbl>
    <w:p>
      <w:pPr>
        <w:spacing w:after="0" w:line="21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During the three months ended March 31, 2021 and 2020,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 for the three months ended March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4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Revenue—to unaffiliated customers: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Diabetes: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335.7</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 (1)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332.7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284.4</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617.0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695.8</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321.7</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312.0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Diabetes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161.4</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Diabetes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1,049.9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3,111.1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2,968.9</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261.1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297.8</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559.0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269.0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160.3</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240.5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239.0</w:t>
            </w:r>
          </w:p>
        </w:tc>
      </w:tr>
      <w:tr>
        <w:trPr>
          <w:trHeight w:val="229"/>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109.7</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109.7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71.6</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57"/>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Oncology</w:t>
            </w: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642.5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729.7</w:t>
            </w:r>
          </w:p>
        </w:tc>
        <w:tc>
          <w:tcPr>
            <w:tcW w:w="2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1,372.2</w:t>
            </w:r>
          </w:p>
        </w:tc>
        <w:tc>
          <w:tcPr>
            <w:tcW w:w="3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657.9</w:t>
            </w: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543.6</w:t>
            </w: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1,201.5</w:t>
            </w: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403.2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169.1</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193.8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16.9</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240" w:type="dxa"/>
            <w:vAlign w:val="bottom"/>
          </w:tcPr>
          <w:p>
            <w:pPr>
              <w:ind w:left="480"/>
              <w:spacing w:after="0"/>
              <w:rPr>
                <w:sz w:val="20"/>
                <w:szCs w:val="20"/>
                <w:color w:val="auto"/>
              </w:rPr>
            </w:pPr>
            <w:r>
              <w:rPr>
                <w:rFonts w:ascii="Arial" w:cs="Arial" w:eastAsia="Arial" w:hAnsi="Arial"/>
                <w:sz w:val="18"/>
                <w:szCs w:val="18"/>
                <w:color w:val="auto"/>
              </w:rPr>
              <w:t>Total Immunology</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284.8</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329.1</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613.9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585.8</w:t>
            </w:r>
          </w:p>
        </w:tc>
      </w:tr>
      <w:tr>
        <w:trPr>
          <w:trHeight w:val="95"/>
        </w:trPr>
        <w:tc>
          <w:tcPr>
            <w:tcW w:w="4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Neuroscience: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176.6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119.5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4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i w:val="1"/>
                <w:iCs w:val="1"/>
                <w:color w:val="auto"/>
              </w:rPr>
              <w:t>Other Neuroscience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465.4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9"/>
        </w:trPr>
        <w:tc>
          <w:tcPr>
            <w:tcW w:w="4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650.6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810.1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198.5</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30"/>
        </w:trPr>
        <w:tc>
          <w:tcPr>
            <w:tcW w:w="4240" w:type="dxa"/>
            <w:vAlign w:val="bottom"/>
          </w:tcPr>
          <w:p>
            <w:pPr>
              <w:ind w:left="68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2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126.8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9"/>
        </w:trPr>
        <w:tc>
          <w:tcPr>
            <w:tcW w:w="424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107.5</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23"/>
        </w:trPr>
        <w:tc>
          <w:tcPr>
            <w:tcW w:w="4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1,242.9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2,864.3</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6,805.6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55" w:lineRule="exact"/>
        <w:rPr>
          <w:rFonts w:ascii="Arial" w:cs="Arial" w:eastAsia="Arial" w:hAnsi="Arial"/>
          <w:sz w:val="9"/>
          <w:szCs w:val="9"/>
          <w:color w:val="auto"/>
        </w:rPr>
      </w:pPr>
    </w:p>
    <w:p>
      <w:pPr>
        <w:ind w:firstLine="8"/>
        <w:spacing w:after="0" w:line="258" w:lineRule="auto"/>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as well as sales for bamlanivimab and etesevimab administered together and were made pursuant to Emergency Use Authorizations (EUAs).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8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3,941.3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3,328.8</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571.8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592.3</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foreign countries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w:t>
            </w: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6,805.6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January 2021 and February 2020, we completed the acquisitions of Prevail Therapeutics Inc. (Prevail) and Dermira, Inc. (Dermira),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acquired assets in development which are further discussed in this note below in Asset Acquisitions. Upon each acquisition, the cost allocated to acquired in-process research and development (IPR&amp;D) was immediately expensed because the compound had no alternative future use. We recognized $299.3 million and $52.3 million of acquired IPR&amp;D charges for the three months ended March 31,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to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Prevail is a biotechnology company developing potentially disease-modifying AAV9-based gene therapies for patients with neurodegenerative diseases. The acquisition establishes a new modality for drug discovery and development, extending our research efforts through the creation of a gene therapy program that will be anchored by Prevail’s portfolio of assets. Prevail’s lead gene therapies in clinical development are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access to Prevail information was limited prior to the acquisition. As a consequence, we are in the process of determining fair values and tax bases of a significant portion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ind w:left="20"/>
        <w:spacing w:after="0" w:line="219" w:lineRule="auto"/>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 and liabilities, net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date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net of cash acquired</w:t>
      </w:r>
    </w:p>
    <w:p>
      <w:pPr>
        <w:spacing w:after="0" w:line="124"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from this acquisition is not deductible for tax purposes.</w:t>
      </w:r>
    </w:p>
    <w:p>
      <w:pPr>
        <w:spacing w:after="0" w:line="44"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See Note 6 for a discussion on the estimation of the CVR liability.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903.8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(90.5)</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846" w:lineRule="exact"/>
        <w:rPr>
          <w:sz w:val="20"/>
          <w:szCs w:val="20"/>
          <w:color w:val="auto"/>
        </w:rPr>
      </w:pPr>
    </w:p>
    <w:p>
      <w:pPr>
        <w:sectPr>
          <w:pgSz w:w="11900" w:h="16838" w:orient="portrait"/>
          <w:cols w:equalWidth="0" w:num="2">
            <w:col w:w="8280" w:space="720"/>
            <w:col w:w="2220"/>
          </w:cols>
          <w:pgMar w:left="320" w:top="1052" w:right="359" w:bottom="1440" w:gutter="0" w:footer="0" w:header="0"/>
          <w:type w:val="continuous"/>
        </w:sectPr>
      </w:pPr>
    </w:p>
    <w:p>
      <w:pPr>
        <w:ind w:right="60"/>
        <w:spacing w:after="0" w:line="261"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months ended March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During the three months ended March 31, 2021, we decided to sell the rights to Qbrexza. See Note 5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the three months ended March 31,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Phase of Development</w:t>
            </w:r>
            <w:r>
              <w:rPr>
                <w:rFonts w:ascii="Arial" w:cs="Arial" w:eastAsia="Arial" w:hAnsi="Arial"/>
                <w:sz w:val="18"/>
                <w:szCs w:val="18"/>
                <w:b w:val="1"/>
                <w:bCs w:val="1"/>
                <w:color w:val="auto"/>
                <w:w w:val="93"/>
                <w:vertAlign w:val="subscript"/>
              </w:rPr>
              <w:t>(1)</w:t>
            </w:r>
          </w:p>
        </w:tc>
        <w:tc>
          <w:tcPr>
            <w:tcW w:w="200" w:type="dxa"/>
            <w:vAlign w:val="bottom"/>
          </w:tcPr>
          <w:p>
            <w:pPr>
              <w:spacing w:after="0"/>
              <w:rPr>
                <w:sz w:val="14"/>
                <w:szCs w:val="14"/>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09"/>
        </w:trPr>
        <w:tc>
          <w:tcPr>
            <w:tcW w:w="30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3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Compound(s) or Therapy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67"/>
        </w:trPr>
        <w:tc>
          <w:tcPr>
            <w:tcW w:w="3040" w:type="dxa"/>
            <w:vAlign w:val="bottom"/>
            <w:tcBorders>
              <w:bottom w:val="single" w:sz="8" w:color="auto"/>
            </w:tcBorders>
            <w:vMerge w:val="continue"/>
          </w:tcPr>
          <w:p>
            <w:pPr>
              <w:spacing w:after="0"/>
              <w:rPr>
                <w:sz w:val="5"/>
                <w:szCs w:val="5"/>
                <w:color w:val="auto"/>
              </w:rPr>
            </w:pPr>
          </w:p>
        </w:tc>
        <w:tc>
          <w:tcPr>
            <w:tcW w:w="3320" w:type="dxa"/>
            <w:vAlign w:val="bottom"/>
            <w:tcBorders>
              <w:bottom w:val="single" w:sz="8" w:color="auto"/>
            </w:tcBorders>
            <w:vMerge w:val="continue"/>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Precision Biosciences, Inc.</w:t>
            </w: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Research and development of potential</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January 2021</w:t>
            </w:r>
          </w:p>
        </w:tc>
        <w:tc>
          <w:tcPr>
            <w:tcW w:w="1780" w:type="dxa"/>
            <w:vAlign w:val="bottom"/>
            <w:vMerge w:val="restart"/>
            <w:shd w:val="clear" w:color="auto" w:fill="CCEEFF"/>
          </w:tcPr>
          <w:p>
            <w:pPr>
              <w:jc w:val="center"/>
              <w:ind w:left="13"/>
              <w:spacing w:after="0"/>
              <w:rPr>
                <w:sz w:val="20"/>
                <w:szCs w:val="20"/>
                <w:color w:val="auto"/>
              </w:rPr>
            </w:pPr>
            <w:r>
              <w:rPr>
                <w:rFonts w:ascii="Arial" w:cs="Arial" w:eastAsia="Arial" w:hAnsi="Arial"/>
                <w:sz w:val="18"/>
                <w:szCs w:val="18"/>
                <w:color w:val="auto"/>
                <w:w w:val="99"/>
              </w:rPr>
              <w:t>Pre-clinical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0" w:type="dxa"/>
            <w:vAlign w:val="bottom"/>
          </w:tcPr>
          <w:p>
            <w:pPr>
              <w:spacing w:after="0"/>
              <w:rPr>
                <w:sz w:val="1"/>
                <w:szCs w:val="1"/>
                <w:color w:val="auto"/>
              </w:rPr>
            </w:pPr>
          </w:p>
        </w:tc>
      </w:tr>
      <w:tr>
        <w:trPr>
          <w:trHeight w:val="122"/>
        </w:trPr>
        <w:tc>
          <w:tcPr>
            <w:tcW w:w="3040" w:type="dxa"/>
            <w:vAlign w:val="bottom"/>
            <w:vMerge w:val="continue"/>
            <w:shd w:val="clear" w:color="auto" w:fill="CCEEFF"/>
          </w:tcPr>
          <w:p>
            <w:pPr>
              <w:spacing w:after="0"/>
              <w:rPr>
                <w:sz w:val="10"/>
                <w:szCs w:val="10"/>
                <w:color w:val="auto"/>
              </w:rPr>
            </w:pPr>
          </w:p>
        </w:tc>
        <w:tc>
          <w:tcPr>
            <w:tcW w:w="3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in vivo therapies for genetic disorders</w:t>
            </w:r>
          </w:p>
        </w:tc>
        <w:tc>
          <w:tcPr>
            <w:tcW w:w="156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40" w:type="dxa"/>
            <w:vAlign w:val="bottom"/>
            <w:tcBorders>
              <w:bottom w:val="single" w:sz="8" w:color="auto"/>
            </w:tcBorders>
            <w:shd w:val="clear" w:color="auto" w:fill="CCEEFF"/>
          </w:tcPr>
          <w:p>
            <w:pPr>
              <w:spacing w:after="0"/>
              <w:rPr>
                <w:sz w:val="8"/>
                <w:szCs w:val="8"/>
                <w:color w:val="auto"/>
              </w:rPr>
            </w:pPr>
          </w:p>
        </w:tc>
        <w:tc>
          <w:tcPr>
            <w:tcW w:w="3320" w:type="dxa"/>
            <w:vAlign w:val="bottom"/>
            <w:tcBorders>
              <w:bottom w:val="single" w:sz="8" w:color="auto"/>
            </w:tcBorders>
            <w:vMerge w:val="continue"/>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78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CD3-engaging T-cell re-directing</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Merus N.V.</w:t>
            </w: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bispecific antibodies for the potential</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treatment of cancer</w:t>
            </w:r>
          </w:p>
        </w:tc>
        <w:tc>
          <w:tcPr>
            <w:tcW w:w="1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15"/>
                <w:szCs w:val="15"/>
                <w:color w:val="auto"/>
              </w:rPr>
            </w:pPr>
          </w:p>
        </w:tc>
        <w:tc>
          <w:tcPr>
            <w:tcW w:w="33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AK1780, an orally bioavailable P2X7</w:t>
            </w:r>
          </w:p>
        </w:tc>
        <w:tc>
          <w:tcPr>
            <w:tcW w:w="15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Asahi Kasei Pharma Corporation</w:t>
            </w:r>
          </w:p>
        </w:tc>
        <w:tc>
          <w:tcPr>
            <w:tcW w:w="33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receptor antagonist for the potential</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780" w:type="dxa"/>
            <w:vAlign w:val="bottom"/>
            <w:shd w:val="clear" w:color="auto" w:fill="CCEEFF"/>
          </w:tcPr>
          <w:p>
            <w:pPr>
              <w:jc w:val="center"/>
              <w:ind w:left="13"/>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treatment of chronic pain conditions</w:t>
            </w:r>
          </w:p>
        </w:tc>
        <w:tc>
          <w:tcPr>
            <w:tcW w:w="15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3320" w:type="dxa"/>
            <w:vAlign w:val="bottom"/>
          </w:tcPr>
          <w:p>
            <w:pPr>
              <w:ind w:left="60"/>
              <w:spacing w:after="0" w:line="182" w:lineRule="exact"/>
              <w:rPr>
                <w:sz w:val="20"/>
                <w:szCs w:val="20"/>
                <w:color w:val="auto"/>
              </w:rPr>
            </w:pPr>
            <w:r>
              <w:rPr>
                <w:rFonts w:ascii="Arial" w:cs="Arial" w:eastAsia="Arial" w:hAnsi="Arial"/>
                <w:sz w:val="18"/>
                <w:szCs w:val="18"/>
                <w:color w:val="auto"/>
              </w:rPr>
              <w:t>R552, a receptor-interacting</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serine/threonine-protein kinase 1</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Rigel Pharmaceuticals, Inc.</w:t>
            </w: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(RIPK1) inhibitor, for the potential</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8"/>
              </w:rPr>
              <w:t>March 2021</w:t>
            </w:r>
          </w:p>
        </w:tc>
        <w:tc>
          <w:tcPr>
            <w:tcW w:w="178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8"/>
              </w:rPr>
              <w:t>Phase I</w:t>
            </w:r>
          </w:p>
        </w:tc>
        <w:tc>
          <w:tcPr>
            <w:tcW w:w="2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treatment of autoimmune and</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inflammatory diseases</w:t>
            </w:r>
          </w:p>
        </w:tc>
        <w:tc>
          <w:tcPr>
            <w:tcW w:w="1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CCEEFF"/>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3320" w:type="dxa"/>
            <w:vAlign w:val="bottom"/>
          </w:tcPr>
          <w:p>
            <w:pPr>
              <w:ind w:left="60"/>
              <w:spacing w:after="0" w:line="189" w:lineRule="exact"/>
              <w:rPr>
                <w:sz w:val="20"/>
                <w:szCs w:val="20"/>
                <w:color w:val="auto"/>
              </w:rPr>
            </w:pPr>
            <w:r>
              <w:rPr>
                <w:rFonts w:ascii="Arial" w:cs="Arial" w:eastAsia="Arial" w:hAnsi="Arial"/>
                <w:sz w:val="18"/>
                <w:szCs w:val="18"/>
                <w:color w:val="auto"/>
              </w:rPr>
              <w:t>Pre-clinical targets that could lead to</w:t>
            </w:r>
          </w:p>
        </w:tc>
        <w:tc>
          <w:tcPr>
            <w:tcW w:w="1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line="176" w:lineRule="exact"/>
              <w:rPr>
                <w:sz w:val="20"/>
                <w:szCs w:val="20"/>
                <w:color w:val="auto"/>
              </w:rPr>
            </w:pPr>
            <w:r>
              <w:rPr>
                <w:rFonts w:ascii="Arial" w:cs="Arial" w:eastAsia="Arial" w:hAnsi="Arial"/>
                <w:sz w:val="18"/>
                <w:szCs w:val="18"/>
                <w:color w:val="auto"/>
              </w:rPr>
              <w:t>Sitryx Therapeutics Limited</w:t>
            </w:r>
          </w:p>
        </w:tc>
        <w:tc>
          <w:tcPr>
            <w:tcW w:w="3320" w:type="dxa"/>
            <w:vAlign w:val="bottom"/>
          </w:tcPr>
          <w:p>
            <w:pPr>
              <w:ind w:left="60"/>
              <w:spacing w:after="0" w:line="176" w:lineRule="exact"/>
              <w:rPr>
                <w:sz w:val="20"/>
                <w:szCs w:val="20"/>
                <w:color w:val="auto"/>
              </w:rPr>
            </w:pPr>
            <w:r>
              <w:rPr>
                <w:rFonts w:ascii="Arial" w:cs="Arial" w:eastAsia="Arial" w:hAnsi="Arial"/>
                <w:sz w:val="18"/>
                <w:szCs w:val="18"/>
                <w:color w:val="auto"/>
              </w:rPr>
              <w:t>potential new medicines for</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8"/>
              </w:rPr>
              <w:t>March 2020</w:t>
            </w:r>
          </w:p>
        </w:tc>
        <w:tc>
          <w:tcPr>
            <w:tcW w:w="178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Pre-clinical</w:t>
            </w:r>
          </w:p>
        </w:tc>
        <w:tc>
          <w:tcPr>
            <w:tcW w:w="20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autoimmune diseases</w:t>
            </w:r>
          </w:p>
        </w:tc>
        <w:tc>
          <w:tcPr>
            <w:tcW w:w="1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AbCellera Biologics Inc. (AbCellera)</w:t>
            </w:r>
            <w:r>
              <w:rPr>
                <w:rFonts w:ascii="Arial" w:cs="Arial" w:eastAsia="Arial" w:hAnsi="Arial"/>
                <w:sz w:val="9"/>
                <w:szCs w:val="9"/>
                <w:color w:val="auto"/>
              </w:rPr>
              <w:t>(2)</w:t>
            </w: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Neutralizing antibodies for the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March 2020</w:t>
            </w:r>
          </w:p>
        </w:tc>
        <w:tc>
          <w:tcPr>
            <w:tcW w:w="17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Pre-clinical</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shd w:val="clear" w:color="auto" w:fill="CCEEFF"/>
          </w:tcPr>
          <w:p>
            <w:pPr>
              <w:spacing w:after="0"/>
              <w:rPr>
                <w:sz w:val="13"/>
                <w:szCs w:val="13"/>
                <w:color w:val="auto"/>
              </w:rPr>
            </w:pPr>
          </w:p>
        </w:tc>
        <w:tc>
          <w:tcPr>
            <w:tcW w:w="33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7"/>
                <w:szCs w:val="17"/>
                <w:color w:val="auto"/>
              </w:rPr>
              <w:t>treatment and prevention of COVID-19</w:t>
            </w:r>
          </w:p>
        </w:tc>
        <w:tc>
          <w:tcPr>
            <w:tcW w:w="1560" w:type="dxa"/>
            <w:vAlign w:val="bottom"/>
            <w:tcBorders>
              <w:bottom w:val="single" w:sz="8" w:color="auto"/>
            </w:tcBorders>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43"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recognized an acquired IPR&amp;D expense of $25.0 million in May 2020 upon closing of the transaction.</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93" w:lineRule="exact"/>
        <w:rPr>
          <w:sz w:val="20"/>
          <w:szCs w:val="20"/>
          <w:color w:val="auto"/>
        </w:rPr>
      </w:pPr>
    </w:p>
    <w:p>
      <w:pPr>
        <w:jc w:val="both"/>
        <w:ind w:right="240"/>
        <w:spacing w:after="0" w:line="21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XR, Trajenta, and Jentadueto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our basal insulin, Basaglar. Glyxambi, Synjardy, and Trijardy XR are included in the Jardiance product family.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Jentadueto is included in the Trajenta product family.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5" w:name="page16"/>
    <w:bookmarkEnd w:id="15"/>
    <w:p>
      <w:pPr>
        <w:ind w:right="260"/>
        <w:spacing w:after="0" w:line="261" w:lineRule="auto"/>
        <w:rPr>
          <w:sz w:val="20"/>
          <w:szCs w:val="20"/>
          <w:color w:val="auto"/>
        </w:rPr>
      </w:pPr>
      <w:r>
        <w:rPr>
          <w:rFonts w:ascii="Arial" w:cs="Arial" w:eastAsia="Arial" w:hAnsi="Arial"/>
          <w:sz w:val="18"/>
          <w:szCs w:val="18"/>
          <w:color w:val="auto"/>
        </w:rPr>
        <w:t>The table below summarizes the net amount of significant milestones (deferred) capitalized at March 31, 2021 and December 31, 2020 for the compounds included in this collaboration: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 xml:space="preserve">Net Milestones (Deferred) Capitalized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as of:</w:t>
            </w:r>
          </w:p>
        </w:tc>
      </w:tr>
      <w:tr>
        <w:trPr>
          <w:trHeight w:val="18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Jardiance </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20" w:type="dxa"/>
            <w:vAlign w:val="bottom"/>
            <w:shd w:val="clear" w:color="auto" w:fill="CCEEFF"/>
          </w:tcPr>
          <w:p>
            <w:pPr>
              <w:jc w:val="center"/>
              <w:ind w:left="1017"/>
              <w:spacing w:after="0"/>
              <w:rPr>
                <w:sz w:val="20"/>
                <w:szCs w:val="20"/>
                <w:color w:val="auto"/>
              </w:rPr>
            </w:pPr>
            <w:r>
              <w:rPr>
                <w:rFonts w:ascii="Arial" w:cs="Arial" w:eastAsia="Arial" w:hAnsi="Arial"/>
                <w:sz w:val="18"/>
                <w:szCs w:val="18"/>
                <w:b w:val="1"/>
                <w:bCs w:val="1"/>
                <w:color w:val="auto"/>
              </w:rPr>
              <w:t>151.2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ind w:left="1075"/>
              <w:spacing w:after="0"/>
              <w:rPr>
                <w:sz w:val="20"/>
                <w:szCs w:val="20"/>
                <w:color w:val="auto"/>
              </w:rPr>
            </w:pPr>
            <w:r>
              <w:rPr>
                <w:rFonts w:ascii="Arial" w:cs="Arial" w:eastAsia="Arial" w:hAnsi="Arial"/>
                <w:sz w:val="18"/>
                <w:szCs w:val="18"/>
                <w:color w:val="auto"/>
                <w:w w:val="97"/>
              </w:rPr>
              <w:t>156.2</w:t>
            </w:r>
          </w:p>
        </w:tc>
      </w:tr>
      <w:tr>
        <w:trPr>
          <w:trHeight w:val="229"/>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Trajenta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720" w:type="dxa"/>
            <w:vAlign w:val="bottom"/>
          </w:tcPr>
          <w:p>
            <w:pPr>
              <w:jc w:val="center"/>
              <w:ind w:left="1017"/>
              <w:spacing w:after="0"/>
              <w:rPr>
                <w:sz w:val="20"/>
                <w:szCs w:val="20"/>
                <w:color w:val="auto"/>
              </w:rPr>
            </w:pPr>
            <w:r>
              <w:rPr>
                <w:rFonts w:ascii="Arial" w:cs="Arial" w:eastAsia="Arial" w:hAnsi="Arial"/>
                <w:sz w:val="18"/>
                <w:szCs w:val="18"/>
                <w:b w:val="1"/>
                <w:bCs w:val="1"/>
                <w:color w:val="auto"/>
              </w:rPr>
              <w:t>108.1</w:t>
            </w:r>
          </w:p>
        </w:tc>
        <w:tc>
          <w:tcPr>
            <w:tcW w:w="220" w:type="dxa"/>
            <w:vAlign w:val="bottom"/>
          </w:tcPr>
          <w:p>
            <w:pPr>
              <w:spacing w:after="0"/>
              <w:rPr>
                <w:sz w:val="19"/>
                <w:szCs w:val="19"/>
                <w:color w:val="auto"/>
              </w:rPr>
            </w:pPr>
          </w:p>
        </w:tc>
        <w:tc>
          <w:tcPr>
            <w:tcW w:w="1760" w:type="dxa"/>
            <w:vAlign w:val="bottom"/>
          </w:tcPr>
          <w:p>
            <w:pPr>
              <w:jc w:val="center"/>
              <w:ind w:left="1075"/>
              <w:spacing w:after="0"/>
              <w:rPr>
                <w:sz w:val="20"/>
                <w:szCs w:val="20"/>
                <w:color w:val="auto"/>
              </w:rPr>
            </w:pPr>
            <w:r>
              <w:rPr>
                <w:rFonts w:ascii="Arial" w:cs="Arial" w:eastAsia="Arial" w:hAnsi="Arial"/>
                <w:sz w:val="18"/>
                <w:szCs w:val="18"/>
                <w:color w:val="auto"/>
                <w:w w:val="97"/>
              </w:rPr>
              <w:t>114.6</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97"/>
              <w:spacing w:after="0"/>
              <w:rPr>
                <w:sz w:val="20"/>
                <w:szCs w:val="20"/>
                <w:color w:val="auto"/>
              </w:rPr>
            </w:pPr>
            <w:r>
              <w:rPr>
                <w:rFonts w:ascii="Arial" w:cs="Arial" w:eastAsia="Arial" w:hAnsi="Arial"/>
                <w:sz w:val="18"/>
                <w:szCs w:val="18"/>
                <w:b w:val="1"/>
                <w:bCs w:val="1"/>
                <w:color w:val="auto"/>
                <w:w w:val="98"/>
              </w:rPr>
              <w:t>(163.3)</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055"/>
              <w:spacing w:after="0"/>
              <w:rPr>
                <w:sz w:val="20"/>
                <w:szCs w:val="20"/>
                <w:color w:val="auto"/>
              </w:rPr>
            </w:pPr>
            <w:r>
              <w:rPr>
                <w:rFonts w:ascii="Arial" w:cs="Arial" w:eastAsia="Arial" w:hAnsi="Arial"/>
                <w:sz w:val="18"/>
                <w:szCs w:val="18"/>
                <w:color w:val="auto"/>
              </w:rPr>
              <w:t>(168.0)</w:t>
            </w:r>
          </w:p>
        </w:tc>
      </w:tr>
    </w:tbl>
    <w:p>
      <w:pPr>
        <w:spacing w:after="0" w:line="113" w:lineRule="exact"/>
        <w:rPr>
          <w:sz w:val="20"/>
          <w:szCs w:val="20"/>
          <w:color w:val="auto"/>
        </w:rPr>
      </w:pPr>
    </w:p>
    <w:p>
      <w:pPr>
        <w:ind w:left="180" w:right="200" w:hanging="172"/>
        <w:spacing w:after="0" w:line="228"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Jardiance and Trajenta, milestone payments made were capitalized as intangible assets and are being amortized to cost of sales through the term of the collaboration. This represents the amounts that have been (deferred) or capitalized from the start of this collaboration through the end of the reporting period, net of amount amortized.</w:t>
      </w:r>
    </w:p>
    <w:p>
      <w:pPr>
        <w:spacing w:after="0" w:line="46" w:lineRule="exact"/>
        <w:rPr>
          <w:rFonts w:ascii="Arial" w:cs="Arial" w:eastAsia="Arial" w:hAnsi="Arial"/>
          <w:sz w:val="18"/>
          <w:szCs w:val="18"/>
          <w:color w:val="auto"/>
          <w:vertAlign w:val="superscript"/>
        </w:rPr>
      </w:pPr>
    </w:p>
    <w:p>
      <w:pPr>
        <w:ind w:left="180" w:right="660" w:hanging="172"/>
        <w:spacing w:after="0" w:line="217"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45" w:lineRule="exact"/>
        <w:rPr>
          <w:rFonts w:ascii="Arial" w:cs="Arial" w:eastAsia="Arial" w:hAnsi="Arial"/>
          <w:sz w:val="18"/>
          <w:szCs w:val="18"/>
          <w:color w:val="auto"/>
          <w:vertAlign w:val="superscript"/>
        </w:rPr>
      </w:pPr>
    </w:p>
    <w:p>
      <w:pPr>
        <w:ind w:left="180" w:right="20" w:hanging="172"/>
        <w:spacing w:after="0" w:line="217"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Beginning January 1, 2021,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10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Jardiance and Trajenta families of products: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Family</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312.0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Basaglar</w:t>
            </w:r>
          </w:p>
        </w:tc>
        <w:tc>
          <w:tcPr>
            <w:tcW w:w="2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246.6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Trajenta</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94.6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global net sales with rates ranging up to 20 percent. The agreement calls for payments by us to Incyte associated with certain development, success-based regulatory, and sales-based milestones. In 2020, the agreement was amended to include the treatment of COVID-19, with Incyte obtaining the right to receive an additional royalty ranging up to the low teens on global net sales for the treatment of COVID-19 that exceed a specified aggregate global net sales threshold.</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regulatory approvals of Olumiant in the U.S., Europe, and Japan, milestone payments of $210.0 million were capitalized as intangible assets as of March 31, 2021 and December 31, 2020 and are being amortized to cost of sales through the term of the collaboration. This represents the cumulative amounts that have been capitalized from the start of this collaboration through the end of each reporting period.</w:t>
      </w:r>
    </w:p>
    <w:p>
      <w:pPr>
        <w:spacing w:after="0" w:line="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March 31, 2021, Incyte is eligible to receive up to $100.0 million of additional payments from us contingent upon certain success-based regulatory milestones. Incyte is also eligible to receive up to $150.0 million of potential sales-based milestones.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4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17780</wp:posOffset>
            </wp:positionV>
            <wp:extent cx="1903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8240" w:val="left"/>
          <w:tab w:leader="none" w:pos="9140" w:val="left"/>
          <w:tab w:leader="none" w:pos="9800" w:val="left"/>
          <w:tab w:leader="none" w:pos="10700" w:val="left"/>
        </w:tabs>
        <w:rPr>
          <w:sz w:val="20"/>
          <w:szCs w:val="20"/>
          <w:color w:val="auto"/>
        </w:rPr>
      </w:pPr>
      <w:r>
        <w:rPr>
          <w:rFonts w:ascii="Arial" w:cs="Arial" w:eastAsia="Arial" w:hAnsi="Arial"/>
          <w:sz w:val="18"/>
          <w:szCs w:val="18"/>
          <w:color w:val="auto"/>
        </w:rPr>
        <w:t>Olumiant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193.8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139.7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2020, we entered into a worldwide license and collaboration agreement with AbCellera to co-develop therapeutic antibodies for the potential prevention and treatment of COVID-19, including bamlanivimab, for which we hold development and commercialization rights. AbCellera has the right to receive tiered royalty payments on global net sales of bamlanivimab with percentages ranging in the mid-teens to mid-twenties. Royalty payments made to AbCellera are recorded as cost of sales.</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2020, we entered into a license and collaboration agreement with Shanghai Junshi Biosciences Co., Ltd. (Junshi Biosciences) to co-develop therapeutic antibodies for the potential prevention and treatment of COVID-19, including etesevimab, for which we hold development and commercialization rights outside of Greater China (which includes mainland China, Hong Kong and Macau Special Administrative Regions and Taiwan) and for which Junshi Biosciences maintains all rights in Greater China. Junshi Biosciences has the right to receive royalty payments in the mid-teens on our net sales of etesevimab. Junshi Biosciences also has the right to receive certain development, success-based regulatory and sales-based milestones. In connection with the regulatory authorizations of etesevimab (for administration with bamlanivimab) in the U.S. and Europe, milestone payments of $60.0 million were capitalized as intangible assets as of March 31, 2021 and are being amortized to cost of sales over the estimated useful life of etesevimab. As of March 31, 2021, Junshi Biosciences is eligible to receive up to $15.0 million of additional payments contingent upon certain success-based regulatory milestones and up to $120.0 million of potential sales-based milestones.</w:t>
      </w:r>
    </w:p>
    <w:p>
      <w:pPr>
        <w:spacing w:after="0" w:line="10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Pursuant to EUAs, we recognized $810.1 million of net product revenue associated with our sales of our COVID-19 antibodies during the three months ended March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Tyvyt</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Tyvyt (sintilimab injection) in China. In 2019, we and Innovent began co-commercializing Tyvyt in China. We record our sales of Tyvyt to third parties as revenue, with payments made to Innovent for its portion of the gross margin reported as cost of sales. We also report as revenue our portion of the gross margin for Tyvyt sales made by Innovent to third parties. Our Tyvyt revenue in China, which is primarily recorded as net product revenue, was $109.7 million and $57.4 million during the three months ended March 31, 2021 and 2020, respectively.</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2020, we obtained an exclusive license for Tyvyt from Innovent for geographies outside of China. Innovent, with collaboration from us, will pursue the initial registration of Tyvyt in the U.S., and we will pursue initial registration of Tyvyt in other markets and all other subsequent registrations of Tyvyt. We have exclusive commercialization rights outside of China.</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March 31, 2021, Innovent is eligible to receive up to $825.0 million for geographies outside of China and up to $235.0 million in China in success-based regulatory and sales-based milestones. Innovent is also eligible to receive tiered double digit royalties on net sales for geographies outside of China.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and cancer pain. The companies equally share the ongoing development costs and, if successful, in the U.S. will co-commercialize and equally share in gross margin and certain commercialization expenses. As a result of an amendment to the agreement in 2020, Pfizer will be responsible for commercialization activities and costs outside the U.S., and we have the right to receive tiered royalties in percentages from the high teens to mid-twenties for net sales in Japan as well as low double digit royalties on annual net sales greater than $150.0 million in all other territories outside of the U.S. and Japan. As of March 31, 2021, Pfizer is eligible to receive up to $147.5 million in success-based regulatory milestones based on current development plans and up to $1.23 billion in a series of sales-based milestones, contingent upon the commercial success of tanezumab.</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Lebrikizumab</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a result of our acquisition of Dermira, we have a worldwide licensing agreement with F. Hoffmann-La Roche Ltd and Genentech, Inc. (collectively Roche), which provides us the global development and commercialization rights to lebrikizumab. Roche has the right to receive tiered royalty payments on future global net sales ranging in percentages from high single digits to high teens if the product is successfully commercialized. As of March 31, 2021,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March 31, 2021, we are eligible to receive additional payments of $85.0 million from Almirall contingent upon the achievement of success-based regulatory milestones and up to $1.25 billion in a series of sales-based milestones, contingent upon the commercial success of lebrikizumab.</w:t>
      </w:r>
    </w:p>
    <w:p>
      <w:pPr>
        <w:spacing w:after="0" w:line="10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March 31, 2021 and December 31, 2020, $23.3 million and $29.7 million, respectively, were recorded as contract liabilities on the consolidated condensed balance sheet and are expected to be recognized as collaboration and other revenue over the remaining Phase III development period. During the three months ended March 31, 2021 and 2020, milestones received and collaboration and other revenue recognized were not material.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9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200.1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211.6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bl>
    <w:p>
      <w:pPr>
        <w:spacing w:after="0" w:line="200" w:lineRule="exact"/>
        <w:rPr>
          <w:sz w:val="20"/>
          <w:szCs w:val="20"/>
          <w:color w:val="auto"/>
        </w:rPr>
      </w:pP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Asset impairment, restructuring, and other special charges recognized during the three months ended March 31, 2021 were primarily related to an intangible asset impairment of $108.1 million resulting from the decision to sell the rights to Qbrexza, as well as acquisition and integration costs associated with the acquisition of Prevail. During the three months ended March 31, 2021, we entered into an agreement to sell our rights to Qbrexza, subject to closing conditions which are expected to be completed in the second quarter of 2021. The assets associated with Qbrexza were written down to fair value less cost to sell, which were determined based upon a discounted cash flow valuation. The remaining book value of assets associated with Qbrexza subsequent to the impairment charge is not material.</w:t>
      </w:r>
    </w:p>
    <w:p>
      <w:pPr>
        <w:spacing w:after="0" w:line="10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Asset impairment, restructuring, and other special charges recognized during the three months ended March 31, 2020 were primarily related to acquisition and integration costs associated with the acquisition of Dermira.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 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8" w:name="page19"/>
    <w:bookmarkEnd w:id="18"/>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89" w:lineRule="exact"/>
        <w:rPr>
          <w:rFonts w:ascii="Arial" w:cs="Arial" w:eastAsia="Arial" w:hAnsi="Arial"/>
          <w:sz w:val="18"/>
          <w:szCs w:val="18"/>
          <w:color w:val="auto"/>
        </w:rPr>
      </w:pPr>
    </w:p>
    <w:p>
      <w:pPr>
        <w:ind w:left="660" w:right="70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9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2021, we had outstanding foreign currency forward commitments to purchase 1.11 billion U.S. dollars and sell 941.7 million euro, commitments to purchase 4.19 billion euro and sell 4.98 billion U.S. dollars, commitments to purchase 140.7 million U.S. dollars and sell 15.47 billion Japanese yen, and commitments to purchase 285.2 million British pounds and sell 396.5 million U.S. dollars, which all settled within 30 days.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$5.72 billion and $6.02 billion as of March 31, 2021 and December 31, 2020, respectively, of which $4.30 billion and $ 4.50 billion have been designated as, and are effective as, economic hedges of net investments in certain of our euro-denominated foreign operations as of March 31, 2021 and December 31, 2020, respectively. At March 31, 2021, we had outstanding cross currency swaps with notional amounts of $3.79 billion swapping U.S. dollars to euro and $1.00 billion swapping Swiss francs to U.S. dollars which have settlement dates ranging through 2028. Our cross-currency interest rate swaps, for which a majority convert a portion of our U.S. dollar-denominated fixed-rate debt to foreign-denominated fixed-rate debt, have also been designated as, and are effective as, economic hedges of net investments.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ind w:right="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2021, substantially all of our total long-term debt is at a fixed rate. We have converted approximately 13 percent of our long-term fixed-rate notes to floating rates through the use of interest rate swaps.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March 31, 2021, the total notional amounts of forward-starting interest rate contracts in designated cash flow hedging instruments were $1.75 billion, which have settlement dates ranging between 2023 and 2025.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Effect from hedged fixed-rate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from interest rate contracts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81.5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Effective portion of losses on interest rate contracts reclassified from accumulated other</w:t>
            </w: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4.1</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71.5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on foreign currency exchange contracts not designated as hedging instruments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133.0</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2021 and 2020, the amortization of losses related to the portion of our risk management hedging instruments, fair value hedges, and cash flow hedges that was excluded from the assessment of effectiveness was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207.7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150.6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Forward-starting interest rate swaps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295.1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39"/>
        </w:trPr>
        <w:tc>
          <w:tcPr>
            <w:tcW w:w="846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26.3</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w:t>
            </w:r>
          </w:p>
        </w:tc>
      </w:tr>
    </w:tbl>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next 12 months, we expect to reclassify $16.9 million of pretax net losses on cash flow hedges from accumulated other comprehensive loss to other–net, (income) expense. During the three months ended March 31, 2021 and 2020, the amounts excluded from the assessment of hedge effectiveness recognized in other comprehensive income (loss)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tables summarize certain fair value information at March 31, 2021 and December 31, 2020 for assets and liabilities measured at fair value on a recurring basis, as well as the carrying amount and amortized cost of certain other investments: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1,554.5</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1,554.5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1,554.5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1,554.5</w:t>
            </w:r>
          </w:p>
        </w:tc>
        <w:tc>
          <w:tcPr>
            <w:tcW w:w="0" w:type="dxa"/>
            <w:vAlign w:val="bottom"/>
          </w:tcPr>
          <w:p>
            <w:pPr>
              <w:spacing w:after="0"/>
              <w:rPr>
                <w:sz w:val="1"/>
                <w:szCs w:val="1"/>
                <w:color w:val="auto"/>
              </w:rPr>
            </w:pPr>
          </w:p>
        </w:tc>
      </w:tr>
      <w:tr>
        <w:trPr>
          <w:trHeight w:val="94"/>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7.5</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18.2</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18.2</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18.2</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109.1</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108.8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109.1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109.1</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177.8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177.8</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99.7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102.3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23.8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110.3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30.1</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110.3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110.3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1,645.5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386.1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1,645.5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1,645.5</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384.3</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3,232.4</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2,097.9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126.8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137.0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106.4</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1,664.2</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311.6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1,664.2</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2,966.8</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6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1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Unobservable</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1"/>
                <w:szCs w:val="11"/>
                <w:color w:val="auto"/>
              </w:rPr>
            </w:pPr>
          </w:p>
        </w:tc>
        <w:tc>
          <w:tcPr>
            <w:tcW w:w="1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Inputs</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6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b w:val="1"/>
                <w:bCs w:val="1"/>
                <w:color w:val="auto"/>
              </w:rPr>
              <w:t>(16,204.5)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(17,462.6)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(16,595.3)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Fair Value Measurements Using</w:t>
            </w: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 Active</w:t>
            </w:r>
          </w:p>
        </w:tc>
        <w:tc>
          <w:tcPr>
            <w:tcW w:w="280" w:type="dxa"/>
            <w:vAlign w:val="bottom"/>
          </w:tcPr>
          <w:p>
            <w:pPr>
              <w:spacing w:after="0"/>
              <w:rPr>
                <w:sz w:val="12"/>
                <w:szCs w:val="12"/>
                <w:color w:val="auto"/>
              </w:rPr>
            </w:pPr>
          </w:p>
        </w:tc>
        <w:tc>
          <w:tcPr>
            <w:tcW w:w="1140" w:type="dxa"/>
            <w:vAlign w:val="bottom"/>
          </w:tcPr>
          <w:p>
            <w:pPr>
              <w:jc w:val="center"/>
              <w:ind w:right="152"/>
              <w:spacing w:after="0" w:line="142" w:lineRule="exact"/>
              <w:rPr>
                <w:sz w:val="20"/>
                <w:szCs w:val="20"/>
                <w:color w:val="auto"/>
              </w:rPr>
            </w:pPr>
            <w:r>
              <w:rPr>
                <w:rFonts w:ascii="Arial" w:cs="Arial" w:eastAsia="Arial" w:hAnsi="Arial"/>
                <w:sz w:val="14"/>
                <w:szCs w:val="14"/>
                <w:b w:val="1"/>
                <w:bCs w:val="1"/>
                <w:color w:val="auto"/>
              </w:rPr>
              <w:t>Significant</w:t>
            </w:r>
          </w:p>
        </w:tc>
        <w:tc>
          <w:tcPr>
            <w:tcW w:w="300" w:type="dxa"/>
            <w:vAlign w:val="bottom"/>
          </w:tcPr>
          <w:p>
            <w:pPr>
              <w:spacing w:after="0"/>
              <w:rPr>
                <w:sz w:val="12"/>
                <w:szCs w:val="12"/>
                <w:color w:val="auto"/>
              </w:rPr>
            </w:pPr>
          </w:p>
        </w:tc>
        <w:tc>
          <w:tcPr>
            <w:tcW w:w="158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rPr>
              <w:t>Significant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Markets 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Unobservable</w:t>
            </w: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1"/>
                <w:szCs w:val="11"/>
                <w:color w:val="auto"/>
              </w:rPr>
            </w:pPr>
          </w:p>
        </w:tc>
        <w:tc>
          <w:tcPr>
            <w:tcW w:w="1140" w:type="dxa"/>
            <w:vAlign w:val="bottom"/>
          </w:tcPr>
          <w:p>
            <w:pPr>
              <w:jc w:val="center"/>
              <w:ind w:right="152"/>
              <w:spacing w:after="0" w:line="135" w:lineRule="exact"/>
              <w:rPr>
                <w:sz w:val="20"/>
                <w:szCs w:val="20"/>
                <w:color w:val="auto"/>
              </w:rPr>
            </w:pPr>
            <w:r>
              <w:rPr>
                <w:rFonts w:ascii="Arial" w:cs="Arial" w:eastAsia="Arial" w:hAnsi="Arial"/>
                <w:sz w:val="14"/>
                <w:szCs w:val="14"/>
                <w:b w:val="1"/>
                <w:bCs w:val="1"/>
                <w:color w:val="auto"/>
                <w:w w:val="99"/>
              </w:rPr>
              <w:t>Inputs</w:t>
            </w:r>
          </w:p>
        </w:tc>
        <w:tc>
          <w:tcPr>
            <w:tcW w:w="300" w:type="dxa"/>
            <w:vAlign w:val="bottom"/>
          </w:tcPr>
          <w:p>
            <w:pPr>
              <w:spacing w:after="0"/>
              <w:rPr>
                <w:sz w:val="11"/>
                <w:szCs w:val="11"/>
                <w:color w:val="auto"/>
              </w:rPr>
            </w:pPr>
          </w:p>
        </w:tc>
        <w:tc>
          <w:tcPr>
            <w:tcW w:w="15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Inputs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87.2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87.2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235.4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235.4</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235.4</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39.4</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39.4</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(45.5)</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(19.1)</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14.8</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(66.2)</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(71.1)</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ind w:left="760"/>
              <w:spacing w:after="0"/>
              <w:rPr>
                <w:sz w:val="20"/>
                <w:szCs w:val="20"/>
                <w:color w:val="auto"/>
              </w:rPr>
            </w:pPr>
            <w:r>
              <w:rPr>
                <w:rFonts w:ascii="Arial" w:cs="Arial" w:eastAsia="Arial" w:hAnsi="Arial"/>
                <w:sz w:val="18"/>
                <w:szCs w:val="18"/>
                <w:b w:val="1"/>
                <w:bCs w:val="1"/>
                <w:color w:val="auto"/>
              </w:rPr>
              <w:t>(71.1)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Risk-management instruments: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Interest rate contracts designated as fair value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158.9</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net investment hedges: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line="189" w:lineRule="exact"/>
              <w:rPr>
                <w:sz w:val="20"/>
                <w:szCs w:val="20"/>
                <w:color w:val="auto"/>
              </w:rPr>
            </w:pPr>
            <w:r>
              <w:rPr>
                <w:rFonts w:ascii="Arial" w:cs="Arial" w:eastAsia="Arial" w:hAnsi="Arial"/>
                <w:sz w:val="18"/>
                <w:szCs w:val="18"/>
                <w:color w:val="auto"/>
              </w:rPr>
              <w:t>Cross-currency interest rate contracts designated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20"/>
              <w:spacing w:after="0"/>
              <w:rPr>
                <w:sz w:val="20"/>
                <w:szCs w:val="20"/>
                <w:color w:val="auto"/>
              </w:rPr>
            </w:pPr>
            <w:r>
              <w:rPr>
                <w:rFonts w:ascii="Arial" w:cs="Arial" w:eastAsia="Arial" w:hAnsi="Arial"/>
                <w:sz w:val="18"/>
                <w:szCs w:val="18"/>
                <w:color w:val="auto"/>
              </w:rPr>
              <w:t>as cash flow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Foreign exchange contracts not designated as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instruments: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9"/>
                <w:szCs w:val="19"/>
                <w:color w:val="auto"/>
              </w:rPr>
            </w:pPr>
          </w:p>
        </w:tc>
        <w:tc>
          <w:tcPr>
            <w:tcW w:w="1660" w:type="dxa"/>
            <w:vAlign w:val="bottom"/>
          </w:tcPr>
          <w:p>
            <w:pPr>
              <w:ind w:left="1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9"/>
                <w:szCs w:val="19"/>
                <w:color w:val="auto"/>
              </w:rPr>
            </w:pP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877"/>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23" w:name="page24"/>
    <w:bookmarkEnd w:id="23"/>
    <w:p>
      <w:pPr>
        <w:ind w:right="12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 As of March 31, 2021, we had approximately $736 million of unfunded commitments to invest in venture capital funds, which we anticipate will be paid over a period of up to 10 years.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2"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147.8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net gains recognized in our consolidated condensed statements of operations for equity securities were $301.5 million and $186.6 million for the three months ended March 31, 2021 and 2020, respectively. The net gains/losses recognized during the three months ended March 31, 2021 and 2020 on equity securities sold during the respective periods were not material.</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months ended March 31, 2021 and 2020 were not material.</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19"/>
                <w:szCs w:val="19"/>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6.3</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273.6</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170.1</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in the three months ended March 31, 2021 and 2020.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4" w:name="page25"/>
    <w:bookmarkEnd w:id="24"/>
    <w:p>
      <w:pPr>
        <w:ind w:right="60"/>
        <w:spacing w:after="0" w:line="253" w:lineRule="auto"/>
        <w:rPr>
          <w:sz w:val="20"/>
          <w:szCs w:val="20"/>
          <w:color w:val="auto"/>
        </w:rPr>
      </w:pPr>
      <w:r>
        <w:rPr>
          <w:rFonts w:ascii="Arial" w:cs="Arial" w:eastAsia="Arial" w:hAnsi="Arial"/>
          <w:sz w:val="18"/>
          <w:szCs w:val="18"/>
          <w:color w:val="auto"/>
        </w:rPr>
        <w:t>As of March 31, 2021, the available-for-sale securities in an unrealized loss position include primarily fixed-rate debt securities of varying maturities, which are sensitive to changes in the yield curve and other market conditions. Approximately 94 percent of the fixed-rate debt securities in a loss position are investment-grade debt securities. As of March 31, 2021,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86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gross losses on sales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16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$637.8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$754.9 million of accounts receivable as of March 31, 2021 and December 31, 2020, respectively, under these factoring arrangements.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of factoring such accounts receivable on our consolidated condensed results of operations for the three months ended March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2020 were not material.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effective tax rate was 8.2 percent for the three months ended March 31, 2021, compared with 13.3 percent for the three months ended March 31, 2020. The effective tax rates for both periods were reduced by net discrete tax benefits, with a larger net discrete tax benefit reflected for the three months ended March 31, 2021.</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U.S. examination of tax years 2016-2018 began in the fourth quarter of 2019 and remains ongoing; therefore, the resolution of this audit period will likely extend beyond the next 12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Defined Benefit Pension Plans</w:t>
            </w:r>
          </w:p>
        </w:tc>
      </w:tr>
      <w:tr>
        <w:trPr>
          <w:trHeight w:val="183"/>
        </w:trPr>
        <w:tc>
          <w:tcPr>
            <w:tcW w:w="8060" w:type="dxa"/>
            <w:vAlign w:val="bottom"/>
          </w:tcPr>
          <w:p>
            <w:pPr>
              <w:spacing w:after="0"/>
              <w:rPr>
                <w:sz w:val="15"/>
                <w:szCs w:val="15"/>
                <w:color w:val="auto"/>
              </w:rPr>
            </w:pPr>
          </w:p>
        </w:tc>
        <w:tc>
          <w:tcPr>
            <w:tcW w:w="3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8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2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92.0</w:t>
            </w:r>
          </w:p>
        </w:tc>
        <w:tc>
          <w:tcPr>
            <w:tcW w:w="100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84.3</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(238.0)</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(221.2)</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121.8</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61.2</w:t>
            </w:r>
          </w:p>
        </w:tc>
        <w:tc>
          <w:tcPr>
            <w:tcW w:w="1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405"/>
        </w:trPr>
        <w:tc>
          <w:tcPr>
            <w:tcW w:w="8060" w:type="dxa"/>
            <w:vAlign w:val="bottom"/>
          </w:tcPr>
          <w:p>
            <w:pPr>
              <w:spacing w:after="0"/>
              <w:rPr>
                <w:sz w:val="24"/>
                <w:szCs w:val="24"/>
                <w:color w:val="auto"/>
              </w:rPr>
            </w:pPr>
          </w:p>
        </w:tc>
        <w:tc>
          <w:tcPr>
            <w:tcW w:w="25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rPr>
              <w:t>Retiree Health Benefit Plans</w:t>
            </w:r>
          </w:p>
        </w:tc>
        <w:tc>
          <w:tcPr>
            <w:tcW w:w="600" w:type="dxa"/>
            <w:vAlign w:val="bottom"/>
            <w:tcBorders>
              <w:bottom w:val="single" w:sz="8" w:color="auto"/>
            </w:tcBorders>
          </w:tcPr>
          <w:p>
            <w:pPr>
              <w:spacing w:after="0"/>
              <w:rPr>
                <w:sz w:val="24"/>
                <w:szCs w:val="24"/>
                <w:color w:val="auto"/>
              </w:rPr>
            </w:pPr>
          </w:p>
        </w:tc>
      </w:tr>
      <w:tr>
        <w:trPr>
          <w:trHeight w:val="183"/>
        </w:trPr>
        <w:tc>
          <w:tcPr>
            <w:tcW w:w="8060" w:type="dxa"/>
            <w:vAlign w:val="bottom"/>
          </w:tcPr>
          <w:p>
            <w:pPr>
              <w:spacing w:after="0"/>
              <w:rPr>
                <w:sz w:val="15"/>
                <w:szCs w:val="15"/>
                <w:color w:val="auto"/>
              </w:rPr>
            </w:pPr>
          </w:p>
        </w:tc>
        <w:tc>
          <w:tcPr>
            <w:tcW w:w="3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8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income:</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2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10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bl>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contributed approximately $15 million to satisfy minimum funding requirements to our defined benefit pension and retiree health benefit plans during the three months ended March 31, 2021. We contributed approximately $10 million in discretionary funding during the three months ended March 31, 2021. During the remainder of 2021, we expect to make contributions of approximately $20 million to our defined benefit pension and retiree health plans to satisfy minimum funding requirements.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condensed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9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manufacturers are seeking approvals in the U.S.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The loss of exclusivity in the U.S. could have a material adverse impact on our future consolidated results of operations and cash flows and would result in a rapid and severe decline in future revenue for the product.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Alimta (pemetrexed) is protected by a vitamin regimen patent until 2021, plus pediatric exclusivity through May 2022.</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2017, we filed a lawsuit in the U.S. District Court for the Southern District of Indiana against Apotex Inc. (Apotex) alleging infringement of Alimta's vitamin regimen patent for its application to market a pemetrexed product. In December 2019, the U.S. District Court for the Southern District of Indiana granted our motion for summary judgment of infringement, and in December 2020, the U.S. Court of Appeals for the Federal Circuit affirmed that ruling. Apotex did not request reconsideration or a rehearing of that ruling. However, Apotex could petition the U.S. Supreme Court to review the case.</w:t>
      </w:r>
    </w:p>
    <w:p>
      <w:pPr>
        <w:spacing w:after="0" w:line="9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In Europe, Alimta (pemetrexed) is protected by the vitamin regimen patent through June of 2021. Notwithstanding the existence of our vitamin regimen patent, several companies launched generic pemetrexed products at risk in France, Germany, and the Netherlands but those products were subsequently removed from those markets as a consequence of patent infringement actions brought by us. In many cases, those patent infringement actions are subject to appeals filed by the generic manufacturer. In March 2021, we entered into a settlement agreement with Fresenius Kabi Aktienngesellschaft that discontinued all pending European patent litigation involving the Fresenius Kabi group of companies including that between us and Fresenius Kabi France and Fresenius Kabi Groupe France.</w:t>
      </w:r>
    </w:p>
    <w:p>
      <w:pPr>
        <w:spacing w:after="0" w:line="10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Legal proceedings are ongoing regarding our Alimta patents in various national courts throughout Europe. We will continue to seek to remove any generic pemetrexed products launched at risk in other European markets, seek damages with respect to such launches, and defend our patents against validity challenges.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expected in February 2022. Separately, the U.S. Patent and Trademark Office (USPTO) granted our request to initiate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w:t>
      </w:r>
      <w:r>
        <w:rPr>
          <w:rFonts w:ascii="Arial" w:cs="Arial" w:eastAsia="Arial" w:hAnsi="Arial"/>
          <w:sz w:val="18"/>
          <w:szCs w:val="18"/>
          <w:color w:val="auto"/>
        </w:rPr>
        <w:t>(IPR) to reexamine the validity of the nine Teva patents asserted against us in the litigation. In February 2020, the USPTO ruled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favor and found that the claims asserted against us in six of Teva's nine patents were invalid. In March 2020, the USPTO ruled against us on the remaining three Teva patents, finding that we failed to show that the remaining three patents were unpatentable based on the subset of invalidity arguments available in an IPR proceeding. In April 2020, we appealed the USPTO’s March 2020 ruling, and Teva appealed the USPTO’s February 2020 ruling to the U.S. Court of Appeals for the Federal Circuit. The district court litigation will proceed in parallel with the IPR appeals.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Alkem Laboratories Ltd.'s (Alkem) and Ascend Laboratories, LLC's (Ascend) submissions of Abbreviated New Drug Applications (ANDA) seeking approval to market generic versions of Jardiance, Glyxambi, and Synjardy in accordance with the procedures set out in the Drug Price Competition and Patent Term Restoration Act of 1984 (the Hatch-Waxman Act). Particularly with respect to Jardiance, Alkem's and Ascend's ANDAs seek approval to market generic versions of Jardiance prior to the expiration of the relevant patents, and allege that certain patents, including in some allegations the compound patent, are invalid or would not be infringed. We are not a party to this litigation. Trial is scheduled for September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2021, we petitioned the High Court of Ireland to declare invalid the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judgement, thereby dismissing Apotex’s case. Apotex appealed that ruling to the Court of Appeal for Ontario in April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Product Liability</w:t>
      </w:r>
    </w:p>
    <w:p>
      <w:pPr>
        <w:spacing w:after="0" w:line="1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 Ontario filed December 2011 (</w:t>
      </w:r>
      <w:r>
        <w:rPr>
          <w:rFonts w:ascii="Arial" w:cs="Arial" w:eastAsia="Arial" w:hAnsi="Arial"/>
          <w:sz w:val="17"/>
          <w:szCs w:val="17"/>
          <w:i w:val="1"/>
          <w:iCs w:val="1"/>
          <w:color w:val="auto"/>
        </w:rPr>
        <w:t>Casseres et al. v. Takeda Pharmaceutical North America, Inc., et al.</w:t>
      </w:r>
      <w:r>
        <w:rPr>
          <w:rFonts w:ascii="Arial" w:cs="Arial" w:eastAsia="Arial" w:hAnsi="Arial"/>
          <w:sz w:val="17"/>
          <w:szCs w:val="17"/>
          <w:color w:val="auto"/>
        </w:rPr>
        <w:t>), one in Quebec filed July 2012 (</w:t>
      </w:r>
      <w:r>
        <w:rPr>
          <w:rFonts w:ascii="Arial" w:cs="Arial" w:eastAsia="Arial" w:hAnsi="Arial"/>
          <w:sz w:val="17"/>
          <w:szCs w:val="17"/>
          <w:i w:val="1"/>
          <w:iCs w:val="1"/>
          <w:color w:val="auto"/>
        </w:rPr>
        <w:t>Whyte et</w:t>
      </w:r>
      <w:r>
        <w:rPr>
          <w:rFonts w:ascii="Arial" w:cs="Arial" w:eastAsia="Arial" w:hAnsi="Arial"/>
          <w:sz w:val="17"/>
          <w:szCs w:val="17"/>
          <w:color w:val="auto"/>
        </w:rPr>
        <w:t xml:space="preserve"> </w:t>
      </w:r>
      <w:r>
        <w:rPr>
          <w:rFonts w:ascii="Arial" w:cs="Arial" w:eastAsia="Arial" w:hAnsi="Arial"/>
          <w:sz w:val="17"/>
          <w:szCs w:val="17"/>
          <w:i w:val="1"/>
          <w:iCs w:val="1"/>
          <w:color w:val="auto"/>
        </w:rPr>
        <w:t>al. v. Eli Lilly et al.</w:t>
      </w:r>
      <w:r>
        <w:rPr>
          <w:rFonts w:ascii="Arial" w:cs="Arial" w:eastAsia="Arial" w:hAnsi="Arial"/>
          <w:sz w:val="17"/>
          <w:szCs w:val="17"/>
          <w:color w:val="auto"/>
        </w:rPr>
        <w:t>), one in Saskatchewan filed November 2017 (</w:t>
      </w:r>
      <w:r>
        <w:rPr>
          <w:rFonts w:ascii="Arial" w:cs="Arial" w:eastAsia="Arial" w:hAnsi="Arial"/>
          <w:sz w:val="17"/>
          <w:szCs w:val="17"/>
          <w:i w:val="1"/>
          <w:iCs w:val="1"/>
          <w:color w:val="auto"/>
        </w:rPr>
        <w:t>Weiler v. Takeda Canada Inc. et al.</w:t>
      </w:r>
      <w:r>
        <w:rPr>
          <w:rFonts w:ascii="Arial" w:cs="Arial" w:eastAsia="Arial" w:hAnsi="Arial"/>
          <w:sz w:val="17"/>
          <w:szCs w:val="17"/>
          <w:color w:val="auto"/>
        </w:rPr>
        <w:t>), and one in Alberta filed January 2013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Epp v. Takeda Canada Inc. et al.</w:t>
      </w:r>
      <w:r>
        <w:rPr>
          <w:rFonts w:ascii="Arial" w:cs="Arial" w:eastAsia="Arial" w:hAnsi="Arial"/>
          <w:sz w:val="17"/>
          <w:szCs w:val="17"/>
          <w:color w:val="auto"/>
        </w:rPr>
        <w:t>). In general, plaintiffs in these actions alleged that Actos caused or contributed to their bladder cancer.</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3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First initiated in March 2009, we are named as a defendant in approximately 570 Byetta product liability lawsuits in the U.S. involving approximately 810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Three lawsuits, representing approximately four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2017, the U.S. Court of Appeals for the Ninth Circuit reversed the U.S. District Court for the Southern District of California's grant of summary judgment in the MDL based on that court's discovery rulings and remanded the cases back to the U.S. District Court for further proceedings. In March 2021, the U.S. District Court granted summary judgment for the defendants and in April 2021, the plaintiffs filed a notice of appeal to the U.S. Court of Appeals for the Ninth Circuit. In the state court actions, in November 2018, the California Court of Appeal reversed the Los Angeles County Superior Court of California’s grant of summary judgment based on that court's discovery rulings and remanded for further proceedings. In April 2021, the Los Angeles County Superior Court of California granted summary judgment for the defendants.</w:t>
      </w:r>
    </w:p>
    <w:p>
      <w:pPr>
        <w:spacing w:after="0" w:line="9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are aware of approximately 20 additional claimants who have not yet filed suit. These additional claims allege damages for pancreatic cancer or thyroid cancer.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Cialis Product Liability</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First initiated in August 2015, 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multidistrict litigation (MDL) in the U.S. District Court for the Northern District of California, alongside an existing coordinated proceeding involving Viagra®.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 The plaintiffs’ appeal has been administratively closed until August 2021 pending completion of a procedure to resolve the claims in this litigation.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Product Liability</w:t>
      </w:r>
    </w:p>
    <w:p>
      <w:pPr>
        <w:spacing w:after="0" w:line="1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approximately 95 product liability lawsuits in the U.S., mostly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3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Lilly. The matter is ongoing.</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Administration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9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February 2021, we received a civil investigative subpoena from the Office of the Attorney General for the State of Vermont relating to the sale of pharmaceutical products to Vermont covered entities under the 340B program. We are cooperating with this subpoena.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a liquidated award of 300 million Brazilian real (for moral damages, donation of equipment, and creation of a foundation) which, adjusted for inflation and interest using the current Central Bank of Brazil's special system of clearance and custody rate (SELIC), is approximately 950 million Brazilian real (approximately $165 million as of March 31, 2021).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 The cost of any such health coverage has not been determined.</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Lilly Brasil filed a writ of mandamus challenging this ruling, but the court has stayed its decision on this writ and instead directed the parties to attend conciliation hearings, a process that concluded unsuccessfully in September 2020. Consequently, the partial stay of the proceedings relating to Lilly Brasil's application to appeal in the main proceedings has been lifted. In addition, the Labor Attorney's application for preliminary enforcement of the July 2018 healthcare coverage ruling was granted. As the conciliation hearings have been unsuccessful, we have filed a brief to strike the Labor Attorney’s application to enforce the previous healthcare coverage. Lilly Brasil is currently awaiting a determination as to whether its application seeking leave to appeal to the superior labor court has been successful.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China NDRC Antitrust Matter</w:t>
      </w:r>
    </w:p>
    <w:p>
      <w:pPr>
        <w:spacing w:after="0" w:line="13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have cooperated with this investigation.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District of Pennsylvania Pricing (Average Manufacturer Price) Inquiry</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In November 2014, we, along with another pharmaceutical manufacturer, are named as co-defendants in </w:t>
      </w:r>
      <w:r>
        <w:rPr>
          <w:rFonts w:ascii="Arial" w:cs="Arial" w:eastAsia="Arial" w:hAnsi="Arial"/>
          <w:sz w:val="18"/>
          <w:szCs w:val="18"/>
          <w:i w:val="1"/>
          <w:iCs w:val="1"/>
          <w:color w:val="auto"/>
        </w:rPr>
        <w:t>United States et al. ex rel. Streck v.</w:t>
      </w:r>
      <w:r>
        <w:rPr>
          <w:rFonts w:ascii="Arial" w:cs="Arial" w:eastAsia="Arial" w:hAnsi="Arial"/>
          <w:sz w:val="18"/>
          <w:szCs w:val="18"/>
          <w:color w:val="auto"/>
        </w:rPr>
        <w:t xml:space="preserve"> </w:t>
      </w:r>
      <w:r>
        <w:rPr>
          <w:rFonts w:ascii="Arial" w:cs="Arial" w:eastAsia="Arial" w:hAnsi="Arial"/>
          <w:sz w:val="18"/>
          <w:szCs w:val="18"/>
          <w:i w:val="1"/>
          <w:iCs w:val="1"/>
          <w:color w:val="auto"/>
        </w:rPr>
        <w:t>Takeda Pharm. Am., Inc., et al.</w:t>
      </w:r>
      <w:r>
        <w:rPr>
          <w:rFonts w:ascii="Arial" w:cs="Arial" w:eastAsia="Arial" w:hAnsi="Arial"/>
          <w:sz w:val="18"/>
          <w:szCs w:val="18"/>
          <w:color w:val="auto"/>
        </w:rPr>
        <w:t>, which was filed in November 2014 and unsealed in the U.S. District Court for the Northern District of Illinois.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 alleges that the defendants should have treated certain credits from distributors as retroactive price increases and included such increases in calculating average manufacturer prices. Trial is scheduled for February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decision by the U.S. Court of Appeals for the Fifth Circuit on the aforementioned District Court appeal. In April 2021, the New Jersey state court action was dismissed with prejudice.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December 2017, we, along with Sanofi-Aventis U.S. LLC (Sanofi) and Novo Nordisk, Inc. (Novo Nordisk) were named as defendants in a consolidated purported class action lawsuit,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in the U.S. District Court for the District of New Jersey relating to insulin pricing seeking damages under various 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MSP Recovery Claims </w:t>
      </w:r>
      <w:r>
        <w:rPr>
          <w:rFonts w:ascii="Arial" w:cs="Arial" w:eastAsia="Arial" w:hAnsi="Arial"/>
          <w:sz w:val="18"/>
          <w:szCs w:val="18"/>
          <w:color w:val="auto"/>
        </w:rPr>
        <w:t>litigation, the court dismissed claims under the federal RICO Act and certain state laws. Also, filed in the same court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November 2020, we, along with Sanofi, Novo Nordisk, CVS, Express Scripts, and Optum, have been sued in a purported class action, </w:t>
      </w:r>
      <w:r>
        <w:rPr>
          <w:rFonts w:ascii="Arial" w:cs="Arial" w:eastAsia="Arial" w:hAnsi="Arial"/>
          <w:sz w:val="18"/>
          <w:szCs w:val="18"/>
          <w:i w:val="1"/>
          <w:iCs w:val="1"/>
          <w:color w:val="auto"/>
        </w:rPr>
        <w:t>FWK</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v. Novo Nordisk Inc., et al.</w:t>
      </w:r>
      <w:r>
        <w:rPr>
          <w:rFonts w:ascii="Arial" w:cs="Arial" w:eastAsia="Arial" w:hAnsi="Arial"/>
          <w:sz w:val="18"/>
          <w:szCs w:val="18"/>
          <w:color w:val="auto"/>
        </w:rPr>
        <w:t>, for alleged violations of the federal RICO Act as well as the New Jersey RICO Act and anti-trust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r>
        <w:rPr>
          <w:rFonts w:ascii="Arial" w:cs="Arial" w:eastAsia="Arial" w:hAnsi="Arial"/>
          <w:sz w:val="18"/>
          <w:szCs w:val="18"/>
          <w:color w:val="auto"/>
        </w:rPr>
        <w:t xml:space="preserve"> both initiated in March 2020, for alleged violations of the federal RICO Act. In September 2020, the U.S. District Court for the District of New Jersey granted plaintiffs’ motion to consolidate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Drug Co-Operative Inc. v. Eli Lilly &amp; Co. et al.</w:t>
      </w:r>
      <w:r>
        <w:rPr>
          <w:rFonts w:ascii="Arial" w:cs="Arial" w:eastAsia="Arial" w:hAnsi="Arial"/>
          <w:sz w:val="18"/>
          <w:szCs w:val="18"/>
          <w:color w:val="auto"/>
        </w:rPr>
        <w:t xml:space="preserve">, and </w:t>
      </w:r>
      <w:r>
        <w:rPr>
          <w:rFonts w:ascii="Arial" w:cs="Arial" w:eastAsia="Arial" w:hAnsi="Arial"/>
          <w:sz w:val="18"/>
          <w:szCs w:val="18"/>
          <w:i w:val="1"/>
          <w:iCs w:val="1"/>
          <w:color w:val="auto"/>
        </w:rPr>
        <w:t>Value Drug Co. v. Eli Lilly &amp; Co. et al.</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federal and state antitrust law, and the state deceptive trade practices-consumer protection act. Harris County also alleges common law claims such as fraud, unjust enrichment, and civil conspiracy. This lawsuit relates to our insulin products as well as Trulicity.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received a subpoena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In January 2021, the Senate’s Committee on Finance released a report summarizing the findings of its investigation. We are cooperating with all of these aforementioned investigations, subpoenas, and inquiries.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A trial date has not been set.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restart"/>
          </w:tcPr>
          <w:p>
            <w:pPr>
              <w:jc w:val="center"/>
              <w:ind w:right="17"/>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Unrealized Net</w:t>
            </w:r>
          </w:p>
        </w:tc>
        <w:tc>
          <w:tcPr>
            <w:tcW w:w="200" w:type="dxa"/>
            <w:vAlign w:val="bottom"/>
          </w:tcPr>
          <w:p>
            <w:pPr>
              <w:spacing w:after="0"/>
              <w:rPr>
                <w:sz w:val="13"/>
                <w:szCs w:val="13"/>
                <w:color w:val="auto"/>
              </w:rPr>
            </w:pPr>
          </w:p>
        </w:tc>
        <w:tc>
          <w:tcPr>
            <w:tcW w:w="1160" w:type="dxa"/>
            <w:vAlign w:val="bottom"/>
          </w:tcPr>
          <w:p>
            <w:pPr>
              <w:jc w:val="center"/>
              <w:ind w:right="12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5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0"/>
                <w:szCs w:val="10"/>
                <w:color w:val="auto"/>
              </w:rPr>
            </w:pPr>
          </w:p>
        </w:tc>
        <w:tc>
          <w:tcPr>
            <w:tcW w:w="11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8"/>
              </w:rPr>
              <w:t>Retiree Health</w:t>
            </w:r>
          </w:p>
        </w:tc>
        <w:tc>
          <w:tcPr>
            <w:tcW w:w="220" w:type="dxa"/>
            <w:vAlign w:val="bottom"/>
          </w:tcPr>
          <w:p>
            <w:pPr>
              <w:spacing w:after="0"/>
              <w:rPr>
                <w:sz w:val="10"/>
                <w:szCs w:val="10"/>
                <w:color w:val="auto"/>
              </w:rPr>
            </w:pPr>
          </w:p>
        </w:tc>
        <w:tc>
          <w:tcPr>
            <w:tcW w:w="10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3"/>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(1,427.5)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60"/>
              <w:spacing w:after="0"/>
              <w:rPr>
                <w:sz w:val="20"/>
                <w:szCs w:val="20"/>
                <w:color w:val="auto"/>
              </w:rPr>
            </w:pPr>
            <w:r>
              <w:rPr>
                <w:rFonts w:ascii="Arial" w:cs="Arial" w:eastAsia="Arial" w:hAnsi="Arial"/>
                <w:sz w:val="18"/>
                <w:szCs w:val="18"/>
                <w:b w:val="1"/>
                <w:bCs w:val="1"/>
                <w:color w:val="auto"/>
              </w:rPr>
              <w:t>14.8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8"/>
                <w:szCs w:val="18"/>
                <w:b w:val="1"/>
                <w:bCs w:val="1"/>
                <w:color w:val="auto"/>
              </w:rPr>
              <w:t>(4,751.0)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b w:val="1"/>
                <w:bCs w:val="1"/>
                <w:color w:val="auto"/>
              </w:rPr>
              <w:t>(332.7)</w:t>
            </w:r>
          </w:p>
        </w:tc>
        <w:tc>
          <w:tcPr>
            <w:tcW w:w="4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(6,496.4)</w:t>
            </w: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(249.7)</w:t>
            </w: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w:t>
            </w: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18.8</w:t>
            </w:r>
          </w:p>
        </w:tc>
        <w:tc>
          <w:tcPr>
            <w:tcW w:w="2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252.8</w:t>
            </w:r>
          </w:p>
        </w:tc>
        <w:tc>
          <w:tcPr>
            <w:tcW w:w="4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2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16"/>
                <w:szCs w:val="16"/>
                <w:color w:val="auto"/>
              </w:rPr>
            </w:pPr>
          </w:p>
        </w:tc>
        <w:tc>
          <w:tcPr>
            <w:tcW w:w="116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85.9</w:t>
            </w:r>
          </w:p>
        </w:tc>
        <w:tc>
          <w:tcPr>
            <w:tcW w:w="220" w:type="dxa"/>
            <w:vAlign w:val="bottom"/>
          </w:tcPr>
          <w:p>
            <w:pPr>
              <w:spacing w:after="0"/>
              <w:rPr>
                <w:sz w:val="16"/>
                <w:szCs w:val="16"/>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3.3</w:t>
            </w: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89.7</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(249.7)</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104.7</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256.1</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(1,677.2)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(4,646.3)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(76.6)</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(6,395.6)</w:t>
            </w:r>
          </w:p>
        </w:tc>
        <w:tc>
          <w:tcPr>
            <w:tcW w:w="0" w:type="dxa"/>
            <w:vAlign w:val="bottom"/>
          </w:tcPr>
          <w:p>
            <w:pPr>
              <w:spacing w:after="0"/>
              <w:rPr>
                <w:sz w:val="1"/>
                <w:szCs w:val="1"/>
                <w:color w:val="auto"/>
              </w:rPr>
            </w:pPr>
          </w:p>
        </w:tc>
      </w:tr>
      <w:tr>
        <w:trPr>
          <w:trHeight w:val="338"/>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Unrealized Net</w:t>
            </w:r>
          </w:p>
        </w:tc>
        <w:tc>
          <w:tcPr>
            <w:tcW w:w="200" w:type="dxa"/>
            <w:vAlign w:val="bottom"/>
          </w:tcPr>
          <w:p>
            <w:pPr>
              <w:spacing w:after="0"/>
              <w:rPr>
                <w:sz w:val="24"/>
                <w:szCs w:val="24"/>
                <w:color w:val="auto"/>
              </w:rPr>
            </w:pPr>
          </w:p>
        </w:tc>
        <w:tc>
          <w:tcPr>
            <w:tcW w:w="116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Defined Benefit</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8"/>
              </w:rPr>
              <w:t>Pension and</w:t>
            </w:r>
          </w:p>
        </w:tc>
        <w:tc>
          <w:tcPr>
            <w:tcW w:w="1300" w:type="dxa"/>
            <w:vAlign w:val="bottom"/>
            <w:gridSpan w:val="2"/>
            <w:vMerge w:val="continue"/>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ind w:left="40"/>
              <w:spacing w:after="0" w:line="122" w:lineRule="exact"/>
              <w:rPr>
                <w:sz w:val="20"/>
                <w:szCs w:val="20"/>
                <w:color w:val="auto"/>
              </w:rPr>
            </w:pPr>
            <w:r>
              <w:rPr>
                <w:rFonts w:ascii="Arial" w:cs="Arial" w:eastAsia="Arial" w:hAnsi="Arial"/>
                <w:sz w:val="13"/>
                <w:szCs w:val="13"/>
                <w:b w:val="1"/>
                <w:bCs w:val="1"/>
                <w:color w:val="auto"/>
              </w:rPr>
              <w:t>Gains (Losses)</w:t>
            </w:r>
          </w:p>
        </w:tc>
        <w:tc>
          <w:tcPr>
            <w:tcW w:w="200" w:type="dxa"/>
            <w:vAlign w:val="bottom"/>
          </w:tcPr>
          <w:p>
            <w:pPr>
              <w:spacing w:after="0"/>
              <w:rPr>
                <w:sz w:val="10"/>
                <w:szCs w:val="10"/>
                <w:color w:val="auto"/>
              </w:rPr>
            </w:pPr>
          </w:p>
        </w:tc>
        <w:tc>
          <w:tcPr>
            <w:tcW w:w="116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6"/>
              </w:rPr>
              <w:t>Retiree Health</w:t>
            </w:r>
          </w:p>
        </w:tc>
        <w:tc>
          <w:tcPr>
            <w:tcW w:w="220" w:type="dxa"/>
            <w:vAlign w:val="bottom"/>
          </w:tcPr>
          <w:p>
            <w:pPr>
              <w:spacing w:after="0"/>
              <w:rPr>
                <w:sz w:val="10"/>
                <w:szCs w:val="10"/>
                <w:color w:val="auto"/>
              </w:rPr>
            </w:pPr>
          </w:p>
        </w:tc>
        <w:tc>
          <w:tcPr>
            <w:tcW w:w="10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6"/>
              </w:rPr>
              <w:t>of Cash Flow</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on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7"/>
              </w:rPr>
              <w:t>Hedges</w:t>
            </w: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(4,638.6)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(211.9)</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188"/>
        </w:trPr>
        <w:tc>
          <w:tcPr>
            <w:tcW w:w="4520" w:type="dxa"/>
            <w:vAlign w:val="bottom"/>
          </w:tcPr>
          <w:p>
            <w:pPr>
              <w:ind w:left="140"/>
              <w:spacing w:after="0" w:line="189" w:lineRule="exact"/>
              <w:rPr>
                <w:sz w:val="20"/>
                <w:szCs w:val="20"/>
                <w:color w:val="auto"/>
              </w:rPr>
            </w:pPr>
            <w:r>
              <w:rPr>
                <w:rFonts w:ascii="Arial" w:cs="Arial" w:eastAsia="Arial" w:hAnsi="Arial"/>
                <w:sz w:val="18"/>
                <w:szCs w:val="18"/>
                <w:color w:val="auto"/>
              </w:rPr>
              <w:t>Net amount reclassified from accumulated 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77.4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108.3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(556.9)</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(6,885.9)</w:t>
            </w:r>
          </w:p>
        </w:tc>
        <w:tc>
          <w:tcPr>
            <w:tcW w:w="0" w:type="dxa"/>
            <w:vAlign w:val="bottom"/>
          </w:tcPr>
          <w:p>
            <w:pPr>
              <w:spacing w:after="0"/>
              <w:rPr>
                <w:sz w:val="1"/>
                <w:szCs w:val="1"/>
                <w:color w:val="auto"/>
              </w:rPr>
            </w:pPr>
          </w:p>
        </w:tc>
      </w:tr>
      <w:tr>
        <w:trPr>
          <w:trHeight w:val="864"/>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4.4</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 allocated to other comprehensive income (loss) items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bl>
    <w:p>
      <w:pPr>
        <w:spacing w:after="0" w:line="16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 March 31,</w:t>
            </w:r>
          </w:p>
        </w:tc>
        <w:tc>
          <w:tcPr>
            <w:tcW w:w="3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27"/>
        </w:trPr>
        <w:tc>
          <w:tcPr>
            <w:tcW w:w="44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
                <w:szCs w:val="2"/>
                <w:color w:val="auto"/>
              </w:rPr>
            </w:pPr>
          </w:p>
        </w:tc>
        <w:tc>
          <w:tcPr>
            <w:tcW w:w="3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Prior service benefits, net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6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38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122.6</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Total before tax</w:t>
            </w:r>
          </w:p>
        </w:tc>
        <w:tc>
          <w:tcPr>
            <w:tcW w:w="26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108.8</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85.9</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3.8</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89.7</w:t>
            </w:r>
          </w:p>
        </w:tc>
        <w:tc>
          <w:tcPr>
            <w:tcW w:w="10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on equity securities</w:t>
            </w: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(301.5)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(73.4)</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(321.1)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may cause our actual results, financial position, and cash generated from operations to differ materially from these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response to the COVID-19 pandemic, we have been focused on maintaining a reliable supply of our medicines; reducing the strain on the medical system; developing treatments for COVID-19; protecting the health, safety, and well-being of our employees; supporting our communities; and ensuring affordability of and access to our medicines, particularly insulin.</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experienced negative impacts to our underlying business due to the COVID-19 pandemic, including decreases in new prescriptions as a result of fewer patient visits to physician’s offices to begin or change treatment, changes in payer segment mix, and the use of patient affordability programs in the United States (U.S.) due to increased unemployment. Additionally, we have experienced, and may continue to experience, decreased demand as a result of lack of normal access and fewer in-person interactions by patients and our employees with the healthcare system. In certain locations in the U.S. and around the world with COVID-19 outbreaks, we temporarily halted in-person interactions by our employees with healthcare providers and increased virtual interactions. While in-person interactions have resumed in many locations, we may decide to halt such activity in the future and, in those cases, expect to resume such interactions as it is safe to do so and in compliance with applicable guidance and requirements. We may experience additional pricing pressures resulting from the financial strain of the COVID-19 pandemic on government-funded healthcare systems around the world.</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remain committed to discovering and developing new treatments for the patients we serve. At the beginning of the COVID-19 pandemic, we paused new clinical trial starts and enrollment in new trials in order to reduce the strain on the medical system, and we have resumed this activity in our clinical trials. However, significant delays or unexpected issues, such as higher discontinuation rates or delays accumulating data, affecting the timing, conduct, or regulatory review of our clinical trials, could adversely affect our ability to commercialize some assets in our product pipeline if the COVID-19 pandemic continues for a protracted period.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4" w:name="page35"/>
    <w:bookmarkEnd w:id="34"/>
    <w:p>
      <w:pPr>
        <w:spacing w:after="0" w:line="251" w:lineRule="auto"/>
        <w:rPr>
          <w:sz w:val="20"/>
          <w:szCs w:val="20"/>
          <w:color w:val="auto"/>
        </w:rPr>
      </w:pPr>
      <w:r>
        <w:rPr>
          <w:rFonts w:ascii="Arial" w:cs="Arial" w:eastAsia="Arial" w:hAnsi="Arial"/>
          <w:sz w:val="18"/>
          <w:szCs w:val="18"/>
          <w:color w:val="auto"/>
        </w:rPr>
        <w:t>Since the start of the pandemic we have been working with a variety of organizations, including governmental agencies, to facilitate access to our COVID-19 therapies in various countries. The U.S. Food and Drug Administration (FDA) granted Emergency Use Authorizations (EUA) for bamlanivimab and bamlanivimab and etesevimab administered together for higher-risk patients who have been recently diagnosed with mild-to-moderate COVID-19 and for baricitinib in combination with remdesivir in hospitalized COVID-19 patients. We have taken several steps in order to transition from bamlanivimab administered alone to bamlanivimab and etesevimab administered together in the U.S. for the treatment of COVID-19. In April 2021, we requested the FDA revoke the EUA for bamlanivimab alone. This request was not due to any new safety concern. The FDA subsequently revoked the EUA for bamlanivimab alone. We have agreed with the U.S. government to supply bamlanivimab and etesevimab together and to supply etesevimab to complement doses of bamlanivimab that the U.S. government previously purchased. As a result, we terminated the purchase agreement with the U.S. government to supply bamlanivimab alone and cancelled orders for any remaining doses scheduled to be delivered. The European Medicines Agency's (EMA) Committee for Medicinal Products for Human Use (CHMP) issued a positive opinion for bamlanivimab alone and for bamlanivimab and etesevimab administered together for patients that do not require supplemental oxygen and who are at high risk of progressing to severe COVID-19.</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face unique risks and uncertainties in our development, manufacture, and uptake of potential treatments for COVID-19, including vulnerability to supply chain disruptions, higher manufacturing costs, difficulties in manufacturing sufficient quantities of our therapies, heightened regulatory scrutiny of our manufacturing practices, restrictions on administration that limit widespread and timely access to our therapies, and risks related to handling, return, and/or refund of product after delivery by us. Expedited authorization processes, including our EUA for bamlanivimab and etesevimab administered together, have allowed restricted distribution of products with less than typical safety and efficacy data, and additional data that become available may call into question the safety or effectiveness of our COVID-19 therapies. Additionally, the availability of superior or competitive therapies, or preventative measures, such as vaccines, coupled with the transient nature of pandemics, could negatively impact or eliminate demand for our COVID-19 therapies. Mutations or the spread of other variants of the coronavirus could also render our therapies ineffective. We may also be required to accept returns of certain bamlanivimab and etesevimab previously supplied together in the U.S. if the relevant EUA is revoked or terminated due to safety and efficacy concerns. In addition, evolving regulatory priorities have intensified governmental scrutiny of our operations, including our compliance with Good Manufacturing Practices (cGMP), quality assurance, and similar regulations relating to our manufacture of COVID-19 therapies and other medicines. Any of these risks could prevent us from recouping our substantial investments in the research, development, and manufacture of our COVID-19 therapies. These risks could also affect other aspects of our business, including potentially resulting in delays or denials in the approval or launch of other products.</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ability to continue to operate without significant negative impacts will in part depend on our ability to protect our employees and our supply chain. We have taken steps to protect our employees worldwide, with particular measures in place for those working in our manufacturing sites and distribution facilities. We have been able to largely maintain our normal operations. However, uncertainty resulting from the COVID-19 pandemic could have an adverse impact on our manufacturing operations, global supply chain, and distribution systems, which could impact our ability to produce and distribute our products and the ability of third parties on which we rely to fulfill their obligations to us, and could increase our expenses.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Although the COVID-19 pandemic has affected our operations and demand for our products, it has not negatively impacted our liquidity position. We expect to continue to generate cash flows to meet our short-term liquidity needs and to have access to liquidity via the short-term and long-term debt markets. As part of our response to the COVID-19 pandemic, we worked quickly to ramp up the manufacturing of our COVID-19 antibodies in order to ensure ample supply. Due in part to the termination of the purchase agreement with the U.S. government to supply bamlanivimab alone and the cancellation of orders for the remaining doses of bamlanivimab alone that were scheduled to be delivered pursuant to the agreement, we have experienced impairment charges for excess inventory related to our COVID-19 antibodies during the three months ended March 31, 2021. We could experience additional impairments of our assets, including inventory related to our COVID-19 antibodies, or significant changes in the fair value of our assets due to the COVID-19 pandemic, including as a result of the factors discussed above.</w:t>
      </w:r>
    </w:p>
    <w:p>
      <w:pPr>
        <w:spacing w:after="0" w:line="104" w:lineRule="exact"/>
        <w:rPr>
          <w:sz w:val="20"/>
          <w:szCs w:val="20"/>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for additional information on risk factors that could impact our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6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9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6,805.6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5,859.8</w:t>
            </w:r>
          </w:p>
        </w:tc>
        <w:tc>
          <w:tcPr>
            <w:tcW w:w="10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rPr>
              <w:t>4,927.0</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4,644.7</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72.4 %</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rPr>
              <w:t>3,260.8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2,941.7</w:t>
            </w:r>
          </w:p>
        </w:tc>
        <w:tc>
          <w:tcPr>
            <w:tcW w:w="1080" w:type="dxa"/>
            <w:vAlign w:val="bottom"/>
          </w:tcPr>
          <w:p>
            <w:pPr>
              <w:jc w:val="center"/>
              <w:ind w:left="34"/>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 (IPR&amp;D)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299.3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52.3</w:t>
            </w:r>
          </w:p>
        </w:tc>
        <w:tc>
          <w:tcPr>
            <w:tcW w:w="10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rPr>
              <w:t>211.6</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59.9</w:t>
            </w:r>
          </w:p>
        </w:tc>
        <w:tc>
          <w:tcPr>
            <w:tcW w:w="1080" w:type="dxa"/>
            <w:vAlign w:val="bottom"/>
          </w:tcPr>
          <w:p>
            <w:pPr>
              <w:jc w:val="center"/>
              <w:ind w:left="3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1,355.3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1,456.5</w:t>
            </w:r>
          </w:p>
        </w:tc>
        <w:tc>
          <w:tcPr>
            <w:tcW w:w="10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9"/>
        </w:trPr>
        <w:tc>
          <w:tcPr>
            <w:tcW w:w="6900" w:type="dxa"/>
            <w:vAlign w:val="bottom"/>
          </w:tcPr>
          <w:p>
            <w:pPr>
              <w:ind w:left="20"/>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b w:val="1"/>
                <w:bCs w:val="1"/>
                <w:color w:val="auto"/>
              </w:rPr>
              <w:t>1.49</w:t>
            </w:r>
          </w:p>
        </w:tc>
        <w:tc>
          <w:tcPr>
            <w:tcW w:w="440" w:type="dxa"/>
            <w:vAlign w:val="bottom"/>
          </w:tcPr>
          <w:p>
            <w:pPr>
              <w:spacing w:after="0"/>
              <w:rPr>
                <w:sz w:val="20"/>
                <w:szCs w:val="20"/>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1.60</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increased for the three months ended March 31, 2021 driven by increased volume and the favorable impact of foreign exchange rates, partially offset by lower realized prices. Operating expenses, defined as the sum of research and development and marketing, selling, and administrative expenses, increased for the three months ended March 31, 2021, primarily due to research and development expenses for COVID-19 antibody therapies and baricitinib, as well as higher research and development expenses for late-stage assets. The decrease in net income and EPS for the three months ended March 31, 2021 was primarily driven by higher research and development expenses, higher acquired IPR&amp;D, and higher asset impairment, restructuring, and other special charges, partially offset by higher gross margin, higher other income, and lower income tax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months ended March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1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acquired IPR&amp;D charges of $299.3 million for the three months ended March 31, 2021 related to collaborations with Rigel Pharmaceuticals, Inc. (Rigel), Precision BioSciences, Inc. (Precision), Merus N.V. (Merus), and Asahi Kasei Pharma Corporation (Asahi).</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140" w:hanging="328"/>
        <w:spacing w:after="0" w:line="22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charges of $211.6 million for the three months ended March 31, 2021 primarily related to an intangible asset impairment resulting from the decision to sell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other income of $301.5 million of net investment gains on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(See Note 3 to the consolidated condensed financial statements)</w:t>
      </w:r>
    </w:p>
    <w:p>
      <w:pPr>
        <w:spacing w:after="0" w:line="117" w:lineRule="exact"/>
        <w:rPr>
          <w:sz w:val="20"/>
          <w:szCs w:val="20"/>
          <w:color w:val="auto"/>
        </w:rPr>
      </w:pPr>
    </w:p>
    <w:p>
      <w:pPr>
        <w:ind w:left="660" w:right="2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acquired IPR&amp;D charges of $52.3 million for the three months ended March 31, 2020 related to a collaboration with Sitryx Therapeutics Limited (Sitryx).</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(See Note 5 to the consolidated condensed financial statements)</w:t>
      </w:r>
    </w:p>
    <w:p>
      <w:pPr>
        <w:spacing w:after="0" w:line="117" w:lineRule="exact"/>
        <w:rPr>
          <w:sz w:val="20"/>
          <w:szCs w:val="20"/>
          <w:color w:val="auto"/>
        </w:rPr>
      </w:pPr>
    </w:p>
    <w:p>
      <w:pPr>
        <w:ind w:left="660" w:right="2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$59.9 million for the three months ended March 31, 2020 primarily related to acquisition and integration costs associated with the acquisition of Dermira, Inc. (Dermira).</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(See Note 6 to the consolidated condensed financial statements)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other income of $186.6 million of net investment gains on equity securities.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candidates in clinical development or under regulatory review, and a larger number of projects in the discovery phase.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new molecular entities (NMEs) are currently in Phase III clinical trials or have been submitted for regulatory review or have received first regulatory approval in the U.S., Europe, or Japan in 2021. In addition, the following table includes certain NMEs currently in Phase I or Phase II clinical trials. The following table reflects the status of these NMEs, including certain other developments since January 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Compound</w:t>
            </w:r>
          </w:p>
        </w:tc>
        <w:tc>
          <w:tcPr>
            <w:tcW w:w="174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5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60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180" w:type="dxa"/>
            <w:vAlign w:val="bottom"/>
            <w:tcBorders>
              <w:right w:val="single" w:sz="8" w:color="auto"/>
            </w:tcBorders>
          </w:tcPr>
          <w:p>
            <w:pPr>
              <w:spacing w:after="0"/>
              <w:rPr>
                <w:sz w:val="19"/>
                <w:szCs w:val="19"/>
                <w:color w:val="auto"/>
              </w:rPr>
            </w:pPr>
          </w:p>
        </w:tc>
        <w:tc>
          <w:tcPr>
            <w:tcW w:w="3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COVID-19 Therapies</w:t>
            </w:r>
          </w:p>
        </w:tc>
        <w:tc>
          <w:tcPr>
            <w:tcW w:w="156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165"/>
        </w:trPr>
        <w:tc>
          <w:tcPr>
            <w:tcW w:w="1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Bamlanivimab</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color w:val="auto"/>
                <w:w w:val="99"/>
              </w:rPr>
              <w:t>Emergency Use</w:t>
            </w:r>
          </w:p>
        </w:tc>
        <w:tc>
          <w:tcPr>
            <w:tcW w:w="608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and all key secondary endpoints. The EMA's CHMP issued a positive</w:t>
            </w:r>
          </w:p>
        </w:tc>
        <w:tc>
          <w:tcPr>
            <w:tcW w:w="0" w:type="dxa"/>
            <w:vAlign w:val="bottom"/>
          </w:tcPr>
          <w:p>
            <w:pPr>
              <w:spacing w:after="0"/>
              <w:rPr>
                <w:sz w:val="1"/>
                <w:szCs w:val="1"/>
                <w:color w:val="auto"/>
              </w:rPr>
            </w:pPr>
          </w:p>
        </w:tc>
      </w:tr>
      <w:tr>
        <w:trPr>
          <w:trHeight w:val="186"/>
        </w:trPr>
        <w:tc>
          <w:tcPr>
            <w:tcW w:w="1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administered alone</w:t>
            </w:r>
          </w:p>
        </w:tc>
        <w:tc>
          <w:tcPr>
            <w:tcW w:w="174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Authorization</w:t>
            </w:r>
            <w:r>
              <w:rPr>
                <w:rFonts w:ascii="Arial" w:cs="Arial" w:eastAsia="Arial" w:hAnsi="Arial"/>
                <w:sz w:val="21"/>
                <w:szCs w:val="21"/>
                <w:color w:val="auto"/>
                <w:vertAlign w:val="superscript"/>
              </w:rPr>
              <w:t>(1)</w:t>
            </w:r>
          </w:p>
        </w:tc>
        <w:tc>
          <w:tcPr>
            <w:tcW w:w="608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scientific opinion in the first quarter of 2021. In April 2021 the FDA revoked</w:t>
            </w:r>
          </w:p>
        </w:tc>
        <w:tc>
          <w:tcPr>
            <w:tcW w:w="0" w:type="dxa"/>
            <w:vAlign w:val="bottom"/>
          </w:tcPr>
          <w:p>
            <w:pPr>
              <w:spacing w:after="0"/>
              <w:rPr>
                <w:sz w:val="1"/>
                <w:szCs w:val="1"/>
                <w:color w:val="auto"/>
              </w:rPr>
            </w:pPr>
          </w:p>
        </w:tc>
      </w:tr>
      <w:tr>
        <w:trPr>
          <w:trHeight w:val="217"/>
        </w:trPr>
        <w:tc>
          <w:tcPr>
            <w:tcW w:w="18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EUA for bamlanivimab alone in the U.S.</w:t>
            </w: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Announced in the first quarter of 2021 that Phase III trials met the primary</w:t>
            </w:r>
          </w:p>
        </w:tc>
        <w:tc>
          <w:tcPr>
            <w:tcW w:w="0" w:type="dxa"/>
            <w:vAlign w:val="bottom"/>
          </w:tcPr>
          <w:p>
            <w:pPr>
              <w:spacing w:after="0"/>
              <w:rPr>
                <w:sz w:val="1"/>
                <w:szCs w:val="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Bamlanivimab and</w:t>
            </w: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and key secondary endpoints. Additional Phase III trials are ongoing. The</w:t>
            </w: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granted EUA for higher-risk patients recently diagnosed with mild-to-</w:t>
            </w:r>
          </w:p>
        </w:tc>
        <w:tc>
          <w:tcPr>
            <w:tcW w:w="0" w:type="dxa"/>
            <w:vAlign w:val="bottom"/>
          </w:tcPr>
          <w:p>
            <w:pPr>
              <w:spacing w:after="0"/>
              <w:rPr>
                <w:sz w:val="1"/>
                <w:szCs w:val="1"/>
                <w:color w:val="auto"/>
              </w:rPr>
            </w:pPr>
          </w:p>
        </w:tc>
      </w:tr>
      <w:tr>
        <w:trPr>
          <w:trHeight w:val="163"/>
        </w:trPr>
        <w:tc>
          <w:tcPr>
            <w:tcW w:w="1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etesevimab</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Emergency Use</w:t>
            </w:r>
          </w:p>
        </w:tc>
        <w:tc>
          <w:tcPr>
            <w:tcW w:w="6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20"/>
              <w:spacing w:after="0" w:line="189" w:lineRule="exact"/>
              <w:rPr>
                <w:sz w:val="20"/>
                <w:szCs w:val="20"/>
                <w:color w:val="auto"/>
              </w:rPr>
            </w:pPr>
            <w:r>
              <w:rPr>
                <w:rFonts w:ascii="Arial" w:cs="Arial" w:eastAsia="Arial" w:hAnsi="Arial"/>
                <w:sz w:val="18"/>
                <w:szCs w:val="18"/>
                <w:color w:val="auto"/>
              </w:rPr>
              <w:t>administered</w:t>
            </w:r>
          </w:p>
        </w:tc>
        <w:tc>
          <w:tcPr>
            <w:tcW w:w="174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color w:val="auto"/>
              </w:rPr>
              <w:t>Authorization</w:t>
            </w:r>
          </w:p>
        </w:tc>
        <w:tc>
          <w:tcPr>
            <w:tcW w:w="6080" w:type="dxa"/>
            <w:vAlign w:val="bottom"/>
            <w:tcBorders>
              <w:right w:val="single" w:sz="8" w:color="auto"/>
            </w:tcBorders>
          </w:tcPr>
          <w:p>
            <w:pPr>
              <w:ind w:left="20"/>
              <w:spacing w:after="0" w:line="107" w:lineRule="exact"/>
              <w:rPr>
                <w:sz w:val="20"/>
                <w:szCs w:val="20"/>
                <w:color w:val="auto"/>
              </w:rPr>
            </w:pPr>
            <w:r>
              <w:rPr>
                <w:rFonts w:ascii="Arial" w:cs="Arial" w:eastAsia="Arial" w:hAnsi="Arial"/>
                <w:sz w:val="12"/>
                <w:szCs w:val="12"/>
                <w:color w:val="auto"/>
              </w:rPr>
              <w:t>moderate COVID-19 in the first quarter of 2021. We intend to submit to the</w:t>
            </w: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60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FDA for approval in the second half of 2021. The EMA's CHMP issued a</w:t>
            </w:r>
          </w:p>
        </w:tc>
        <w:tc>
          <w:tcPr>
            <w:tcW w:w="0" w:type="dxa"/>
            <w:vAlign w:val="bottom"/>
          </w:tcPr>
          <w:p>
            <w:pPr>
              <w:spacing w:after="0"/>
              <w:rPr>
                <w:sz w:val="1"/>
                <w:szCs w:val="1"/>
                <w:color w:val="auto"/>
              </w:rPr>
            </w:pPr>
          </w:p>
        </w:tc>
      </w:tr>
      <w:tr>
        <w:trPr>
          <w:trHeight w:val="95"/>
        </w:trPr>
        <w:tc>
          <w:tcPr>
            <w:tcW w:w="1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together</w:t>
            </w:r>
          </w:p>
        </w:tc>
        <w:tc>
          <w:tcPr>
            <w:tcW w:w="174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60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positive scientific opinion in the first quarter of 2021. Submitted in Europe in</w:t>
            </w:r>
          </w:p>
        </w:tc>
        <w:tc>
          <w:tcPr>
            <w:tcW w:w="0" w:type="dxa"/>
            <w:vAlign w:val="bottom"/>
          </w:tcPr>
          <w:p>
            <w:pPr>
              <w:spacing w:after="0"/>
              <w:rPr>
                <w:sz w:val="1"/>
                <w:szCs w:val="1"/>
                <w:color w:val="auto"/>
              </w:rPr>
            </w:pPr>
          </w:p>
        </w:tc>
      </w:tr>
      <w:tr>
        <w:trPr>
          <w:trHeight w:val="53"/>
        </w:trPr>
        <w:tc>
          <w:tcPr>
            <w:tcW w:w="18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60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8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first quarter of 2021.</w:t>
            </w: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VIR-7831 and</w:t>
            </w: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bamlanivimab</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ind w:left="20"/>
              <w:spacing w:after="0" w:line="165" w:lineRule="exact"/>
              <w:rPr>
                <w:sz w:val="20"/>
                <w:szCs w:val="20"/>
                <w:color w:val="auto"/>
              </w:rPr>
            </w:pPr>
            <w:r>
              <w:rPr>
                <w:rFonts w:ascii="Arial" w:cs="Arial" w:eastAsia="Arial" w:hAnsi="Arial"/>
                <w:sz w:val="18"/>
                <w:szCs w:val="18"/>
                <w:color w:val="auto"/>
              </w:rPr>
              <w:t>administered</w:t>
            </w:r>
          </w:p>
        </w:tc>
        <w:tc>
          <w:tcPr>
            <w:tcW w:w="17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80" w:type="dxa"/>
            <w:vAlign w:val="bottom"/>
            <w:tcBorders>
              <w:right w:val="single" w:sz="8" w:color="auto"/>
            </w:tcBorders>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60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8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20"/>
              <w:spacing w:after="0" w:line="228" w:lineRule="exact"/>
              <w:rPr>
                <w:sz w:val="20"/>
                <w:szCs w:val="20"/>
                <w:color w:val="auto"/>
              </w:rPr>
            </w:pPr>
            <w:r>
              <w:rPr>
                <w:rFonts w:ascii="Arial" w:cs="Arial" w:eastAsia="Arial" w:hAnsi="Arial"/>
                <w:sz w:val="18"/>
                <w:szCs w:val="18"/>
                <w:color w:val="auto"/>
              </w:rPr>
              <w:t>together</w:t>
            </w:r>
            <w:r>
              <w:rPr>
                <w:rFonts w:ascii="Arial" w:cs="Arial" w:eastAsia="Arial" w:hAnsi="Arial"/>
                <w:sz w:val="23"/>
                <w:szCs w:val="23"/>
                <w:color w:val="auto"/>
                <w:vertAlign w:val="superscript"/>
              </w:rPr>
              <w:t>(2)</w:t>
            </w:r>
          </w:p>
        </w:tc>
        <w:tc>
          <w:tcPr>
            <w:tcW w:w="17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Bamlanivimab,</w:t>
            </w: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etesevimab and LY-</w:t>
            </w: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CoV1404</w:t>
            </w:r>
          </w:p>
        </w:tc>
        <w:tc>
          <w:tcPr>
            <w:tcW w:w="1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COVID-19</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Phase I</w:t>
            </w:r>
          </w:p>
        </w:tc>
        <w:tc>
          <w:tcPr>
            <w:tcW w:w="60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Phase I trial initiated in April 2021.</w:t>
            </w:r>
          </w:p>
        </w:tc>
        <w:tc>
          <w:tcPr>
            <w:tcW w:w="0" w:type="dxa"/>
            <w:vAlign w:val="bottom"/>
          </w:tcPr>
          <w:p>
            <w:pPr>
              <w:spacing w:after="0"/>
              <w:rPr>
                <w:sz w:val="1"/>
                <w:szCs w:val="1"/>
                <w:color w:val="auto"/>
              </w:rPr>
            </w:pPr>
          </w:p>
        </w:tc>
      </w:tr>
      <w:tr>
        <w:trPr>
          <w:trHeight w:val="175"/>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administered</w:t>
            </w:r>
          </w:p>
        </w:tc>
        <w:tc>
          <w:tcPr>
            <w:tcW w:w="17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together</w:t>
            </w:r>
          </w:p>
        </w:tc>
        <w:tc>
          <w:tcPr>
            <w:tcW w:w="17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6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right w:val="single" w:sz="8" w:color="auto"/>
            </w:tcBorders>
          </w:tcPr>
          <w:p>
            <w:pPr>
              <w:spacing w:after="0"/>
              <w:rPr>
                <w:sz w:val="19"/>
                <w:szCs w:val="19"/>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Endocrinology</w:t>
            </w:r>
          </w:p>
        </w:tc>
        <w:tc>
          <w:tcPr>
            <w:tcW w:w="1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560" w:type="dxa"/>
            <w:vAlign w:val="bottom"/>
            <w:tcBorders>
              <w:right w:val="single" w:sz="8" w:color="auto"/>
            </w:tcBorders>
          </w:tcPr>
          <w:p>
            <w:pPr>
              <w:spacing w:after="0"/>
              <w:rPr>
                <w:sz w:val="24"/>
                <w:szCs w:val="24"/>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first quarter of 2021 that Phase III trials met the primary</w:t>
            </w: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key secondary endpoints. Additional Phase III trials are ongoing.</w:t>
            </w:r>
          </w:p>
        </w:tc>
        <w:tc>
          <w:tcPr>
            <w:tcW w:w="0" w:type="dxa"/>
            <w:vAlign w:val="bottom"/>
          </w:tcPr>
          <w:p>
            <w:pPr>
              <w:spacing w:after="0"/>
              <w:rPr>
                <w:sz w:val="1"/>
                <w:szCs w:val="1"/>
                <w:color w:val="auto"/>
              </w:rPr>
            </w:pPr>
          </w:p>
        </w:tc>
      </w:tr>
      <w:tr>
        <w:trPr>
          <w:trHeight w:val="135"/>
        </w:trPr>
        <w:tc>
          <w:tcPr>
            <w:tcW w:w="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6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Tirzepatide</w:t>
            </w:r>
          </w:p>
        </w:tc>
        <w:tc>
          <w:tcPr>
            <w:tcW w:w="1740" w:type="dxa"/>
            <w:vAlign w:val="bottom"/>
            <w:tcBorders>
              <w:bottom w:val="single" w:sz="8" w:color="auto"/>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w:t>
            </w:r>
          </w:p>
        </w:tc>
        <w:tc>
          <w:tcPr>
            <w:tcW w:w="1560" w:type="dxa"/>
            <w:vAlign w:val="bottom"/>
            <w:tcBorders>
              <w:right w:val="single" w:sz="8" w:color="auto"/>
            </w:tcBorders>
          </w:tcPr>
          <w:p>
            <w:pPr>
              <w:spacing w:after="0"/>
              <w:rPr>
                <w:sz w:val="11"/>
                <w:szCs w:val="11"/>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15"/>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6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Nonalcoholic</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steatohepatitis</w:t>
            </w:r>
          </w:p>
        </w:tc>
        <w:tc>
          <w:tcPr>
            <w:tcW w:w="1560" w:type="dxa"/>
            <w:vAlign w:val="bottom"/>
            <w:tcBorders>
              <w:right w:val="single" w:sz="8" w:color="auto"/>
            </w:tcBorders>
            <w:vMerge w:val="continue"/>
          </w:tcPr>
          <w:p>
            <w:pPr>
              <w:spacing w:after="0"/>
              <w:rPr>
                <w:sz w:val="11"/>
                <w:szCs w:val="11"/>
                <w:color w:val="auto"/>
              </w:rPr>
            </w:pPr>
          </w:p>
        </w:tc>
        <w:tc>
          <w:tcPr>
            <w:tcW w:w="6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80" w:type="dxa"/>
            <w:vAlign w:val="bottom"/>
            <w:tcBorders>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6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Basal Insulin-Fc</w:t>
            </w:r>
          </w:p>
        </w:tc>
        <w:tc>
          <w:tcPr>
            <w:tcW w:w="1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Type 1 and 2</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diabetes</w:t>
            </w: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 w:type="dxa"/>
            <w:vAlign w:val="bottom"/>
            <w:tcBorders>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0" w:type="dxa"/>
            <w:vAlign w:val="bottom"/>
            <w:tcBorders>
              <w:right w:val="single" w:sz="8" w:color="auto"/>
            </w:tcBorders>
          </w:tcPr>
          <w:p>
            <w:pPr>
              <w:spacing w:after="0"/>
              <w:rPr>
                <w:sz w:val="19"/>
                <w:szCs w:val="19"/>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Immunology</w:t>
            </w:r>
          </w:p>
        </w:tc>
        <w:tc>
          <w:tcPr>
            <w:tcW w:w="1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(3)</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Atopic dermatitis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(4)</w:t>
            </w:r>
            <w:r>
              <w:rPr>
                <w:rFonts w:ascii="Arial" w:cs="Arial" w:eastAsia="Arial" w:hAnsi="Arial"/>
                <w:sz w:val="18"/>
                <w:szCs w:val="18"/>
                <w:color w:val="auto"/>
              </w:rPr>
              <w:t>. Phase III trials are ongoing.</w:t>
            </w:r>
          </w:p>
        </w:tc>
        <w:tc>
          <w:tcPr>
            <w:tcW w:w="0" w:type="dxa"/>
            <w:vAlign w:val="bottom"/>
          </w:tcPr>
          <w:p>
            <w:pPr>
              <w:spacing w:after="0"/>
              <w:rPr>
                <w:sz w:val="1"/>
                <w:szCs w:val="1"/>
                <w:color w:val="auto"/>
              </w:rPr>
            </w:pPr>
          </w:p>
        </w:tc>
      </w:tr>
      <w:tr>
        <w:trPr>
          <w:trHeight w:val="243"/>
        </w:trPr>
        <w:tc>
          <w:tcPr>
            <w:tcW w:w="1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88"/>
        </w:trPr>
        <w:tc>
          <w:tcPr>
            <w:tcW w:w="1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Psoriasis</w:t>
            </w:r>
          </w:p>
        </w:tc>
        <w:tc>
          <w:tcPr>
            <w:tcW w:w="1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Not pursuing</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April 2021 that we do not plan to pursue submission.</w:t>
            </w: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Mirikizumab</w:t>
            </w:r>
          </w:p>
        </w:tc>
        <w:tc>
          <w:tcPr>
            <w:tcW w:w="174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submission</w:t>
            </w:r>
          </w:p>
        </w:tc>
        <w:tc>
          <w:tcPr>
            <w:tcW w:w="6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vMerge w:val="continue"/>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Ulcerative colitis</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the first quarter of 2021 that a Phase III trial met the primary</w:t>
            </w:r>
          </w:p>
        </w:tc>
        <w:tc>
          <w:tcPr>
            <w:tcW w:w="0" w:type="dxa"/>
            <w:vAlign w:val="bottom"/>
          </w:tcPr>
          <w:p>
            <w:pPr>
              <w:spacing w:after="0"/>
              <w:rPr>
                <w:sz w:val="1"/>
                <w:szCs w:val="1"/>
                <w:color w:val="auto"/>
              </w:rPr>
            </w:pPr>
          </w:p>
        </w:tc>
      </w:tr>
      <w:tr>
        <w:trPr>
          <w:trHeight w:val="215"/>
        </w:trPr>
        <w:tc>
          <w:tcPr>
            <w:tcW w:w="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6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key secondary endpoints. Additional Phase III trials are ongoing.</w:t>
            </w: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6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CXCR1/2 Ligands</w:t>
            </w: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Hidradenitis</w:t>
            </w: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Monoclonal</w:t>
            </w:r>
          </w:p>
        </w:tc>
        <w:tc>
          <w:tcPr>
            <w:tcW w:w="174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5"/>
        </w:trPr>
        <w:tc>
          <w:tcPr>
            <w:tcW w:w="1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suppurativa</w:t>
            </w:r>
          </w:p>
        </w:tc>
        <w:tc>
          <w:tcPr>
            <w:tcW w:w="1560" w:type="dxa"/>
            <w:vAlign w:val="bottom"/>
            <w:tcBorders>
              <w:right w:val="single" w:sz="8" w:color="auto"/>
            </w:tcBorders>
            <w:vMerge w:val="continue"/>
          </w:tcPr>
          <w:p>
            <w:pPr>
              <w:spacing w:after="0"/>
              <w:rPr>
                <w:sz w:val="8"/>
                <w:szCs w:val="8"/>
                <w:color w:val="auto"/>
              </w:rPr>
            </w:pPr>
          </w:p>
        </w:tc>
        <w:tc>
          <w:tcPr>
            <w:tcW w:w="6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Antibody</w:t>
            </w:r>
          </w:p>
        </w:tc>
        <w:tc>
          <w:tcPr>
            <w:tcW w:w="174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 w:type="dxa"/>
            <w:vAlign w:val="bottom"/>
            <w:tcBorders>
              <w:right w:val="single" w:sz="8" w:color="auto"/>
            </w:tcBorders>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44"/>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37" w:name="page38"/>
    <w:bookmarkEnd w:id="37"/>
    <w:tbl>
      <w:tblPr>
        <w:tblLayout w:type="fixed"/>
        <w:tblInd w:w="170" w:type="dxa"/>
        <w:tblCellMar>
          <w:top w:w="0" w:type="dxa"/>
          <w:left w:w="0" w:type="dxa"/>
          <w:bottom w:w="0" w:type="dxa"/>
          <w:right w:w="0" w:type="dxa"/>
        </w:tblCellMar>
      </w:tblPr>
      <w:tr>
        <w:trPr>
          <w:trHeight w:val="243"/>
        </w:trPr>
        <w:tc>
          <w:tcPr>
            <w:tcW w:w="17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560" w:type="dxa"/>
            <w:vAlign w:val="bottom"/>
            <w:tcBorders>
              <w:top w:val="single" w:sz="8" w:color="auto"/>
              <w:bottom w:val="single" w:sz="8" w:color="auto"/>
              <w:right w:val="single" w:sz="8" w:color="auto"/>
            </w:tcBorders>
            <w:shd w:val="clear" w:color="auto" w:fill="D8D8D8"/>
          </w:tcPr>
          <w:p>
            <w:pPr>
              <w:jc w:val="right"/>
              <w:ind w:right="913"/>
              <w:spacing w:after="0"/>
              <w:rPr>
                <w:sz w:val="20"/>
                <w:szCs w:val="20"/>
                <w:color w:val="auto"/>
              </w:rPr>
            </w:pPr>
            <w:r>
              <w:rPr>
                <w:rFonts w:ascii="Arial" w:cs="Arial" w:eastAsia="Arial" w:hAnsi="Arial"/>
                <w:sz w:val="18"/>
                <w:szCs w:val="18"/>
                <w:b w:val="1"/>
                <w:bCs w:val="1"/>
                <w:color w:val="auto"/>
                <w:w w:val="98"/>
              </w:rPr>
              <w:t>Status</w:t>
            </w:r>
          </w:p>
        </w:tc>
        <w:tc>
          <w:tcPr>
            <w:tcW w:w="60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Systemic lupus</w:t>
            </w:r>
          </w:p>
        </w:tc>
        <w:tc>
          <w:tcPr>
            <w:tcW w:w="15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36"/>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IL-2 Conjugate</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right w:val="single" w:sz="8" w:color="auto"/>
            </w:tcBorders>
          </w:tcPr>
          <w:p>
            <w:pPr>
              <w:spacing w:after="0"/>
              <w:rPr>
                <w:sz w:val="21"/>
                <w:szCs w:val="21"/>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560" w:type="dxa"/>
            <w:vAlign w:val="bottom"/>
            <w:tcBorders>
              <w:right w:val="single" w:sz="8" w:color="auto"/>
            </w:tcBorders>
          </w:tcPr>
          <w:p>
            <w:pPr>
              <w:spacing w:after="0"/>
              <w:rPr>
                <w:sz w:val="21"/>
                <w:szCs w:val="21"/>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April 2021.</w:t>
            </w:r>
          </w:p>
        </w:tc>
        <w:tc>
          <w:tcPr>
            <w:tcW w:w="0" w:type="dxa"/>
            <w:vAlign w:val="bottom"/>
          </w:tcPr>
          <w:p>
            <w:pPr>
              <w:spacing w:after="0"/>
              <w:rPr>
                <w:sz w:val="1"/>
                <w:szCs w:val="1"/>
                <w:color w:val="auto"/>
              </w:rPr>
            </w:pPr>
          </w:p>
        </w:tc>
      </w:tr>
      <w:tr>
        <w:trPr>
          <w:trHeight w:val="40"/>
        </w:trPr>
        <w:tc>
          <w:tcPr>
            <w:tcW w:w="170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6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PD-1 MAB Agonist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Rheumatoid arthritis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the first quarter of 2021.</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70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first quarter of 2021 an Advisory Committee to the FDA concluded</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 pain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60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that the proposed risk evaluation and mitigation strategy will not ensure that</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40"/>
              <w:spacing w:after="0" w:line="231" w:lineRule="exact"/>
              <w:rPr>
                <w:sz w:val="20"/>
                <w:szCs w:val="20"/>
                <w:color w:val="auto"/>
              </w:rPr>
            </w:pPr>
            <w:r>
              <w:rPr>
                <w:rFonts w:ascii="Arial" w:cs="Arial" w:eastAsia="Arial" w:hAnsi="Arial"/>
                <w:sz w:val="18"/>
                <w:szCs w:val="18"/>
                <w:color w:val="auto"/>
              </w:rPr>
              <w:t>Tanezumab</w:t>
            </w:r>
            <w:r>
              <w:rPr>
                <w:rFonts w:ascii="Arial" w:cs="Arial" w:eastAsia="Arial" w:hAnsi="Arial"/>
                <w:sz w:val="23"/>
                <w:szCs w:val="23"/>
                <w:color w:val="auto"/>
                <w:vertAlign w:val="superscript"/>
              </w:rPr>
              <w:t>(5)</w:t>
            </w:r>
          </w:p>
        </w:tc>
        <w:tc>
          <w:tcPr>
            <w:tcW w:w="17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benefits outweigh the risks. In collaboration with Pfizer, we plan to</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6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70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continue to work with the FDA as it continues to review the submission.</w:t>
            </w: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40"/>
        </w:trPr>
        <w:tc>
          <w:tcPr>
            <w:tcW w:w="1700" w:type="dxa"/>
            <w:vAlign w:val="bottom"/>
            <w:tcBorders>
              <w:left w:val="single" w:sz="8" w:color="auto"/>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6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w:t>
            </w:r>
          </w:p>
        </w:tc>
        <w:tc>
          <w:tcPr>
            <w:tcW w:w="1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Early Alzheimer’s</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Announced in the first quarter of 2021 that a Phase II trial met the primary</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endpoint and that we expanded a Phase II trial to become a Phase III trial.</w:t>
            </w:r>
          </w:p>
        </w:tc>
        <w:tc>
          <w:tcPr>
            <w:tcW w:w="0" w:type="dxa"/>
            <w:vAlign w:val="bottom"/>
          </w:tcPr>
          <w:p>
            <w:pPr>
              <w:spacing w:after="0"/>
              <w:rPr>
                <w:sz w:val="1"/>
                <w:szCs w:val="1"/>
                <w:color w:val="auto"/>
              </w:rPr>
            </w:pPr>
          </w:p>
        </w:tc>
      </w:tr>
      <w:tr>
        <w:trPr>
          <w:trHeight w:val="94"/>
        </w:trPr>
        <w:tc>
          <w:tcPr>
            <w:tcW w:w="1700" w:type="dxa"/>
            <w:vAlign w:val="bottom"/>
            <w:tcBorders>
              <w:left w:val="single" w:sz="8" w:color="auto"/>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Preclinical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tcBorders>
              <w:left w:val="single" w:sz="8" w:color="auto"/>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Epiregulin/TGFα</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pain</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MAB</w:t>
            </w:r>
          </w:p>
        </w:tc>
        <w:tc>
          <w:tcPr>
            <w:tcW w:w="17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6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GBA1 Gene</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Parkinson's disease</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Therapy (PR001)</w:t>
            </w:r>
          </w:p>
        </w:tc>
        <w:tc>
          <w:tcPr>
            <w:tcW w:w="17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080" w:type="dxa"/>
            <w:vAlign w:val="bottom"/>
            <w:tcBorders>
              <w:right w:val="single" w:sz="8" w:color="auto"/>
            </w:tcBorders>
            <w:vMerge w:val="restart"/>
          </w:tcPr>
          <w:p>
            <w:pPr>
              <w:ind w:left="20"/>
              <w:spacing w:after="0" w:line="178" w:lineRule="exact"/>
              <w:rPr>
                <w:sz w:val="20"/>
                <w:szCs w:val="20"/>
                <w:color w:val="auto"/>
              </w:rPr>
            </w:pPr>
            <w:r>
              <w:rPr>
                <w:rFonts w:ascii="Arial" w:cs="Arial" w:eastAsia="Arial" w:hAnsi="Arial"/>
                <w:sz w:val="18"/>
                <w:szCs w:val="18"/>
                <w:color w:val="auto"/>
              </w:rPr>
              <w:t>Acquired in the Prevail acquisition in January 2021. Granted FDA Fast</w:t>
            </w:r>
          </w:p>
        </w:tc>
        <w:tc>
          <w:tcPr>
            <w:tcW w:w="0" w:type="dxa"/>
            <w:vAlign w:val="bottom"/>
          </w:tcPr>
          <w:p>
            <w:pPr>
              <w:spacing w:after="0"/>
              <w:rPr>
                <w:sz w:val="1"/>
                <w:szCs w:val="1"/>
                <w:color w:val="auto"/>
              </w:rPr>
            </w:pPr>
          </w:p>
        </w:tc>
      </w:tr>
      <w:tr>
        <w:trPr>
          <w:trHeight w:val="83"/>
        </w:trPr>
        <w:tc>
          <w:tcPr>
            <w:tcW w:w="1700" w:type="dxa"/>
            <w:vAlign w:val="bottom"/>
            <w:tcBorders>
              <w:left w:val="single" w:sz="8" w:color="auto"/>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II trials are ongoing.</w:t>
            </w:r>
          </w:p>
        </w:tc>
        <w:tc>
          <w:tcPr>
            <w:tcW w:w="0" w:type="dxa"/>
            <w:vAlign w:val="bottom"/>
          </w:tcPr>
          <w:p>
            <w:pPr>
              <w:spacing w:after="0"/>
              <w:rPr>
                <w:sz w:val="1"/>
                <w:szCs w:val="1"/>
                <w:color w:val="auto"/>
              </w:rPr>
            </w:pPr>
          </w:p>
        </w:tc>
      </w:tr>
      <w:tr>
        <w:trPr>
          <w:trHeight w:val="254"/>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GRN Gene Therapy</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Frontotemporal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00" w:type="dxa"/>
            <w:vAlign w:val="bottom"/>
            <w:tcBorders>
              <w:left w:val="single" w:sz="8" w:color="auto"/>
              <w:right w:val="single" w:sz="8" w:color="auto"/>
            </w:tcBorders>
            <w:vMerge w:val="continue"/>
          </w:tcPr>
          <w:p>
            <w:pPr>
              <w:spacing w:after="0"/>
              <w:rPr>
                <w:sz w:val="3"/>
                <w:szCs w:val="3"/>
                <w:color w:val="auto"/>
              </w:rPr>
            </w:pPr>
          </w:p>
        </w:tc>
        <w:tc>
          <w:tcPr>
            <w:tcW w:w="1760" w:type="dxa"/>
            <w:vAlign w:val="bottom"/>
            <w:tcBorders>
              <w:right w:val="single" w:sz="8" w:color="auto"/>
            </w:tcBorders>
            <w:vMerge w:val="continue"/>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60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dementia</w:t>
            </w: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PACAP38 Antibody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Chronic pain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Zagotenemab</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Selpercatinib</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Thyroid cancer</w:t>
            </w:r>
          </w:p>
        </w:tc>
        <w:tc>
          <w:tcPr>
            <w:tcW w:w="1560" w:type="dxa"/>
            <w:vAlign w:val="bottom"/>
            <w:tcBorders>
              <w:right w:val="single" w:sz="8" w:color="auto"/>
            </w:tcBorders>
          </w:tcPr>
          <w:p>
            <w:pPr>
              <w:jc w:val="right"/>
              <w:ind w:right="253"/>
              <w:spacing w:after="0"/>
              <w:rPr>
                <w:sz w:val="20"/>
                <w:szCs w:val="20"/>
                <w:color w:val="auto"/>
              </w:rPr>
            </w:pPr>
            <w:r>
              <w:rPr>
                <w:rFonts w:ascii="Arial" w:cs="Arial" w:eastAsia="Arial" w:hAnsi="Arial"/>
                <w:sz w:val="9"/>
                <w:szCs w:val="9"/>
                <w:color w:val="auto"/>
              </w:rPr>
              <w:t>(5)</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conditional marketing authorisation</w:t>
            </w:r>
            <w:r>
              <w:rPr>
                <w:rFonts w:ascii="Arial" w:cs="Arial" w:eastAsia="Arial" w:hAnsi="Arial"/>
                <w:sz w:val="9"/>
                <w:szCs w:val="9"/>
                <w:color w:val="auto"/>
              </w:rPr>
              <w:t>(6)</w:t>
            </w:r>
            <w:r>
              <w:rPr>
                <w:rFonts w:ascii="Arial" w:cs="Arial" w:eastAsia="Arial" w:hAnsi="Arial"/>
                <w:sz w:val="18"/>
                <w:szCs w:val="18"/>
                <w:color w:val="auto"/>
              </w:rPr>
              <w:t xml:space="preserve"> in Europe in the first quarter</w:t>
            </w:r>
          </w:p>
        </w:tc>
        <w:tc>
          <w:tcPr>
            <w:tcW w:w="0" w:type="dxa"/>
            <w:vAlign w:val="bottom"/>
          </w:tcPr>
          <w:p>
            <w:pPr>
              <w:spacing w:after="0"/>
              <w:rPr>
                <w:sz w:val="1"/>
                <w:szCs w:val="1"/>
                <w:color w:val="auto"/>
              </w:rPr>
            </w:pPr>
          </w:p>
        </w:tc>
      </w:tr>
      <w:tr>
        <w:trPr>
          <w:trHeight w:val="27"/>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
                <w:szCs w:val="2"/>
                <w:color w:val="auto"/>
              </w:rPr>
            </w:pPr>
          </w:p>
        </w:tc>
        <w:tc>
          <w:tcPr>
            <w:tcW w:w="1560" w:type="dxa"/>
            <w:vAlign w:val="bottom"/>
            <w:tcBorders>
              <w:right w:val="single" w:sz="8" w:color="auto"/>
            </w:tcBorders>
            <w:vMerge w:val="restart"/>
          </w:tcPr>
          <w:p>
            <w:pPr>
              <w:jc w:val="right"/>
              <w:ind w:right="373"/>
              <w:spacing w:after="0"/>
              <w:rPr>
                <w:sz w:val="20"/>
                <w:szCs w:val="20"/>
                <w:color w:val="auto"/>
              </w:rPr>
            </w:pPr>
            <w:r>
              <w:rPr>
                <w:rFonts w:ascii="Arial" w:cs="Arial" w:eastAsia="Arial" w:hAnsi="Arial"/>
                <w:sz w:val="18"/>
                <w:szCs w:val="18"/>
                <w:color w:val="auto"/>
              </w:rPr>
              <w:t>Launched</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2021. Phase III trials are ongoing.</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Lung cancer</w:t>
            </w:r>
          </w:p>
        </w:tc>
        <w:tc>
          <w:tcPr>
            <w:tcW w:w="1560" w:type="dxa"/>
            <w:vAlign w:val="bottom"/>
            <w:tcBorders>
              <w:bottom w:val="single" w:sz="8" w:color="auto"/>
              <w:right w:val="single" w:sz="8" w:color="auto"/>
            </w:tcBorders>
            <w:vMerge w:val="continue"/>
          </w:tcPr>
          <w:p>
            <w:pPr>
              <w:spacing w:after="0"/>
              <w:rPr>
                <w:sz w:val="21"/>
                <w:szCs w:val="21"/>
                <w:color w:val="auto"/>
              </w:rPr>
            </w:pPr>
          </w:p>
        </w:tc>
        <w:tc>
          <w:tcPr>
            <w:tcW w:w="6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700" w:type="dxa"/>
            <w:vAlign w:val="bottom"/>
            <w:tcBorders>
              <w:left w:val="single" w:sz="8" w:color="auto"/>
              <w:right w:val="single" w:sz="8" w:color="auto"/>
            </w:tcBorders>
          </w:tcPr>
          <w:p>
            <w:pPr>
              <w:spacing w:after="0"/>
              <w:rPr>
                <w:sz w:val="24"/>
                <w:szCs w:val="24"/>
                <w:color w:val="auto"/>
              </w:rPr>
            </w:pP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lymphocytic</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initiated in the first quarter of 2021.</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leukemia</w:t>
            </w:r>
          </w:p>
        </w:tc>
        <w:tc>
          <w:tcPr>
            <w:tcW w:w="1560" w:type="dxa"/>
            <w:vAlign w:val="bottom"/>
            <w:tcBorders>
              <w:right w:val="single" w:sz="8" w:color="auto"/>
            </w:tcBorders>
            <w:vMerge w:val="continue"/>
          </w:tcPr>
          <w:p>
            <w:pPr>
              <w:spacing w:after="0"/>
              <w:rPr>
                <w:sz w:val="10"/>
                <w:szCs w:val="10"/>
                <w:color w:val="auto"/>
              </w:rPr>
            </w:pPr>
          </w:p>
        </w:tc>
        <w:tc>
          <w:tcPr>
            <w:tcW w:w="6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6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(LOXO-305)</w:t>
            </w:r>
          </w:p>
        </w:tc>
        <w:tc>
          <w:tcPr>
            <w:tcW w:w="17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700" w:type="dxa"/>
            <w:vAlign w:val="bottom"/>
            <w:tcBorders>
              <w:left w:val="single" w:sz="8" w:color="auto"/>
              <w:right w:val="single" w:sz="8" w:color="auto"/>
            </w:tcBorders>
            <w:vMerge w:val="continue"/>
          </w:tcPr>
          <w:p>
            <w:pPr>
              <w:spacing w:after="0"/>
              <w:rPr>
                <w:sz w:val="7"/>
                <w:szCs w:val="7"/>
                <w:color w:val="auto"/>
              </w:rPr>
            </w:pPr>
          </w:p>
        </w:tc>
        <w:tc>
          <w:tcPr>
            <w:tcW w:w="1760" w:type="dxa"/>
            <w:vAlign w:val="bottom"/>
            <w:tcBorders>
              <w:right w:val="single" w:sz="8" w:color="auto"/>
            </w:tcBorders>
            <w:vMerge w:val="restart"/>
          </w:tcPr>
          <w:p>
            <w:pPr>
              <w:ind w:left="20"/>
              <w:spacing w:after="0" w:line="182" w:lineRule="exact"/>
              <w:rPr>
                <w:sz w:val="20"/>
                <w:szCs w:val="20"/>
                <w:color w:val="auto"/>
              </w:rPr>
            </w:pPr>
            <w:r>
              <w:rPr>
                <w:rFonts w:ascii="Arial" w:cs="Arial" w:eastAsia="Arial" w:hAnsi="Arial"/>
                <w:sz w:val="18"/>
                <w:szCs w:val="18"/>
                <w:color w:val="auto"/>
              </w:rPr>
              <w:t>Mantle cell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6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60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0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lymphoma</w:t>
            </w:r>
          </w:p>
        </w:tc>
        <w:tc>
          <w:tcPr>
            <w:tcW w:w="1560" w:type="dxa"/>
            <w:vAlign w:val="bottom"/>
            <w:tcBorders>
              <w:right w:val="single" w:sz="8" w:color="auto"/>
            </w:tcBorders>
            <w:vMerge w:val="continue"/>
          </w:tcPr>
          <w:p>
            <w:pPr>
              <w:spacing w:after="0"/>
              <w:rPr>
                <w:sz w:val="11"/>
                <w:szCs w:val="11"/>
                <w:color w:val="auto"/>
              </w:rPr>
            </w:pPr>
          </w:p>
        </w:tc>
        <w:tc>
          <w:tcPr>
            <w:tcW w:w="6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700" w:type="dxa"/>
            <w:vAlign w:val="bottom"/>
            <w:tcBorders>
              <w:left w:val="single" w:sz="8" w:color="auto"/>
              <w:bottom w:val="single" w:sz="8" w:color="auto"/>
              <w:right w:val="single" w:sz="8" w:color="auto"/>
            </w:tcBorders>
          </w:tcPr>
          <w:p>
            <w:pPr>
              <w:spacing w:after="0"/>
              <w:rPr>
                <w:sz w:val="7"/>
                <w:szCs w:val="7"/>
                <w:color w:val="auto"/>
              </w:rPr>
            </w:pPr>
          </w:p>
        </w:tc>
        <w:tc>
          <w:tcPr>
            <w:tcW w:w="1760" w:type="dxa"/>
            <w:vAlign w:val="bottom"/>
            <w:tcBorders>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EUAs remain active for certain countries outside of the U.S.</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In collaboration with Vir Biotechnology, Inc. and GlaxoSmithKline plc.</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In collaboration with Almirall, S.A. (Almirall) in Europe.</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Fast Track designation is designated to expedite the development and review of new therapies to treat serious conditions and address unmet medical needs.</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In collaboration with Pfizer, Inc (Pfizer).</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Continued approval may be contingent on verification and description of clinical benefit in confirmatory Phase III trials.</w:t>
      </w:r>
    </w:p>
    <w:p>
      <w:pPr>
        <w:spacing w:after="0" w:line="103"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As part of our collaboration with Innovent Biologics, Inc. (Innovent), Innovent, with collaboration from us, will pursue the initial registration of sintilimab injection (Tyvyt</w:t>
      </w:r>
      <w:r>
        <w:rPr>
          <w:rFonts w:ascii="Arial" w:cs="Arial" w:eastAsia="Arial" w:hAnsi="Arial"/>
          <w:sz w:val="23"/>
          <w:szCs w:val="23"/>
          <w:color w:val="auto"/>
          <w:vertAlign w:val="superscript"/>
        </w:rPr>
        <w:t>®</w:t>
      </w:r>
      <w:r>
        <w:rPr>
          <w:rFonts w:ascii="Arial" w:cs="Arial" w:eastAsia="Arial" w:hAnsi="Arial"/>
          <w:sz w:val="18"/>
          <w:szCs w:val="18"/>
          <w:color w:val="auto"/>
        </w:rPr>
        <w:t>) in the U.S., and we will pursue initial registration of Tyvyt in other markets and all other subsequent registrations of Tyvyt.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8" w:right="31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are currently in Phase II or Phase III clinical testing, have been submitted for regulatory review, or have received first regulatory approval in the U.S., Europe, or Japan for use in the indication described in 2021. The following table reflects the status of certain NILEX products, including certain other developments since January 1, 2021:</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Heart failure with reduced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Empagliflozin</w:t>
            </w:r>
          </w:p>
        </w:tc>
        <w:tc>
          <w:tcPr>
            <w:tcW w:w="2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120" w:type="dxa"/>
            <w:vAlign w:val="bottom"/>
            <w:tcBorders>
              <w:left w:val="single" w:sz="8" w:color="auto"/>
              <w:right w:val="single" w:sz="8" w:color="auto"/>
            </w:tcBorders>
            <w:vMerge w:val="continue"/>
          </w:tcPr>
          <w:p>
            <w:pPr>
              <w:spacing w:after="0"/>
              <w:rPr>
                <w:sz w:val="13"/>
                <w:szCs w:val="13"/>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kidney disease</w:t>
            </w:r>
          </w:p>
        </w:tc>
        <w:tc>
          <w:tcPr>
            <w:tcW w:w="1620" w:type="dxa"/>
            <w:vAlign w:val="bottom"/>
            <w:tcBorders>
              <w:right w:val="single" w:sz="8" w:color="auto"/>
            </w:tcBorders>
          </w:tcPr>
          <w:p>
            <w:pPr>
              <w:spacing w:after="0"/>
              <w:rPr>
                <w:sz w:val="13"/>
                <w:szCs w:val="13"/>
                <w:color w:val="auto"/>
              </w:rPr>
            </w:pPr>
          </w:p>
        </w:tc>
        <w:tc>
          <w:tcPr>
            <w:tcW w:w="4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120" w:type="dxa"/>
            <w:vAlign w:val="bottom"/>
            <w:tcBorders>
              <w:left w:val="single" w:sz="8" w:color="auto"/>
              <w:right w:val="single" w:sz="8" w:color="auto"/>
            </w:tcBorders>
          </w:tcPr>
          <w:p>
            <w:pPr>
              <w:ind w:left="40"/>
              <w:spacing w:after="0" w:line="255"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r>
              <w:rPr>
                <w:rFonts w:ascii="Arial" w:cs="Arial" w:eastAsia="Arial" w:hAnsi="Arial"/>
                <w:sz w:val="23"/>
                <w:szCs w:val="23"/>
                <w:color w:val="auto"/>
                <w:vertAlign w:val="superscript"/>
              </w:rPr>
              <w:t>(1)</w:t>
            </w:r>
          </w:p>
        </w:tc>
        <w:tc>
          <w:tcPr>
            <w:tcW w:w="2340" w:type="dxa"/>
            <w:vAlign w:val="bottom"/>
            <w:tcBorders>
              <w:bottom w:val="single" w:sz="8" w:color="auto"/>
              <w:right w:val="single" w:sz="8" w:color="auto"/>
            </w:tcBorders>
            <w:vMerge w:val="continue"/>
          </w:tcPr>
          <w:p>
            <w:pPr>
              <w:spacing w:after="0"/>
              <w:rPr>
                <w:sz w:val="22"/>
                <w:szCs w:val="2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8"/>
              </w:rPr>
              <w:t>Granted FDA Fast Track designation</w:t>
            </w:r>
            <w:r>
              <w:rPr>
                <w:rFonts w:ascii="Arial" w:cs="Arial" w:eastAsia="Arial" w:hAnsi="Arial"/>
                <w:sz w:val="23"/>
                <w:szCs w:val="23"/>
                <w:color w:val="auto"/>
                <w:w w:val="98"/>
                <w:vertAlign w:val="superscript"/>
              </w:rPr>
              <w:t>(2)</w:t>
            </w:r>
            <w:r>
              <w:rPr>
                <w:rFonts w:ascii="Arial" w:cs="Arial" w:eastAsia="Arial" w:hAnsi="Arial"/>
                <w:sz w:val="18"/>
                <w:szCs w:val="18"/>
                <w:color w:val="auto"/>
                <w:w w:val="98"/>
              </w:rPr>
              <w:t>. Phase III trials are</w:t>
            </w:r>
          </w:p>
        </w:tc>
        <w:tc>
          <w:tcPr>
            <w:tcW w:w="0" w:type="dxa"/>
            <w:vAlign w:val="bottom"/>
          </w:tcPr>
          <w:p>
            <w:pPr>
              <w:spacing w:after="0"/>
              <w:rPr>
                <w:sz w:val="1"/>
                <w:szCs w:val="1"/>
                <w:color w:val="auto"/>
              </w:rPr>
            </w:pPr>
          </w:p>
        </w:tc>
      </w:tr>
      <w:tr>
        <w:trPr>
          <w:trHeight w:val="47"/>
        </w:trPr>
        <w:tc>
          <w:tcPr>
            <w:tcW w:w="2120" w:type="dxa"/>
            <w:vAlign w:val="bottom"/>
            <w:tcBorders>
              <w:left w:val="single" w:sz="8" w:color="auto"/>
              <w:right w:val="single" w:sz="8" w:color="auto"/>
            </w:tcBorders>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1620" w:type="dxa"/>
            <w:vAlign w:val="bottom"/>
            <w:tcBorders>
              <w:right w:val="single" w:sz="8" w:color="auto"/>
            </w:tcBorders>
            <w:vMerge w:val="continue"/>
          </w:tcPr>
          <w:p>
            <w:pPr>
              <w:spacing w:after="0"/>
              <w:rPr>
                <w:sz w:val="4"/>
                <w:szCs w:val="4"/>
                <w:color w:val="auto"/>
              </w:rPr>
            </w:pPr>
          </w:p>
        </w:tc>
        <w:tc>
          <w:tcPr>
            <w:tcW w:w="46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Heart failure with preserved</w:t>
            </w: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0"/>
        </w:trPr>
        <w:tc>
          <w:tcPr>
            <w:tcW w:w="2120" w:type="dxa"/>
            <w:vAlign w:val="bottom"/>
            <w:tcBorders>
              <w:left w:val="single" w:sz="8" w:color="auto"/>
              <w:right w:val="single" w:sz="8" w:color="auto"/>
            </w:tcBorders>
          </w:tcPr>
          <w:p>
            <w:pPr>
              <w:spacing w:after="0"/>
              <w:rPr>
                <w:sz w:val="6"/>
                <w:szCs w:val="6"/>
                <w:color w:val="auto"/>
              </w:rPr>
            </w:pPr>
          </w:p>
        </w:tc>
        <w:tc>
          <w:tcPr>
            <w:tcW w:w="23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46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ejection fraction</w:t>
            </w: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4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Atopic dermatitis</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Approved</w:t>
            </w: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April 2021 the FDA extended the review period for the</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submission in the U.S. to the third quarter of 2021.</w:t>
            </w:r>
          </w:p>
        </w:tc>
        <w:tc>
          <w:tcPr>
            <w:tcW w:w="0" w:type="dxa"/>
            <w:vAlign w:val="bottom"/>
          </w:tcPr>
          <w:p>
            <w:pPr>
              <w:spacing w:after="0"/>
              <w:rPr>
                <w:sz w:val="1"/>
                <w:szCs w:val="1"/>
                <w:color w:val="auto"/>
              </w:rPr>
            </w:pPr>
          </w:p>
        </w:tc>
      </w:tr>
      <w:tr>
        <w:trPr>
          <w:trHeight w:val="81"/>
        </w:trPr>
        <w:tc>
          <w:tcPr>
            <w:tcW w:w="2120" w:type="dxa"/>
            <w:vAlign w:val="bottom"/>
            <w:tcBorders>
              <w:left w:val="single" w:sz="8" w:color="auto"/>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4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20" w:type="dxa"/>
            <w:vAlign w:val="bottom"/>
            <w:tcBorders>
              <w:left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4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April 2021 that a Phase III trial evaluating</w:t>
            </w:r>
          </w:p>
        </w:tc>
        <w:tc>
          <w:tcPr>
            <w:tcW w:w="0" w:type="dxa"/>
            <w:vAlign w:val="bottom"/>
          </w:tcPr>
          <w:p>
            <w:pPr>
              <w:spacing w:after="0"/>
              <w:rPr>
                <w:sz w:val="1"/>
                <w:szCs w:val="1"/>
                <w:color w:val="auto"/>
              </w:rPr>
            </w:pPr>
          </w:p>
        </w:tc>
      </w:tr>
      <w:tr>
        <w:trPr>
          <w:trHeight w:val="165"/>
        </w:trPr>
        <w:tc>
          <w:tcPr>
            <w:tcW w:w="2120" w:type="dxa"/>
            <w:vAlign w:val="bottom"/>
            <w:tcBorders>
              <w:left w:val="single" w:sz="8" w:color="auto"/>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COVID-19</w:t>
            </w:r>
          </w:p>
        </w:tc>
        <w:tc>
          <w:tcPr>
            <w:tcW w:w="16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color w:val="auto"/>
                <w:w w:val="99"/>
              </w:rPr>
              <w:t>Emergency Use</w:t>
            </w:r>
          </w:p>
        </w:tc>
        <w:tc>
          <w:tcPr>
            <w:tcW w:w="468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baricitinib 4 mg once daily plus standard of care did not</w:t>
            </w:r>
          </w:p>
        </w:tc>
        <w:tc>
          <w:tcPr>
            <w:tcW w:w="0" w:type="dxa"/>
            <w:vAlign w:val="bottom"/>
          </w:tcPr>
          <w:p>
            <w:pPr>
              <w:spacing w:after="0"/>
              <w:rPr>
                <w:sz w:val="1"/>
                <w:szCs w:val="1"/>
                <w:color w:val="auto"/>
              </w:rPr>
            </w:pPr>
          </w:p>
        </w:tc>
      </w:tr>
      <w:tr>
        <w:trPr>
          <w:trHeight w:val="186"/>
        </w:trPr>
        <w:tc>
          <w:tcPr>
            <w:tcW w:w="2120" w:type="dxa"/>
            <w:vAlign w:val="bottom"/>
            <w:tcBorders>
              <w:left w:val="single" w:sz="8" w:color="auto"/>
              <w:right w:val="single" w:sz="8" w:color="auto"/>
            </w:tcBorders>
          </w:tcPr>
          <w:p>
            <w:pPr>
              <w:spacing w:after="0"/>
              <w:rPr>
                <w:sz w:val="16"/>
                <w:szCs w:val="16"/>
                <w:color w:val="auto"/>
              </w:rPr>
            </w:pPr>
          </w:p>
        </w:tc>
        <w:tc>
          <w:tcPr>
            <w:tcW w:w="2340" w:type="dxa"/>
            <w:vAlign w:val="bottom"/>
            <w:tcBorders>
              <w:right w:val="single" w:sz="8" w:color="auto"/>
            </w:tcBorders>
            <w:vMerge w:val="continue"/>
          </w:tcPr>
          <w:p>
            <w:pPr>
              <w:spacing w:after="0"/>
              <w:rPr>
                <w:sz w:val="16"/>
                <w:szCs w:val="16"/>
                <w:color w:val="auto"/>
              </w:rPr>
            </w:pPr>
          </w:p>
        </w:tc>
        <w:tc>
          <w:tcPr>
            <w:tcW w:w="16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Authorization</w:t>
            </w:r>
            <w:r>
              <w:rPr>
                <w:rFonts w:ascii="Arial" w:cs="Arial" w:eastAsia="Arial" w:hAnsi="Arial"/>
                <w:sz w:val="21"/>
                <w:szCs w:val="21"/>
                <w:color w:val="auto"/>
                <w:vertAlign w:val="superscript"/>
              </w:rPr>
              <w:t>(3)</w:t>
            </w:r>
          </w:p>
        </w:tc>
        <w:tc>
          <w:tcPr>
            <w:tcW w:w="468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meet the primary endpoint, but did result in a significant</w:t>
            </w:r>
          </w:p>
        </w:tc>
        <w:tc>
          <w:tcPr>
            <w:tcW w:w="0" w:type="dxa"/>
            <w:vAlign w:val="bottom"/>
          </w:tcPr>
          <w:p>
            <w:pPr>
              <w:spacing w:after="0"/>
              <w:rPr>
                <w:sz w:val="1"/>
                <w:szCs w:val="1"/>
                <w:color w:val="auto"/>
              </w:rPr>
            </w:pPr>
          </w:p>
        </w:tc>
      </w:tr>
      <w:tr>
        <w:trPr>
          <w:trHeight w:val="311"/>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reduction in death.</w:t>
            </w:r>
          </w:p>
        </w:tc>
        <w:tc>
          <w:tcPr>
            <w:tcW w:w="0" w:type="dxa"/>
            <w:vAlign w:val="bottom"/>
          </w:tcPr>
          <w:p>
            <w:pPr>
              <w:spacing w:after="0"/>
              <w:rPr>
                <w:sz w:val="1"/>
                <w:szCs w:val="1"/>
                <w:color w:val="auto"/>
              </w:rPr>
            </w:pPr>
          </w:p>
        </w:tc>
      </w:tr>
      <w:tr>
        <w:trPr>
          <w:trHeight w:val="276"/>
        </w:trPr>
        <w:tc>
          <w:tcPr>
            <w:tcW w:w="212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Alopecia areata</w:t>
            </w:r>
          </w:p>
        </w:tc>
        <w:tc>
          <w:tcPr>
            <w:tcW w:w="16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Announced in the first quarter of 2021 and in April 2021</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that Phase III trials met the primary endpoint. Phase III</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108"/>
        </w:trPr>
        <w:tc>
          <w:tcPr>
            <w:tcW w:w="2120" w:type="dxa"/>
            <w:vAlign w:val="bottom"/>
            <w:tcBorders>
              <w:left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Systemic lupus</w:t>
            </w: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22"/>
        </w:trPr>
        <w:tc>
          <w:tcPr>
            <w:tcW w:w="212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620" w:type="dxa"/>
            <w:vAlign w:val="bottom"/>
            <w:tcBorders>
              <w:right w:val="single" w:sz="8" w:color="auto"/>
            </w:tcBorders>
          </w:tcPr>
          <w:p>
            <w:pPr>
              <w:spacing w:after="0"/>
              <w:rPr>
                <w:sz w:val="10"/>
                <w:szCs w:val="10"/>
                <w:color w:val="auto"/>
              </w:rPr>
            </w:pPr>
          </w:p>
        </w:tc>
        <w:tc>
          <w:tcPr>
            <w:tcW w:w="4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20" w:type="dxa"/>
            <w:vAlign w:val="bottom"/>
            <w:tcBorders>
              <w:left w:val="single" w:sz="8" w:color="auto"/>
              <w:right w:val="single" w:sz="8" w:color="auto"/>
            </w:tcBorders>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120" w:type="dxa"/>
            <w:vAlign w:val="bottom"/>
            <w:tcBorders>
              <w:left w:val="single" w:sz="8" w:color="auto"/>
              <w:right w:val="single" w:sz="8" w:color="auto"/>
            </w:tcBorders>
          </w:tcPr>
          <w:p>
            <w:pPr>
              <w:spacing w:after="0"/>
              <w:rPr>
                <w:sz w:val="21"/>
                <w:szCs w:val="21"/>
                <w:color w:val="auto"/>
              </w:rPr>
            </w:pPr>
          </w:p>
        </w:tc>
        <w:tc>
          <w:tcPr>
            <w:tcW w:w="23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the first quarter of 2021 patient-reported</w:t>
            </w:r>
          </w:p>
        </w:tc>
        <w:tc>
          <w:tcPr>
            <w:tcW w:w="0" w:type="dxa"/>
            <w:vAlign w:val="bottom"/>
          </w:tcPr>
          <w:p>
            <w:pPr>
              <w:spacing w:after="0"/>
              <w:rPr>
                <w:sz w:val="1"/>
                <w:szCs w:val="1"/>
                <w:color w:val="auto"/>
              </w:rPr>
            </w:pPr>
          </w:p>
        </w:tc>
      </w:tr>
      <w:tr>
        <w:trPr>
          <w:trHeight w:val="175"/>
        </w:trPr>
        <w:tc>
          <w:tcPr>
            <w:tcW w:w="2120" w:type="dxa"/>
            <w:vAlign w:val="bottom"/>
            <w:tcBorders>
              <w:left w:val="single" w:sz="8" w:color="auto"/>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Adjuvant breast cancer</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Submitted</w:t>
            </w:r>
          </w:p>
        </w:tc>
        <w:tc>
          <w:tcPr>
            <w:tcW w:w="46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outcomes in combination with standard adjuvant</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40" w:type="dxa"/>
            <w:vAlign w:val="bottom"/>
            <w:tcBorders>
              <w:right w:val="single" w:sz="8" w:color="auto"/>
            </w:tcBorders>
            <w:vMerge w:val="continue"/>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endocrine therapy. Submitted in Japan in the first quarter</w:t>
            </w:r>
          </w:p>
        </w:tc>
        <w:tc>
          <w:tcPr>
            <w:tcW w:w="0" w:type="dxa"/>
            <w:vAlign w:val="bottom"/>
          </w:tcPr>
          <w:p>
            <w:pPr>
              <w:spacing w:after="0"/>
              <w:rPr>
                <w:sz w:val="1"/>
                <w:szCs w:val="1"/>
                <w:color w:val="auto"/>
              </w:rPr>
            </w:pPr>
          </w:p>
        </w:tc>
      </w:tr>
      <w:tr>
        <w:trPr>
          <w:trHeight w:val="217"/>
        </w:trPr>
        <w:tc>
          <w:tcPr>
            <w:tcW w:w="212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2021.</w:t>
            </w:r>
          </w:p>
        </w:tc>
        <w:tc>
          <w:tcPr>
            <w:tcW w:w="0" w:type="dxa"/>
            <w:vAlign w:val="bottom"/>
          </w:tcPr>
          <w:p>
            <w:pPr>
              <w:spacing w:after="0"/>
              <w:rPr>
                <w:sz w:val="1"/>
                <w:szCs w:val="1"/>
                <w:color w:val="auto"/>
              </w:rPr>
            </w:pPr>
          </w:p>
        </w:tc>
      </w:tr>
      <w:tr>
        <w:trPr>
          <w:trHeight w:val="40"/>
        </w:trPr>
        <w:tc>
          <w:tcPr>
            <w:tcW w:w="2120" w:type="dxa"/>
            <w:vAlign w:val="bottom"/>
            <w:tcBorders>
              <w:left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4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120" w:type="dxa"/>
            <w:vAlign w:val="bottom"/>
            <w:tcBorders>
              <w:left w:val="single" w:sz="8" w:color="auto"/>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Prostate cancer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Phase II</w:t>
            </w: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designated to expedite the development and review of new therapies to treat serious conditions and address unmet medical needs.</w:t>
      </w:r>
    </w:p>
    <w:p>
      <w:pPr>
        <w:spacing w:after="0" w:line="44"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FDA granted EUA in combination with remdesivir in hospitalized COVID-19 patients.</w:t>
      </w:r>
    </w:p>
    <w:p>
      <w:pPr>
        <w:spacing w:after="0" w:line="44" w:lineRule="exact"/>
        <w:rPr>
          <w:rFonts w:ascii="Arial" w:cs="Arial" w:eastAsia="Arial" w:hAnsi="Arial"/>
          <w:sz w:val="18"/>
          <w:szCs w:val="18"/>
          <w:color w:val="auto"/>
          <w:vertAlign w:val="superscript"/>
        </w:rPr>
      </w:pPr>
    </w:p>
    <w:p>
      <w:pPr>
        <w:ind w:left="180" w:right="40" w:hanging="172"/>
        <w:spacing w:after="0" w:line="211" w:lineRule="auto"/>
        <w:tabs>
          <w:tab w:leader="none" w:pos="172"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expect the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vitamin regimen patents to provide us with patent protection for Alimta through June 2021 in major European countries and Japan and through May 2022 in the U.S. These patents have been challenged in each of these jurisdictions and in many cases have been finally resolved in our favor. However, we and Eagle Pharmaceuticals, Inc. (Eagle) reached an agreement in December 2019 to settle all pending U.S. patent litigation, allowing Eagle a limited initial entry into the market with its product starting February 2022 (up to an approximate three-week supply) and subsequent unlimited entry starting April 2022. We expect that the entry of generic competition in the U.S., major European countries, and Japan following the loss of patent exclusivity will cause a rapid and severe decline in revenue, and we expect that the entry of generic competition in the U.S. will have a material adverse effect on our consolidated results of operations and cash flows.</w:t>
      </w:r>
    </w:p>
    <w:p>
      <w:pPr>
        <w:spacing w:after="0" w:line="10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See Note 9 to the consolidated condensed financial statements for a more detailed account of the legal proceedings currently pending regarding, among others, our Alimta patents.</w:t>
      </w:r>
    </w:p>
    <w:p>
      <w:pPr>
        <w:spacing w:after="0" w:line="7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100" w:lineRule="exact"/>
        <w:rPr>
          <w:sz w:val="20"/>
          <w:szCs w:val="20"/>
          <w:color w:val="auto"/>
        </w:rPr>
      </w:pPr>
    </w:p>
    <w:p>
      <w:pPr>
        <w:ind w:right="860"/>
        <w:spacing w:after="0" w:line="225" w:lineRule="auto"/>
        <w:rPr>
          <w:sz w:val="20"/>
          <w:szCs w:val="20"/>
          <w:color w:val="auto"/>
        </w:rPr>
      </w:pPr>
      <w:r>
        <w:rPr>
          <w:rFonts w:ascii="Arial" w:cs="Arial" w:eastAsia="Arial" w:hAnsi="Arial"/>
          <w:sz w:val="18"/>
          <w:szCs w:val="18"/>
          <w:color w:val="auto"/>
        </w:rPr>
        <w:t>The formulation and use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expired in major markets. We expect further decline in revenue as a result of the anticipated entry of generic and biosimilar competition due to the loss of patent exclusivity in major markets.</w:t>
      </w:r>
    </w:p>
    <w:p>
      <w:pPr>
        <w:spacing w:after="0" w:line="98"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Our compound patent protection for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Japan in January 2020. We expect generics to enter the market in mid-2021. We expect that the entry of generic competition will cause a rapid and severe decline in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79" w:lineRule="exact"/>
        <w:rPr>
          <w:sz w:val="20"/>
          <w:szCs w:val="20"/>
          <w:color w:val="auto"/>
        </w:rPr>
      </w:pPr>
    </w:p>
    <w:p>
      <w:pPr>
        <w:ind w:right="3520"/>
        <w:spacing w:after="0" w:line="386" w:lineRule="auto"/>
        <w:rPr>
          <w:sz w:val="20"/>
          <w:szCs w:val="20"/>
          <w:color w:val="auto"/>
        </w:rPr>
      </w:pPr>
      <w:r>
        <w:rPr>
          <w:rFonts w:ascii="Arial" w:cs="Arial" w:eastAsia="Arial" w:hAnsi="Arial"/>
          <w:sz w:val="18"/>
          <w:szCs w:val="18"/>
          <w:i w:val="1"/>
          <w:iCs w:val="1"/>
          <w:u w:val="single" w:color="auto"/>
          <w:color w:val="auto"/>
        </w:rPr>
        <w:t xml:space="preserve">Trends Affecting Pharmaceutical Pricing, Reimbursement, Access, and Other Regulatory Matters </w:t>
      </w:r>
      <w:r>
        <w:rPr>
          <w:rFonts w:ascii="Arial" w:cs="Arial" w:eastAsia="Arial" w:hAnsi="Arial"/>
          <w:sz w:val="18"/>
          <w:szCs w:val="18"/>
          <w:i w:val="1"/>
          <w:iCs w:val="1"/>
          <w:color w:val="auto"/>
        </w:rPr>
        <w:t>U.S.</w:t>
      </w:r>
    </w:p>
    <w:p>
      <w:pPr>
        <w:ind w:right="40"/>
        <w:spacing w:after="0" w:line="254"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Evolving regulatory priorities could further intensify these efforts and otherwise increase regulatory scrutiny over our operations. Key health policy initiatives affecting biopharmaceuticals include:</w:t>
      </w:r>
    </w:p>
    <w:p>
      <w:pPr>
        <w:spacing w:after="0" w:line="96" w:lineRule="exact"/>
        <w:rPr>
          <w:sz w:val="20"/>
          <w:szCs w:val="20"/>
          <w:color w:val="auto"/>
        </w:rPr>
      </w:pPr>
    </w:p>
    <w:p>
      <w:pPr>
        <w:ind w:left="660" w:right="3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and subsequent stimulus bills that focus on ensuring availability and access to lifesaving drugs during a public health crisis,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(HHS) to negotiate prices for biologics and drugs in Medicare,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0" w:name="page41"/>
    <w:bookmarkEnd w:id="40"/>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proposals to permit importation of pharmaceuticals, including insulin, intended for sale in foreign markets, and</w:t>
      </w:r>
    </w:p>
    <w:p>
      <w:pPr>
        <w:spacing w:after="0" w:line="117" w:lineRule="exact"/>
        <w:rPr>
          <w:rFonts w:ascii="Arial" w:cs="Arial" w:eastAsia="Arial" w:hAnsi="Arial"/>
          <w:sz w:val="18"/>
          <w:szCs w:val="18"/>
          <w:color w:val="auto"/>
        </w:rPr>
      </w:pPr>
    </w:p>
    <w:p>
      <w:pPr>
        <w:jc w:val="both"/>
        <w:ind w:left="660" w:right="420" w:hanging="328"/>
        <w:spacing w:after="0" w:line="27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Biden administration's regulatory rule freeze affecting all federal agency rules that had not gone into effect as of January 20, 2021, impacting the implementation or effectiveness, as applicable, of final rules related to the 340B prescription drug program, rebate reform in Medicare Part D, drug importation including insulin, and foreign reference pricing in Medicare Parts B and D.</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 2020, we announced we would distribute all 340B ceiling priced products directly to covered entities and their child sites only. We provide 340B discounts to a contract pharmacy only if it is a wholly owned subsidiary of a covered entity, if a covered entity does not have an in-house retail pharmacy or, in the case of insulin, if the subject covered entity and its contract pharmacies agree to pass along the discount to patients without any markup for dispensing fees and without billing insurance or collecting duplicate discounts. We have been transparent with regulators on our distribution activity and continue to comply with all 340B program requirements. Certain covered entities and their trade associations have initiated litigation questioning whether our program, and similar actions by other manufacturers, violate 340B program requirements.</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October 9, 2020, three covered entities sued HHS and the Health Resources and Services Administration (HRSA) in the U.S. District Court for the District of Columbia seeking to compel the agencies to take enforcement action against us and three other companies, among other requested relief. On October 21, 2020, a trade association representing certain covered entities sued HHS in the same court seeking to compel the agency to promulgate administrative dispute resolution regulations. On December 11, 2020, a number of associations and entities filed suit against HHS in the U.S. District Court for the Northern District of California requesting immediate enforcement of the contract pharmacy guidance. On December 31, 2020, the General Counsel of HHS issued an advisory opinion alleging that honoring contract pharmacy agreements is mandatory. In January 2021, we filed suit against HHS, the Secretary of HHS, the HRSA, and the Administrator of the HRSA in the U.S. District Court for the Southern District of Indiana seeking a declaratory judgment that HHS's attempt to require manufacturers to permit contract pharmacy distribution is unlawful and a preliminary injunction enjoining implementation of the administrative dispute resolution process created by defendants and, with it, their application of the advisory opinion, and other related relief. On March 16, 2021, the U.S. District Court for the Southern District of Indiana issued an order granting our request for a preliminary injunction. See Note 9 to the consolidated condensed financial statements for additional information.</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or future legislation will have on our business. Several states have also passed importation legislation, including Colorado, Florida, Maine, New Hampshire, New Mexico, and Vermont. As of late 2020 several of these states were actively working with the former presidential administration to implement an importation program from Canada. On November 22, 2020, Florida announced it submitted a proposed importation plan to the U.S. In 2020, HHS and the FDA also took several actions to advance state importation initiatives, including issuing requests for proposals for personal importation and reimportation of insulin and a final rule on the Importation of Prescription Drugs. We continue to review these state proposals and legislation, as well as federal rules, commentary to the rulemaking, and guidance published by HHS and the FDA, the impact of which is uncertain at this time. Currently, it is unclear if the Biden administration will adopt any of the importation initiatives put forth by the former presidential administration. We will continue to monitor and assess these developments.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1" w:name="page42"/>
    <w:bookmarkEnd w:id="41"/>
    <w:p>
      <w:pPr>
        <w:ind w:right="40"/>
        <w:spacing w:after="0" w:line="273" w:lineRule="auto"/>
        <w:rPr>
          <w:sz w:val="20"/>
          <w:szCs w:val="20"/>
          <w:color w:val="auto"/>
        </w:rPr>
      </w:pPr>
      <w:r>
        <w:rPr>
          <w:rFonts w:ascii="Arial" w:cs="Arial" w:eastAsia="Arial" w:hAnsi="Arial"/>
          <w:sz w:val="17"/>
          <w:szCs w:val="17"/>
          <w:color w:val="auto"/>
        </w:rPr>
        <w:t>In the private sector, consolidation and integration among healthcare providers significantly affects the competitive marketplace for pharmaceuticals. Health plans, pharmacy benefit managers, wholesalers, and other supply chain stakeholders have been consolidating into fewer, larger entities, thus enhancing their purchasing strength and importance. Private third-party insurers, as well as governments, typically maintain formularies that specify coverage (the conditions under which drugs are included on a plan's formulary) and reimbursement (the</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associated out-of-pocket cost to the consumer) to control costs by negotiating discounted prices in exchange for formulary inclusion.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pricing is based on achievement (or not) of specified outcomes, are another tool that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We anticipate these downward pricing pressures will continue to negatively affect our consolidated results of operations. In addition to formulary placement, changes in insurance designs continue to drive greater consumer cost-sharing through high deductible plans and higher co-insurance or co-pays. We continue to invest in patient affordability solutions (resulting in lower revenue) in an effort to assist patients in affording their medicines.</w:t>
      </w:r>
    </w:p>
    <w:p>
      <w:pPr>
        <w:spacing w:after="0" w:line="1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31, 2020, the Centers for Medicare and Medicaid Services published in the Federal Register a final regulation impacting the rules for calculating Medicaid rebate amounts, though the provision most likely to have a material impact on us relates to the inclusion of copayment assistance programs in best price and will take effect January 1, 2023. We are evaluating the impact of this regulation. We do not anticipate the changes related to "line extensions," which are scheduled to take effect January 1, 2022, to be material.</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March 11, 2021, President Biden signed into law the American Rescue Plan Act of 2021 (ARP). Section 9816 of the ARP removed Medicaid's maximum rebate percentage effective January 1, 2024. We are evaluating the impact of this legislation. We expect to see continued focus on regulating pricing, potentially resulting in additional legislation and regulation under the newly elected Congress and the Biden administration.</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evolving regulatory priorities have intensified governmental scrutiny of our operations, including our compliance with cGMP, quality assurance, and similar regulations.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pending resolution of the issues, and reputational harm, any of which would adversely affect our business. See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anticipated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pharmaceutical products. The COVID-19 pandemic is also creating additional pressure on health systems worldwide. As a result, cost containment and other measures may intensify as governments manage and emerge from the pandemic.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affect our effective tax rate, results of operations, and cash flows. Countries around the world, including the U.S., are actively considering and enacting tax law changes. The Biden administration's tax proposal contains significant changes, including increases to the tax rates at which both domestic and foreign income of U.S. companies would be taxed. Further, actions taken with respect to tax-related matters by associations such as the Organisation for Economic Co-operation and Development and the European Commission could influence tax policy in countries in which we operate. In addition, global tax authorities routinely examine our tax returns and are expected to become more aggressive in their examinations of profit allocations among jurisdictions, which could affect our anticipated tax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strategically invest in external research and technologies that we believe to complement and strengthen our own efforts. These investments can take many forms, including acquisitions, strategic alliances, collaborations, investments, and licensing arrangements. We view our business development activity as an important way to achieve our strategies, as we seek to bolster our pipeline and enhance shareholder value. We continuously evaluate business development transactions that have the potential to strengthen our business.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2020, we acquired all shares of Dermira for a purchase price of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 cloth, a medicated cloth for the topical treatment of primary axillary hyperhidrosis (uncontrolled excessive underarm sweating). During the three months ended March 31, 2021, we decided to sell the rights to Qbrexza. See Note 5 to the consolidated condensed financial statements for additional information.</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to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Under the terms of the agreement, we acquired a gene therapy program for patients with neurodegenerative diseases.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9"/>
        </w:trPr>
        <w:tc>
          <w:tcPr>
            <w:tcW w:w="6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gridSpan w:val="2"/>
          </w:tcPr>
          <w:p>
            <w:pPr>
              <w:jc w:val="right"/>
              <w:ind w:right="435"/>
              <w:spacing w:after="0"/>
              <w:rPr>
                <w:sz w:val="20"/>
                <w:szCs w:val="20"/>
                <w:color w:val="auto"/>
              </w:rPr>
            </w:pPr>
            <w:r>
              <w:rPr>
                <w:rFonts w:ascii="Arial" w:cs="Arial" w:eastAsia="Arial" w:hAnsi="Arial"/>
                <w:sz w:val="18"/>
                <w:szCs w:val="18"/>
                <w:b w:val="1"/>
                <w:bCs w:val="1"/>
                <w:color w:val="auto"/>
              </w:rPr>
              <w:t>Revenue</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6900" w:type="dxa"/>
            <w:vAlign w:val="bottom"/>
            <w:gridSpan w:val="2"/>
          </w:tcPr>
          <w:p>
            <w:pPr>
              <w:spacing w:after="0"/>
              <w:rPr>
                <w:sz w:val="20"/>
                <w:szCs w:val="20"/>
                <w:color w:val="auto"/>
              </w:rPr>
            </w:pPr>
            <w:r>
              <w:rPr>
                <w:rFonts w:ascii="Arial" w:cs="Arial" w:eastAsia="Arial" w:hAnsi="Arial"/>
                <w:sz w:val="18"/>
                <w:szCs w:val="18"/>
                <w:color w:val="auto"/>
              </w:rPr>
              <w:t>The following table summarizes our revenue activity by region:</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6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Pr>
          <w:p>
            <w:pPr>
              <w:spacing w:after="0"/>
              <w:rPr>
                <w:sz w:val="24"/>
                <w:szCs w:val="24"/>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3,941.3</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2,864.3</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2,531.0</w:t>
            </w:r>
          </w:p>
        </w:tc>
        <w:tc>
          <w:tcPr>
            <w:tcW w:w="136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color w:val="auto"/>
              </w:rPr>
              <w:t>13</w:t>
            </w:r>
          </w:p>
        </w:tc>
      </w:tr>
      <w:tr>
        <w:trPr>
          <w:trHeight w:val="243"/>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6,805.6</w:t>
            </w:r>
          </w:p>
        </w:tc>
        <w:tc>
          <w:tcPr>
            <w:tcW w:w="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r>
      <w:tr>
        <w:trPr>
          <w:trHeight w:val="272"/>
        </w:trPr>
        <w:tc>
          <w:tcPr>
            <w:tcW w:w="6900" w:type="dxa"/>
            <w:vAlign w:val="bottom"/>
            <w:gridSpan w:val="2"/>
          </w:tcPr>
          <w:p>
            <w:pPr>
              <w:spacing w:after="0"/>
              <w:rPr>
                <w:sz w:val="20"/>
                <w:szCs w:val="20"/>
                <w:color w:val="auto"/>
              </w:rPr>
            </w:pPr>
            <w:r>
              <w:rPr>
                <w:rFonts w:ascii="Arial" w:cs="Arial" w:eastAsia="Arial" w:hAnsi="Arial"/>
                <w:sz w:val="14"/>
                <w:szCs w:val="14"/>
                <w:color w:val="auto"/>
              </w:rPr>
              <w:t>Numbers may not add due to rounding.</w:t>
            </w: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63"/>
        </w:trPr>
        <w:tc>
          <w:tcPr>
            <w:tcW w:w="6900" w:type="dxa"/>
            <w:vAlign w:val="bottom"/>
            <w:gridSpan w:val="2"/>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6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Pr>
          <w:p>
            <w:pPr>
              <w:spacing w:after="0"/>
              <w:rPr>
                <w:sz w:val="24"/>
                <w:szCs w:val="24"/>
                <w:color w:val="auto"/>
              </w:rPr>
            </w:pPr>
          </w:p>
        </w:tc>
      </w:tr>
      <w:tr>
        <w:trPr>
          <w:trHeight w:val="189"/>
        </w:trPr>
        <w:tc>
          <w:tcPr>
            <w:tcW w:w="63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512"/>
              <w:spacing w:after="0"/>
              <w:rPr>
                <w:sz w:val="20"/>
                <w:szCs w:val="20"/>
                <w:color w:val="auto"/>
              </w:rPr>
            </w:pPr>
            <w:r>
              <w:rPr>
                <w:rFonts w:ascii="Arial" w:cs="Arial" w:eastAsia="Arial" w:hAnsi="Arial"/>
                <w:sz w:val="14"/>
                <w:szCs w:val="14"/>
                <w:b w:val="1"/>
                <w:bCs w:val="1"/>
                <w:color w:val="auto"/>
              </w:rPr>
              <w:t>2021 vs. 2020</w:t>
            </w:r>
          </w:p>
        </w:tc>
        <w:tc>
          <w:tcPr>
            <w:tcW w:w="1360" w:type="dxa"/>
            <w:vAlign w:val="bottom"/>
            <w:tcBorders>
              <w:bottom w:val="single" w:sz="8" w:color="auto"/>
            </w:tcBorders>
          </w:tcPr>
          <w:p>
            <w:pPr>
              <w:spacing w:after="0"/>
              <w:rPr>
                <w:sz w:val="16"/>
                <w:szCs w:val="16"/>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572"/>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40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(4)</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6</w:t>
            </w:r>
          </w:p>
        </w:tc>
        <w:tc>
          <w:tcPr>
            <w:tcW w:w="1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18 %</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13 %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estimate that revenue for the three months ended March 31, 2020 for many of our products was favorably impacted by increased customer buying patterns and patient prescription trends resulting from the COVID-19 pandemic that increased revenue by approximately $250 million worldwide, including approximately $200 million in the U.S. and approximately $50 million outside the U.S. We believe that this increase in U.S. revenue primarily impacted our diabetes portfolio, with estimated increases of approximately $70 million to $ 80 million for insulin products and approximately $30 million to $40 million for Trulicity</w:t>
      </w:r>
      <w:r>
        <w:rPr>
          <w:rFonts w:ascii="Arial" w:cs="Arial" w:eastAsia="Arial" w:hAnsi="Arial"/>
          <w:sz w:val="23"/>
          <w:szCs w:val="23"/>
          <w:color w:val="auto"/>
          <w:vertAlign w:val="superscript"/>
        </w:rPr>
        <w:t>®</w:t>
      </w:r>
      <w:r>
        <w:rPr>
          <w:rFonts w:ascii="Arial" w:cs="Arial" w:eastAsia="Arial" w:hAnsi="Arial"/>
          <w:sz w:val="18"/>
          <w:szCs w:val="18"/>
          <w:color w:val="auto"/>
        </w:rPr>
        <w:t>. We also estimate that U.S. revenue for Taltz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favorably impacted by approximately $20 million to $25 million.</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U.S. for the three months ended March 31, 2021, the increase in volume was primarily driven by COVID-19 antibodies, Trulicity, and Taltz, partially offset by lower volume for Alimta. In the U.S. for the three months ended March 31, 2021, the decrease in realized prices was primarily driven by increased rebates to gain broad commercial access for Taltz, partially offset by modest list price increases. Segment mix was not a major driver of U.S. price performance during the three months ended March 31, 2021, as increased utilization in more highly-rebated government segments was offset by lower utilization in the 340B segment, primarily for the diabetes portfolio.</w:t>
      </w:r>
    </w:p>
    <w:p>
      <w:pPr>
        <w:spacing w:after="0" w:line="97"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Outside the U.S. for the three months ended March 31, 2021, the increase in volume was primarily driven by COVID-19 antibodies, Alimta, Olumiant, Tyvyt, and Verzenio, partially offset by decreased volume for Cialis</w:t>
      </w:r>
      <w:r>
        <w:rPr>
          <w:rFonts w:ascii="Arial" w:cs="Arial" w:eastAsia="Arial" w:hAnsi="Arial"/>
          <w:sz w:val="23"/>
          <w:szCs w:val="23"/>
          <w:color w:val="auto"/>
          <w:vertAlign w:val="superscript"/>
        </w:rPr>
        <w:t>®</w:t>
      </w:r>
      <w:r>
        <w:rPr>
          <w:rFonts w:ascii="Arial" w:cs="Arial" w:eastAsia="Arial" w:hAnsi="Arial"/>
          <w:sz w:val="18"/>
          <w:szCs w:val="18"/>
          <w:color w:val="auto"/>
        </w:rPr>
        <w:t>, Forteo, and Cymbalta.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summarizes our revenue activity by product for the three months ended March 31, 2021 and 2020:</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7"/>
                <w:szCs w:val="17"/>
                <w:color w:val="auto"/>
              </w:rPr>
            </w:pPr>
          </w:p>
        </w:tc>
      </w:tr>
      <w:tr>
        <w:trPr>
          <w:trHeight w:val="35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335.7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18</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 xml:space="preserve">COVID-19 antibodies </w:t>
            </w:r>
            <w:r>
              <w:rPr>
                <w:rFonts w:ascii="Arial" w:cs="Arial" w:eastAsia="Arial" w:hAnsi="Arial"/>
                <w:sz w:val="9"/>
                <w:szCs w:val="9"/>
                <w:b w:val="1"/>
                <w:bCs w:val="1"/>
                <w:color w:val="auto"/>
              </w:rPr>
              <w:t>(1)</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650.6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159.5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9"/>
                <w:szCs w:val="9"/>
                <w:b w:val="1"/>
                <w:bCs w:val="1"/>
                <w:color w:val="auto"/>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284.4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(11)</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261.1</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297.8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560.1</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249.6</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(9)</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219.0</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102.7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315.7</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9"/>
                <w:szCs w:val="9"/>
                <w:b w:val="1"/>
                <w:bCs w:val="1"/>
                <w:color w:val="auto"/>
              </w:rPr>
              <w:t>(3)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151.2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160.8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17</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172.8</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96.2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43</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(19)</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80.2</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160.3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239.0</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97.7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(27)</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24.7</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169.1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39</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165.7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(16)</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Cialis</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118.1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(34)</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(6)</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101.5</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18.0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61</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Tyvyt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2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91</w:t>
            </w:r>
          </w:p>
        </w:tc>
      </w:tr>
      <w:tr>
        <w:trPr>
          <w:trHeight w:val="229"/>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6.9</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88.9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w:t>
            </w:r>
          </w:p>
        </w:tc>
        <w:tc>
          <w:tcPr>
            <w:tcW w:w="1420" w:type="dxa"/>
            <w:vAlign w:val="bottom"/>
          </w:tcPr>
          <w:p>
            <w:pPr>
              <w:jc w:val="center"/>
              <w:ind w:left="31"/>
              <w:spacing w:after="0"/>
              <w:rPr>
                <w:sz w:val="20"/>
                <w:szCs w:val="20"/>
                <w:color w:val="auto"/>
              </w:rPr>
            </w:pPr>
            <w:r>
              <w:rPr>
                <w:rFonts w:ascii="Arial" w:cs="Arial" w:eastAsia="Arial" w:hAnsi="Arial"/>
                <w:sz w:val="18"/>
                <w:szCs w:val="18"/>
                <w:color w:val="auto"/>
                <w:w w:val="99"/>
              </w:rPr>
              <w:t>(3)</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173.8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257.2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42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3,941.3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2,864.3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6,805.6</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5,859.8</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9"/>
              </w:rPr>
              <w:t>16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55" w:lineRule="exact"/>
        <w:rPr>
          <w:sz w:val="20"/>
          <w:szCs w:val="20"/>
          <w:color w:val="auto"/>
        </w:rPr>
      </w:pPr>
    </w:p>
    <w:p>
      <w:pPr>
        <w:ind w:firstLine="8"/>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COVID-19 antibodies include sales for bamlanivimab administered alone as well as sales for bamlanivimab and etesevimab administered together and were made pursuant to EUAs.</w:t>
      </w:r>
    </w:p>
    <w:p>
      <w:pPr>
        <w:spacing w:after="0" w:line="18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spacing w:after="0" w:line="43"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2"/>
          <w:szCs w:val="12"/>
          <w:color w:val="auto"/>
        </w:rPr>
        <w:t>, Synjardy</w:t>
      </w:r>
      <w:r>
        <w:rPr>
          <w:rFonts w:ascii="Arial" w:cs="Arial" w:eastAsia="Arial" w:hAnsi="Arial"/>
          <w:sz w:val="15"/>
          <w:szCs w:val="15"/>
          <w:color w:val="auto"/>
          <w:vertAlign w:val="superscript"/>
        </w:rPr>
        <w:t>®</w:t>
      </w:r>
      <w:r>
        <w:rPr>
          <w:rFonts w:ascii="Arial" w:cs="Arial" w:eastAsia="Arial" w:hAnsi="Arial"/>
          <w:sz w:val="12"/>
          <w:szCs w:val="12"/>
          <w:color w:val="auto"/>
        </w:rPr>
        <w:t>, and Trijardy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XR.</w:t>
      </w:r>
    </w:p>
    <w:p>
      <w:pPr>
        <w:spacing w:after="0" w:line="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20 percent in the U.S. during the three months ended March 31, 2021, driven by increased demand, partially offset by lower realized prices. Trulicity's lower realized prices in the U.S. were primarily due to higher contracted rebates, partially offset by a favorable segment mix that reflected lower utilization in the 340B segment, and modest list price increases. Revenue outside the U.S. increased 12 percent during the three months ended March 31, 2021, driven by increased volume and, to a lesser extent, favorable foreign exchange rates, partially offset by lower realized prices.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COVID-19 antibodies, treatments that were authorized pursuant to EUAs for mild to moderate COVID-19 for higher-risk patients, was $650.6 million in the U.S. during the three months ended March 31, 2021. Revenue outside the U.S. was $159.5 million during the three months ended March 31, 2021. The availability of vaccines and other preventative measures, coupled with the transient nature of pandemics, could negatively impact or eliminate demand for these COVID-19 antibodies. In addition, mutations or the spread of other variants of the coronavirus could also render our COVID-19 antibodies ineffective.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ind w:right="100"/>
        <w:spacing w:after="0" w:line="252" w:lineRule="auto"/>
        <w:rPr>
          <w:sz w:val="20"/>
          <w:szCs w:val="20"/>
          <w:color w:val="auto"/>
        </w:rPr>
      </w:pPr>
      <w:r>
        <w:rPr>
          <w:rFonts w:ascii="Arial" w:cs="Arial" w:eastAsia="Arial" w:hAnsi="Arial"/>
          <w:sz w:val="18"/>
          <w:szCs w:val="18"/>
          <w:color w:val="auto"/>
        </w:rPr>
        <w:t>Revenue of Humalog, an injectable human insulin analog for the treatment of diabetes, decreased 17 percent in the U.S. during the three months ended March 31, 2021, driven by lower realized prices as higher contracted rebates and discounts were partially offset by lower utilization in the 340B segment. Revenue outside the U.S. decreased 4 percent during the three months ended March 31, 2021, driven by decreased volume, partially offset by the favorable impact of foreign exchange rates. While it is difficult to estimate the severity of the impact of insulin lispro products entering the market, we do not expect and have not experienced a rapid and severe decline in revenue. However, due to the impact of competition and due to pricing pressure in the U.S. and some international markets, we expect some price decline and loss of market share to continue over time.</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Alimta, a treatment for various cancers, decreased 19 percent in the U.S. during the three months ended March 31, 2021, primarily driven by lower volume as a result of customer buying patterns and, to a lesser extent, lower realized prices. Revenue outside the U.S. increased 26 percent during the three months ended March 31, 2021, primarily driven by increased volume in Germany and, to a lesser extent, the favorable impact of foreign exchange rates. We will lose our patent protection for Alimta in Japan and major European countries in June 2021. We expect the limited entry of generic competition in the U.S. starting February 2022 and subsequent unlimited entry starting April 2022. We expect that the entry of generic competition following the loss of exclusivity will cause a rapid and severe decline in revenue. See "Executive Overview - Other Matters- Patent Matters" for more information.</w:t>
      </w:r>
    </w:p>
    <w:p>
      <w:pPr>
        <w:spacing w:after="0" w:line="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 of Taltz, a treatment for moderate-to-severe plaque psoriasis, active psoriatic arthritis, ankylosing spondylitis, and active non-radiographic axial spondyloarthritis, decreased 24 percent in the U.S. during the three months ended March 31, 2021, primarily driven by lower realized prices due to increased rebates to gain broad commercial access, partially offset by increased demand. Revenue outside the U.S. increased 32 percent during the three months ended March 31, 2021, primarily driven by increased volume and, to a lesser extent, the favorable impact of foreign exchange rates.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of Humulin, an injectable human insulin for the treatment of diabetes, increased 2 percent in the U.S. during the three months ended March 31, 2021, driven by higher realized prices, partially offset by decreased demand. Revenue outside the U.S. increased 1 percent during the three months ended March 31, 2021, driven by the favorable impact of foreign exchange rates and higher realized prices, largely offset by decreased volume.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5 percent in the U.S. during the three months ended March 31, 2021, driven by increased demand. Revenue outside the U.S. increased 31 percent during the three months ended March 31, 2021, driven by increased volume and, to a lesser extent, the favorable impact of foreign exchange rates. See Note 4 to the consolidated condensed financial statements for information regarding our collaboration with Boehringer Ingelheim involving Jardiance.</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 of Verzenio, a treatment for HR+, HER2- metastatic breast cancer, increased 34 percent in the U.S. during the three months ended March 31, 2021, primarily driven by increased demand, and, to a lesser extent, higher realized prices. Revenue outside the U.S. increased 64 percent during the three months ended March 31, 2021, primarily driven by increased volume.</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Revenue of Basaglar, a long-acting human insulin analog for the treatment of diabetes, decreased 24 percent in the U.S. during the three months ended March 31, 2021, driven by decreased demand caused by competitive pressures and, to a lesser extent, lower realized prices. Revenue outside the U.S. decreased 3 percent during the three months ended March 31, 2021, driven by lower realized prices and decreased volume, partially offset by the favorable impact of foreign exchange rates. See Note 4 to the consolidated condensed financial statements for information regarding our collaboration with Boehringer Ingelheim involving Basaglar. A competitor launched a similar version of glargine in the U.S. in 2020. Due to the impact of competitive pressures, we expect some price decline and loss of market share over time.</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 of Cyramza, a treatment for various cancers, decreased 10 percent in the U.S. during the three months ended March 31, 2021, primarily driven by decreased demand and lower realized prices. Revenue outside the U.S. increased 7 percent for the three months ended March 31, 2021, driven by the favorable impact of foreign exchange rates and increased volume.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Gross margin as a percent of revenue was 72.4 percent for the three months ended March 31, 2021, a decrease of 6.9 percentage points compared with the three months ended March 31, 2020. The decrease in gross margin percent was primarily due to unfavorable product mix driven by sales of COVID-19 antibodies, the unfavorable effect of foreign exchange rates on international inventories sold, higher amortization of intangibles expense related to Retevmo, charges resulting from excess inventory of COVID-19 antibodies due in part to the termination of the purchase agreement with the U.S. government for bamlanivimab following discontinuation of the product's distribution on its own in the U.S., and, to a lesser extent, the impact of lower realized prices on revenue.</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Research and development expenses increased 21 percent to $1.68 billion for the three months ended March 31, 2021. The increase in research and development expenses for the three months ended March 31, 2021 was driven primarily by approximately $220 million of research and development expenses for COVID-19 antibody therapies and baricitinib, as well as higher research and development expenses for late-stage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Marketing, selling, and administrative expenses increased 2 percent to $1.58 billion for the three months ended March 31, 2021.</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recognized $299.3 million of acquired IPR&amp;D charges for the three months ended March 31, 2021 related to collaborations with Rigel, Precision, Merus, and Asahi. We recognized $52.3 million of acquired IPR&amp;D charges for the three months ended March 31, 2020 related to a collaboration with Sitryx.</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$211.6 million for the three months ended March 31, 2021. The charges for the three months ended March 31, 2021 were primarily related to an intangible asset impairment resulting from the decision to sell the rights to Qbrexza, as well as acquisition and integration costs associated with the acquisition of Prevail. We recognized asset impairment, restructuring, and other special charges of $59.9 million for the three months ended March 31, 2020, primarily related to acquisition and integration costs associated with the acquisition of Dermira.</w:t>
      </w:r>
    </w:p>
    <w:p>
      <w:pPr>
        <w:spacing w:after="0" w:line="97"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Other–net, (income) expense was income of $321.1 million for the three months ended March 31, 2021 compared with income of $89.1 million for the three months ended March 31, 2020. The increase in other income was driven primarily by higher net gains on investment securities.</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effective tax rate was 8.2 percent for the three months ended March 31, 2021, compared with 13.3 percent for the three months ended March 31, 2020. The effective tax rates for both periods were reduced by net discrete tax benefits, with a larger net discrete tax benefit reflected for the three months ended March 31, 2021.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93" w:lineRule="exact"/>
        <w:rPr>
          <w:sz w:val="20"/>
          <w:szCs w:val="20"/>
          <w:color w:val="auto"/>
        </w:rPr>
      </w:pPr>
    </w:p>
    <w:p>
      <w:pPr>
        <w:ind w:right="80"/>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2020.</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and cash equivalents decreased to $ 3.00 billion as of March 31, 2021, compared with $3.66 billion as of December 31, 2020. Refer to the consolidated condensed statements of cash flows for additional information on the significant sources and uses of cash for the three months ended March 31, 2021 and 2020.</w:t>
      </w:r>
    </w:p>
    <w:p>
      <w:pPr>
        <w:spacing w:after="0" w:line="9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$3.28 billion and $2.99 billion as of March 31, 2021 and December 31, 2020, respectively. See Note 6 to the consolidated condensed financial statements for additional information.</w:t>
      </w:r>
    </w:p>
    <w:p>
      <w:pPr>
        <w:spacing w:after="0" w:line="90"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CVR per share. The CVR entitles Prevail stockholders to up to an additional $4.00 per share in cash (or an aggregate of approximately $160 million) payable, subject to certain terms and conditions. The acquisition was funded primarily through cash on hand. See Note 3 to the consolidated condensed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total debt was $16.20 billion, a decrease of $390.8 million compared with $16.60 billion as of December 31, 2020.</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March 31, 2021, we had a total of $5.24 billion of unused committed bank credit facilities, $5.00 billion of which is available to support our commercial paper program. We believe that amounts accessible through existing commercial paper markets should be adequate to fund short-term borrowing needs.</w:t>
      </w:r>
    </w:p>
    <w:p>
      <w:pPr>
        <w:spacing w:after="0" w:line="9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During the three months ended March 31, 2021, we did not repurchase any shares under our $8.00 billion share repurchase program authorized in June 2018. As of March 31, 2021, we had $1.00 billion remaining under this program.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paid dividends of approximately $774.8 million, or $0.85 per share,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fluctuations in interest rates, foreign currency exchange rates (see "Executive Overview - Other Matters - Foreign Currency Exchange Rates"), and fair values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updated certain elements of our 2021 financial guidance. The update to our 2021 financial guidance includes acquired IPR&amp;D charges, asset impairment, restructuring and other special charges, and excess inventory charges related to COVID-19 antibodies, as well as net gains on investments in equity securities recognized during the three months ended March 31, 2021. The update to 2021 financial guidance also reflects lower expected revenue from COVID-19 antibody sales due to lower expected demand and higher expected research and development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2021 are now expected to be in the range of $7.03 to $7.23.</w:t>
      </w:r>
    </w:p>
    <w:p>
      <w:pPr>
        <w:spacing w:after="0" w:line="11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now anticipate 2021 revenue to be between $26.6 billion and $27.6 billion, including an estimated $1.0 billion to $1.5 billion of revenue from COVID-19 therapies. Revenue growth is additionally expected to be driven by volume from Trulicity, Taltz, Verzenio, Jardiance, Olumiant, Cyramza, Emgality, Tyvyt, and Retevmo, as well as by COVID-19 therapies. Revenue growth is expected to be partially offset by lower revenue for products that have lost patent exclusivity. We expect mid-single digit net price declines globally in 2021. In the U.S., we expect low-to-mid-single digit net price declines, driven primarily by increased rebates to maintain broad commercial access and segment mix, partially offset by lower utilization in the 340B segment. Outside the U.S., we expect net price declines in China, Japan and Europe.</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Gross margin as a percent of revenue for 2021 is still expected to be approximately 77 percent. Research and development expenses for 2021 are now expected to be in the range of $6.9 billion to $7.1 billion, reflecting additional investments in potential therapies for Alzheimer's disease and approximately $400 million to $500 million of continued investment in COVID-19 therapies. Marketing, selling, and administrative expenses for 2021 are still expected to be in the range of $6.2 billion to $6.4 billion. Other—net, (income) expense for 2021 is now expected to be income in the range of $150 million to $250 million. The 2021 effective tax rate is now expected to be approximately 13 percent.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hanging="652"/>
        <w:spacing w:after="0" w:line="258"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93" w:lineRule="exact"/>
        <w:rPr>
          <w:rFonts w:ascii="Arial" w:cs="Arial" w:eastAsia="Arial" w:hAnsi="Arial"/>
          <w:sz w:val="18"/>
          <w:szCs w:val="18"/>
          <w:color w:val="auto"/>
        </w:rPr>
      </w:pPr>
    </w:p>
    <w:p>
      <w:pPr>
        <w:ind w:left="660" w:right="320"/>
        <w:spacing w:after="0" w:line="278"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A. Ricks, president and chief executive officer, and Anat Ashkenazi, senior vice president and chief financial officer, evaluated our disclosure controls and procedures (as such terms are defined in our Annual Report on </w:t>
      </w:r>
      <w:hyperlink r:id="rId14">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as of March 31, 2021, and concluded that they were effective.</w:t>
      </w:r>
    </w:p>
    <w:p>
      <w:pPr>
        <w:spacing w:after="0" w:line="58" w:lineRule="exact"/>
        <w:rPr>
          <w:rFonts w:ascii="Arial" w:cs="Arial" w:eastAsia="Arial" w:hAnsi="Arial"/>
          <w:sz w:val="17"/>
          <w:szCs w:val="17"/>
          <w:color w:val="auto"/>
        </w:rPr>
      </w:pPr>
    </w:p>
    <w:p>
      <w:pPr>
        <w:ind w:left="660" w:right="160" w:hanging="652"/>
        <w:spacing w:after="0" w:line="282"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2021,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50" w:name="page51"/>
    <w:bookmarkEnd w:id="50"/>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0" w:lineRule="exact"/>
        <w:rPr>
          <w:sz w:val="20"/>
          <w:szCs w:val="20"/>
          <w:color w:val="auto"/>
        </w:rPr>
      </w:pPr>
    </w:p>
    <w:p>
      <w:pPr>
        <w:ind w:right="4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77">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December 31, 2020. There have been no material changes from the risk factors previously disclosed in our Annual Report on Form 10-K for the year ended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Information relating to the principal market for our common stock and related shareholder matters is described in "Management's Discussion and Analysis of Results of Operations and Financial Condition" in Part II, Item 7 and in "Security Ownership of Certain Beneficial Owners and Management and Related Stockholder Matters" in Part III, Item 12 of our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 Number of Shares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Purchased as Part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64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rPr>
              <w:t>Average Price Paid</w:t>
            </w:r>
          </w:p>
        </w:tc>
        <w:tc>
          <w:tcPr>
            <w:tcW w:w="360" w:type="dxa"/>
            <w:vAlign w:val="bottom"/>
          </w:tcPr>
          <w:p>
            <w:pPr>
              <w:spacing w:after="0"/>
              <w:rPr>
                <w:sz w:val="11"/>
                <w:szCs w:val="11"/>
                <w:color w:val="auto"/>
              </w:rPr>
            </w:pPr>
          </w:p>
        </w:tc>
        <w:tc>
          <w:tcPr>
            <w:tcW w:w="20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rPr>
              <w:t>Publicly Announced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6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Plans or Programs</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75"/>
        </w:trPr>
        <w:tc>
          <w:tcPr>
            <w:tcW w:w="270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rPr>
              <w:t>per Share</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22"/>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February 2021</w:t>
            </w:r>
          </w:p>
        </w:tc>
        <w:tc>
          <w:tcPr>
            <w:tcW w:w="1740" w:type="dxa"/>
            <w:vAlign w:val="bottom"/>
          </w:tcPr>
          <w:p>
            <w:pPr>
              <w:ind w:left="15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During the three months ended March 31, 2021, we did not repurchase any shares under our $8.00 billion share repurchase program authorized in June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640" w:type="dxa"/>
            <w:vAlign w:val="bottom"/>
            <w:gridSpan w:val="1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640" w:type="dxa"/>
            <w:vAlign w:val="bottom"/>
            <w:gridSpan w:val="12"/>
          </w:tcPr>
          <w:p>
            <w:pPr>
              <w:spacing w:after="0"/>
              <w:rPr>
                <w:rFonts w:ascii="Arial" w:cs="Arial" w:eastAsia="Arial" w:hAnsi="Arial"/>
                <w:sz w:val="18"/>
                <w:szCs w:val="18"/>
                <w:color w:val="0000FF"/>
              </w:rPr>
            </w:pPr>
            <w:hyperlink r:id="rId79">
              <w:r>
                <w:rPr>
                  <w:rFonts w:ascii="Arial" w:cs="Arial" w:eastAsia="Arial" w:hAnsi="Arial"/>
                  <w:sz w:val="18"/>
                  <w:szCs w:val="18"/>
                  <w:color w:val="0000FF"/>
                </w:rPr>
                <w:t>Amended Articles of Incorporation are incorporated by reference to Exhibit 3.1 to the Company's Annual</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Report on Form 10-K for the year ended December 31, 2013</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12"/>
          </w:tcPr>
          <w:p>
            <w:pPr>
              <w:spacing w:after="0"/>
              <w:rPr>
                <w:rFonts w:ascii="Arial" w:cs="Arial" w:eastAsia="Arial" w:hAnsi="Arial"/>
                <w:sz w:val="18"/>
                <w:szCs w:val="18"/>
                <w:color w:val="0000FF"/>
              </w:rPr>
            </w:pPr>
            <w:hyperlink r:id="rId80">
              <w:r>
                <w:rPr>
                  <w:rFonts w:ascii="Arial" w:cs="Arial" w:eastAsia="Arial" w:hAnsi="Arial"/>
                  <w:sz w:val="18"/>
                  <w:szCs w:val="18"/>
                  <w:color w:val="0000FF"/>
                </w:rPr>
                <w:t>Bylaws, as amended, are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6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8-K filed on February 9, 2021</w:t>
              </w:r>
            </w:hyperlink>
          </w:p>
        </w:tc>
        <w:tc>
          <w:tcPr>
            <w:tcW w:w="20" w:type="dxa"/>
            <w:vAlign w:val="bottom"/>
          </w:tcPr>
          <w:p>
            <w:pPr>
              <w:spacing w:after="0"/>
              <w:rPr>
                <w:sz w:val="13"/>
                <w:szCs w:val="13"/>
                <w:color w:val="auto"/>
              </w:rPr>
            </w:pPr>
          </w:p>
        </w:tc>
      </w:tr>
      <w:tr>
        <w:trPr>
          <w:trHeight w:val="20"/>
        </w:trPr>
        <w:tc>
          <w:tcPr>
            <w:tcW w:w="24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640" w:type="dxa"/>
            <w:vAlign w:val="bottom"/>
            <w:gridSpan w:val="1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Form of Restricted Stock Unit Award under the 2002 Lilly Stock Plan (with non-compete)</w:t>
              </w:r>
            </w:hyperlink>
          </w:p>
        </w:tc>
      </w:tr>
      <w:tr>
        <w:trPr>
          <w:trHeight w:val="20"/>
        </w:trPr>
        <w:tc>
          <w:tcPr>
            <w:tcW w:w="24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10.2</w:t>
            </w:r>
          </w:p>
        </w:tc>
        <w:tc>
          <w:tcPr>
            <w:tcW w:w="8640" w:type="dxa"/>
            <w:vAlign w:val="bottom"/>
            <w:gridSpan w:val="1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Release Agreement, effective as of February 9, 2021, by and between Eli Lilly and Company and Joshua L.</w:t>
              </w:r>
            </w:hyperlink>
          </w:p>
        </w:tc>
      </w:tr>
      <w:tr>
        <w:trPr>
          <w:trHeight w:val="156"/>
        </w:trPr>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w:anchor="page67">
              <w:r>
                <w:rPr>
                  <w:rFonts w:ascii="Arial" w:cs="Arial" w:eastAsia="Arial" w:hAnsi="Arial"/>
                  <w:sz w:val="18"/>
                  <w:szCs w:val="18"/>
                  <w:color w:val="0000FF"/>
                  <w:w w:val="96"/>
                </w:rPr>
                <w:t>Smiley</w:t>
              </w:r>
            </w:hyperlink>
          </w:p>
        </w:tc>
        <w:tc>
          <w:tcPr>
            <w:tcW w:w="800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479"/>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6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Rule 13a-14(a) Certification of David A. Ricks, Chairman, President, and Chief Executive Officer</w:t>
              </w:r>
            </w:hyperlink>
          </w:p>
        </w:tc>
        <w:tc>
          <w:tcPr>
            <w:tcW w:w="1000" w:type="dxa"/>
            <w:vAlign w:val="bottom"/>
            <w:gridSpan w:val="5"/>
          </w:tcPr>
          <w:p>
            <w:pPr>
              <w:spacing w:after="0"/>
              <w:rPr>
                <w:sz w:val="24"/>
                <w:szCs w:val="24"/>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7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80">
              <w:r>
                <w:rPr>
                  <w:rFonts w:ascii="Arial" w:cs="Arial" w:eastAsia="Arial" w:hAnsi="Arial"/>
                  <w:sz w:val="18"/>
                  <w:szCs w:val="18"/>
                  <w:color w:val="0000FF"/>
                  <w:w w:val="99"/>
                </w:rPr>
                <w:t>Rule 13a-14(a) Certification of Anat Ashkenazi, Senior Vice President and Chief Financial Officer</w:t>
              </w:r>
            </w:hyperlink>
          </w:p>
        </w:tc>
        <w:tc>
          <w:tcPr>
            <w:tcW w:w="940" w:type="dxa"/>
            <w:vAlign w:val="bottom"/>
            <w:gridSpan w:val="4"/>
          </w:tcPr>
          <w:p>
            <w:pPr>
              <w:spacing w:after="0"/>
              <w:rPr>
                <w:sz w:val="24"/>
                <w:szCs w:val="24"/>
                <w:color w:val="auto"/>
              </w:rPr>
            </w:pPr>
          </w:p>
        </w:tc>
      </w:tr>
      <w:tr>
        <w:trPr>
          <w:trHeight w:val="480"/>
        </w:trPr>
        <w:tc>
          <w:tcPr>
            <w:tcW w:w="24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640" w:type="dxa"/>
            <w:vAlign w:val="bottom"/>
            <w:gridSpan w:val="1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Section 1350 Certification</w:t>
              </w:r>
            </w:hyperlink>
          </w:p>
        </w:tc>
      </w:tr>
      <w:tr>
        <w:trPr>
          <w:trHeight w:val="20"/>
        </w:trPr>
        <w:tc>
          <w:tcPr>
            <w:tcW w:w="2440" w:type="dxa"/>
            <w:vAlign w:val="bottom"/>
            <w:gridSpan w:val="2"/>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r>
      <w:tr>
        <w:trPr>
          <w:trHeight w:val="52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640" w:type="dxa"/>
            <w:vAlign w:val="bottom"/>
            <w:gridSpan w:val="12"/>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500"/>
        </w:trPr>
        <w:tc>
          <w:tcPr>
            <w:tcW w:w="2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864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96" w:lineRule="exact"/>
        <w:rPr>
          <w:sz w:val="20"/>
          <w:szCs w:val="20"/>
          <w:color w:val="auto"/>
        </w:rPr>
      </w:pPr>
    </w:p>
    <w:p>
      <w:pPr>
        <w:ind w:firstLine="8"/>
        <w:spacing w:after="0" w:line="246"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debt instruments under which the total amount of securities authorized does not exceed 10% of our consolidated assets are not filed as exhibits to this Quarterly Report. We will furnish a copy of these agreements to the SEC upon request.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ELI LILLY AND COMPANY</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April 30, 2021</w:t>
      </w:r>
      <w:r>
        <w:rPr>
          <w:sz w:val="20"/>
          <w:szCs w:val="20"/>
          <w:color w:val="auto"/>
        </w:rPr>
        <w:tab/>
      </w:r>
      <w:r>
        <w:rPr>
          <w:rFonts w:ascii="Arial" w:cs="Arial" w:eastAsia="Arial" w:hAnsi="Arial"/>
          <w:sz w:val="17"/>
          <w:szCs w:val="17"/>
          <w:color w:val="auto"/>
        </w:rPr>
        <w:t>/s/Anat Ashkenazi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Anat Ashkenazi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tabs>
          <w:tab w:leader="none" w:pos="660" w:val="left"/>
          <w:tab w:leader="none" w:pos="2500" w:val="left"/>
        </w:tabs>
        <w:rPr>
          <w:sz w:val="20"/>
          <w:szCs w:val="20"/>
          <w:color w:val="auto"/>
        </w:rPr>
      </w:pPr>
      <w:r>
        <w:rPr>
          <w:rFonts w:ascii="Arial" w:cs="Arial" w:eastAsia="Arial" w:hAnsi="Arial"/>
          <w:sz w:val="18"/>
          <w:szCs w:val="18"/>
          <w:color w:val="auto"/>
        </w:rPr>
        <w:t>Date:</w:t>
        <w:tab/>
        <w:t>April 30, 2021</w:t>
      </w:r>
      <w:r>
        <w:rPr>
          <w:sz w:val="20"/>
          <w:szCs w:val="20"/>
          <w:color w:val="auto"/>
        </w:rPr>
        <w:tab/>
      </w:r>
      <w:r>
        <w:rPr>
          <w:rFonts w:ascii="Arial" w:cs="Arial" w:eastAsia="Arial" w:hAnsi="Arial"/>
          <w:sz w:val="17"/>
          <w:szCs w:val="17"/>
          <w:color w:val="auto"/>
        </w:rPr>
        <w:t>/s/Donald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6350</wp:posOffset>
            </wp:positionV>
            <wp:extent cx="5537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Donald A. Zakrowski</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Vice President, Finance,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994" w:right="359" w:bottom="1440" w:gutter="0" w:footer="0" w:header="0"/>
        </w:sectPr>
      </w:pPr>
    </w:p>
    <w:bookmarkStart w:id="52" w:name="page53"/>
    <w:bookmarkEnd w:id="5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EXHIBIT 10.1 Form of Restricted Stock Unit Award under the 2002 Lilly Stock Plan (with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Restricted Stock Unit Award Agreement</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(for 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Restricted Stock Unit Award has been granted on [INSERT DATE] (“Grant Date”) by Eli Lilly and Company, an Indiana corporation, with its principal offices in Indianapolis, Indiana (“Lilly” or the “Company”), to the Eligible Individual who has received this Restricted Stock Unit Award Agreement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Vesting Date:</w:t>
      </w:r>
      <w:r>
        <w:rPr>
          <w:sz w:val="20"/>
          <w:szCs w:val="20"/>
          <w:color w:val="auto"/>
        </w:rPr>
        <w:tab/>
      </w:r>
      <w:r>
        <w:rPr>
          <w:rFonts w:ascii="Arial" w:cs="Arial" w:eastAsia="Arial" w:hAnsi="Arial"/>
          <w:sz w:val="17"/>
          <w:szCs w:val="17"/>
          <w:b w:val="1"/>
          <w:bCs w:val="1"/>
          <w:color w:val="auto"/>
        </w:rPr>
        <w:t>100% on [INSERT DATE]</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(except as otherwise provided in this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140"/>
          </w:cols>
          <w:pgMar w:left="320" w:top="1440"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0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880" w:type="dxa"/>
            <w:vAlign w:val="bottom"/>
          </w:tcPr>
          <w:p>
            <w:pPr>
              <w:spacing w:after="0"/>
              <w:rPr>
                <w:sz w:val="18"/>
                <w:szCs w:val="18"/>
                <w:color w:val="auto"/>
              </w:rPr>
            </w:pPr>
          </w:p>
        </w:tc>
      </w:tr>
      <w:tr>
        <w:trPr>
          <w:trHeight w:val="513"/>
        </w:trPr>
        <w:tc>
          <w:tcPr>
            <w:tcW w:w="8460" w:type="dxa"/>
            <w:vAlign w:val="bottom"/>
            <w:gridSpan w:val="3"/>
          </w:tcPr>
          <w:p>
            <w:pPr>
              <w:spacing w:after="0"/>
              <w:rPr>
                <w:sz w:val="20"/>
                <w:szCs w:val="20"/>
                <w:color w:val="auto"/>
              </w:rPr>
            </w:pPr>
            <w:r>
              <w:rPr>
                <w:rFonts w:ascii="Arial" w:cs="Arial" w:eastAsia="Arial" w:hAnsi="Arial"/>
                <w:sz w:val="18"/>
                <w:szCs w:val="18"/>
                <w:color w:val="auto"/>
              </w:rPr>
              <w:t>Section 1.  Grant of Restricted Stock Units</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6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Vesting</w:t>
            </w:r>
          </w:p>
        </w:tc>
        <w:tc>
          <w:tcPr>
            <w:tcW w:w="1880" w:type="dxa"/>
            <w:vAlign w:val="bottom"/>
          </w:tcPr>
          <w:p>
            <w:pPr>
              <w:ind w:left="1680"/>
              <w:spacing w:after="0"/>
              <w:rPr>
                <w:sz w:val="20"/>
                <w:szCs w:val="20"/>
                <w:color w:val="auto"/>
              </w:rPr>
            </w:pPr>
            <w:r>
              <w:rPr>
                <w:rFonts w:ascii="Arial" w:cs="Arial" w:eastAsia="Arial" w:hAnsi="Arial"/>
                <w:sz w:val="18"/>
                <w:szCs w:val="18"/>
                <w:color w:val="auto"/>
              </w:rPr>
              <w:t>3</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3.  Change in Control</w:t>
            </w:r>
          </w:p>
        </w:tc>
        <w:tc>
          <w:tcPr>
            <w:tcW w:w="1880" w:type="dxa"/>
            <w:vAlign w:val="bottom"/>
          </w:tcPr>
          <w:p>
            <w:pPr>
              <w:ind w:left="1680"/>
              <w:spacing w:after="0"/>
              <w:rPr>
                <w:sz w:val="20"/>
                <w:szCs w:val="20"/>
                <w:color w:val="auto"/>
              </w:rPr>
            </w:pPr>
            <w:r>
              <w:rPr>
                <w:rFonts w:ascii="Arial" w:cs="Arial" w:eastAsia="Arial" w:hAnsi="Arial"/>
                <w:sz w:val="18"/>
                <w:szCs w:val="18"/>
                <w:color w:val="auto"/>
              </w:rPr>
              <w:t>4</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4.</w:t>
            </w:r>
          </w:p>
        </w:tc>
        <w:tc>
          <w:tcPr>
            <w:tcW w:w="6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1880" w:type="dxa"/>
            <w:vAlign w:val="bottom"/>
          </w:tcPr>
          <w:p>
            <w:pPr>
              <w:ind w:left="1680"/>
              <w:spacing w:after="0"/>
              <w:rPr>
                <w:sz w:val="20"/>
                <w:szCs w:val="20"/>
                <w:color w:val="auto"/>
              </w:rPr>
            </w:pPr>
            <w:r>
              <w:rPr>
                <w:rFonts w:ascii="Arial" w:cs="Arial" w:eastAsia="Arial" w:hAnsi="Arial"/>
                <w:sz w:val="18"/>
                <w:szCs w:val="18"/>
                <w:color w:val="auto"/>
              </w:rPr>
              <w:t>5</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5.  Rights of the Grantee</w:t>
            </w:r>
          </w:p>
        </w:tc>
        <w:tc>
          <w:tcPr>
            <w:tcW w:w="1880" w:type="dxa"/>
            <w:vAlign w:val="bottom"/>
          </w:tcPr>
          <w:p>
            <w:pPr>
              <w:ind w:left="1680"/>
              <w:spacing w:after="0"/>
              <w:rPr>
                <w:sz w:val="20"/>
                <w:szCs w:val="20"/>
                <w:color w:val="auto"/>
              </w:rPr>
            </w:pPr>
            <w:r>
              <w:rPr>
                <w:rFonts w:ascii="Arial" w:cs="Arial" w:eastAsia="Arial" w:hAnsi="Arial"/>
                <w:sz w:val="18"/>
                <w:szCs w:val="18"/>
                <w:color w:val="auto"/>
              </w:rPr>
              <w:t>5</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6.  Prohibition Against Transfer</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7.  Responsibility for Taxes</w:t>
            </w:r>
          </w:p>
        </w:tc>
        <w:tc>
          <w:tcPr>
            <w:tcW w:w="1880" w:type="dxa"/>
            <w:vAlign w:val="bottom"/>
          </w:tcPr>
          <w:p>
            <w:pPr>
              <w:ind w:left="1680"/>
              <w:spacing w:after="0"/>
              <w:rPr>
                <w:sz w:val="20"/>
                <w:szCs w:val="20"/>
                <w:color w:val="auto"/>
              </w:rPr>
            </w:pPr>
            <w:r>
              <w:rPr>
                <w:rFonts w:ascii="Arial" w:cs="Arial" w:eastAsia="Arial" w:hAnsi="Arial"/>
                <w:sz w:val="18"/>
                <w:szCs w:val="18"/>
                <w:color w:val="auto"/>
              </w:rPr>
              <w:t>6</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7560" w:type="dxa"/>
            <w:vAlign w:val="bottom"/>
            <w:gridSpan w:val="2"/>
          </w:tcPr>
          <w:p>
            <w:pPr>
              <w:ind w:left="100"/>
              <w:spacing w:after="0"/>
              <w:rPr>
                <w:sz w:val="20"/>
                <w:szCs w:val="20"/>
                <w:color w:val="auto"/>
              </w:rPr>
            </w:pPr>
            <w:r>
              <w:rPr>
                <w:rFonts w:ascii="Arial" w:cs="Arial" w:eastAsia="Arial" w:hAnsi="Arial"/>
                <w:sz w:val="18"/>
                <w:szCs w:val="18"/>
                <w:color w:val="auto"/>
              </w:rPr>
              <w:t>Section 409A Compliance</w:t>
            </w:r>
          </w:p>
        </w:tc>
        <w:tc>
          <w:tcPr>
            <w:tcW w:w="1880" w:type="dxa"/>
            <w:vAlign w:val="bottom"/>
          </w:tcPr>
          <w:p>
            <w:pPr>
              <w:ind w:left="1680"/>
              <w:spacing w:after="0"/>
              <w:rPr>
                <w:sz w:val="20"/>
                <w:szCs w:val="20"/>
                <w:color w:val="auto"/>
              </w:rPr>
            </w:pPr>
            <w:r>
              <w:rPr>
                <w:rFonts w:ascii="Arial" w:cs="Arial" w:eastAsia="Arial" w:hAnsi="Arial"/>
                <w:sz w:val="18"/>
                <w:szCs w:val="18"/>
                <w:color w:val="auto"/>
              </w:rPr>
              <w:t>7</w:t>
            </w: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60" w:type="dxa"/>
            <w:vAlign w:val="bottom"/>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Grantee’s Acknowledgement</w:t>
            </w:r>
          </w:p>
        </w:tc>
        <w:tc>
          <w:tcPr>
            <w:tcW w:w="1880" w:type="dxa"/>
            <w:vAlign w:val="bottom"/>
          </w:tcPr>
          <w:p>
            <w:pPr>
              <w:ind w:left="1680"/>
              <w:spacing w:after="0"/>
              <w:rPr>
                <w:sz w:val="20"/>
                <w:szCs w:val="20"/>
                <w:color w:val="auto"/>
              </w:rPr>
            </w:pPr>
            <w:r>
              <w:rPr>
                <w:rFonts w:ascii="Arial" w:cs="Arial" w:eastAsia="Arial" w:hAnsi="Arial"/>
                <w:sz w:val="18"/>
                <w:szCs w:val="18"/>
                <w:color w:val="auto"/>
              </w:rPr>
              <w:t>7</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7500" w:type="dxa"/>
            <w:vAlign w:val="bottom"/>
          </w:tcPr>
          <w:p>
            <w:pPr>
              <w:ind w:left="140"/>
              <w:spacing w:after="0"/>
              <w:rPr>
                <w:sz w:val="20"/>
                <w:szCs w:val="20"/>
                <w:color w:val="auto"/>
              </w:rPr>
            </w:pPr>
            <w:r>
              <w:rPr>
                <w:rFonts w:ascii="Arial" w:cs="Arial" w:eastAsia="Arial" w:hAnsi="Arial"/>
                <w:sz w:val="18"/>
                <w:szCs w:val="18"/>
                <w:color w:val="auto"/>
              </w:rPr>
              <w:t>Data Privacy</w:t>
            </w:r>
          </w:p>
        </w:tc>
        <w:tc>
          <w:tcPr>
            <w:tcW w:w="1880" w:type="dxa"/>
            <w:vAlign w:val="bottom"/>
          </w:tcPr>
          <w:p>
            <w:pPr>
              <w:ind w:left="1680"/>
              <w:spacing w:after="0"/>
              <w:rPr>
                <w:sz w:val="20"/>
                <w:szCs w:val="20"/>
                <w:color w:val="auto"/>
              </w:rPr>
            </w:pPr>
            <w:r>
              <w:rPr>
                <w:rFonts w:ascii="Arial" w:cs="Arial" w:eastAsia="Arial" w:hAnsi="Arial"/>
                <w:sz w:val="18"/>
                <w:szCs w:val="18"/>
                <w:color w:val="auto"/>
              </w:rPr>
              <w:t>9</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11.  Restrictive Covenants, Remedies, and Additional Terms and Conditions</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10</w:t>
            </w:r>
          </w:p>
        </w:tc>
      </w:tr>
      <w:tr>
        <w:trPr>
          <w:trHeight w:val="540"/>
        </w:trPr>
        <w:tc>
          <w:tcPr>
            <w:tcW w:w="8460" w:type="dxa"/>
            <w:vAlign w:val="bottom"/>
            <w:gridSpan w:val="3"/>
          </w:tcPr>
          <w:p>
            <w:pPr>
              <w:spacing w:after="0"/>
              <w:rPr>
                <w:sz w:val="20"/>
                <w:szCs w:val="20"/>
                <w:color w:val="auto"/>
              </w:rPr>
            </w:pPr>
            <w:r>
              <w:rPr>
                <w:rFonts w:ascii="Arial" w:cs="Arial" w:eastAsia="Arial" w:hAnsi="Arial"/>
                <w:sz w:val="18"/>
                <w:szCs w:val="18"/>
                <w:color w:val="auto"/>
              </w:rPr>
              <w:t>Section 12.  Governing Law and Choice of Venue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12</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750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13</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7500" w:type="dxa"/>
            <w:vAlign w:val="bottom"/>
          </w:tcPr>
          <w:p>
            <w:pPr>
              <w:ind w:left="140"/>
              <w:spacing w:after="0"/>
              <w:rPr>
                <w:sz w:val="20"/>
                <w:szCs w:val="20"/>
                <w:color w:val="auto"/>
              </w:rPr>
            </w:pPr>
            <w:r>
              <w:rPr>
                <w:rFonts w:ascii="Arial" w:cs="Arial" w:eastAsia="Arial" w:hAnsi="Arial"/>
                <w:sz w:val="18"/>
                <w:szCs w:val="18"/>
                <w:color w:val="auto"/>
              </w:rPr>
              <w:t>Compensation Recovery</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13</w:t>
            </w:r>
          </w:p>
        </w:tc>
      </w:tr>
      <w:tr>
        <w:trPr>
          <w:trHeight w:val="540"/>
        </w:trPr>
        <w:tc>
          <w:tcPr>
            <w:tcW w:w="96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7500" w:type="dxa"/>
            <w:vAlign w:val="bottom"/>
          </w:tcPr>
          <w:p>
            <w:pPr>
              <w:ind w:left="140"/>
              <w:spacing w:after="0"/>
              <w:rPr>
                <w:sz w:val="20"/>
                <w:szCs w:val="20"/>
                <w:color w:val="auto"/>
              </w:rPr>
            </w:pPr>
            <w:r>
              <w:rPr>
                <w:rFonts w:ascii="Arial" w:cs="Arial" w:eastAsia="Arial" w:hAnsi="Arial"/>
                <w:sz w:val="18"/>
                <w:szCs w:val="18"/>
                <w:color w:val="auto"/>
              </w:rPr>
              <w:t>Award Subject to Acknowledgement of Acceptance</w:t>
            </w:r>
          </w:p>
        </w:tc>
        <w:tc>
          <w:tcPr>
            <w:tcW w:w="1880" w:type="dxa"/>
            <w:vAlign w:val="bottom"/>
          </w:tcPr>
          <w:p>
            <w:pPr>
              <w:ind w:left="1680"/>
              <w:spacing w:after="0"/>
              <w:rPr>
                <w:sz w:val="20"/>
                <w:szCs w:val="20"/>
                <w:color w:val="auto"/>
              </w:rPr>
            </w:pPr>
            <w:r>
              <w:rPr>
                <w:rFonts w:ascii="Arial" w:cs="Arial" w:eastAsia="Arial" w:hAnsi="Arial"/>
                <w:sz w:val="18"/>
                <w:szCs w:val="18"/>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360"/>
          </w:cols>
          <w:pgMar w:left="320" w:top="140" w:right="12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  Grant of Restricted Stock Units</w:t>
      </w:r>
    </w:p>
    <w:p>
      <w:pPr>
        <w:spacing w:after="0" w:line="13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Restricted Stock Unit Award Agreement (the “Grantee”) an award of restricted stock units (the “Restricted Stock Units” or the “Award”) with respect to the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w:t>
      </w:r>
    </w:p>
    <w:p>
      <w:pPr>
        <w:spacing w:after="0" w:line="96"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Restricted Stock Unit Award Agreement, including all appendices, exhibits and addenda hereto (the “Award Agreement”). In the event of any conflict between the terms of the Plan and this Award Agreement, the terms of the Plan shall govern except with respect to the provisions described in Section 11 below (in which case, the terms of the Award Agreement shall govern).</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  Vesting</w:t>
      </w:r>
    </w:p>
    <w:p>
      <w:pPr>
        <w:spacing w:after="0" w:line="139"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the vesting provisions set forth in Section 2 of this Award Agreement, the following definitions will apply:</w:t>
      </w:r>
    </w:p>
    <w:p>
      <w:pPr>
        <w:spacing w:after="0" w:line="252" w:lineRule="exact"/>
        <w:rPr>
          <w:rFonts w:ascii="Arial" w:cs="Arial" w:eastAsia="Arial" w:hAnsi="Arial"/>
          <w:sz w:val="18"/>
          <w:szCs w:val="18"/>
          <w:color w:val="auto"/>
        </w:rPr>
      </w:pPr>
    </w:p>
    <w:p>
      <w:pPr>
        <w:jc w:val="both"/>
        <w:ind w:left="1800" w:hanging="494"/>
        <w:spacing w:after="0" w:line="252"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“Disability”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may be determined by the Company or Employer. The Grantee shall not be considered to have incurred a Disability unless he or she furnishes proof of such impairment sufficient to satisfy the Company as it determines in its sole discretion.</w:t>
      </w:r>
    </w:p>
    <w:p>
      <w:pPr>
        <w:spacing w:after="0" w:line="233" w:lineRule="exact"/>
        <w:rPr>
          <w:rFonts w:ascii="Arial" w:cs="Arial" w:eastAsia="Arial" w:hAnsi="Arial"/>
          <w:sz w:val="18"/>
          <w:szCs w:val="18"/>
          <w:color w:val="auto"/>
        </w:rPr>
      </w:pPr>
    </w:p>
    <w:p>
      <w:pPr>
        <w:ind w:left="1800" w:hanging="534"/>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“Qualifying Termination” means the termination of the Grantee's Service under any one of the following circumstances:</w:t>
      </w:r>
    </w:p>
    <w:p>
      <w:pPr>
        <w:spacing w:after="0" w:line="252" w:lineRule="exact"/>
        <w:rPr>
          <w:rFonts w:ascii="Arial" w:cs="Arial" w:eastAsia="Arial" w:hAnsi="Arial"/>
          <w:sz w:val="18"/>
          <w:szCs w:val="18"/>
          <w:color w:val="auto"/>
        </w:rPr>
      </w:pPr>
    </w:p>
    <w:p>
      <w:pPr>
        <w:ind w:left="2280" w:hanging="490"/>
        <w:spacing w:after="0"/>
        <w:tabs>
          <w:tab w:leader="none" w:pos="2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due to a plant closing or reduction in workforce (as defined below);</w:t>
      </w:r>
    </w:p>
    <w:p>
      <w:pPr>
        <w:spacing w:after="0" w:line="117" w:lineRule="exact"/>
        <w:rPr>
          <w:rFonts w:ascii="Arial" w:cs="Arial" w:eastAsia="Arial" w:hAnsi="Arial"/>
          <w:sz w:val="18"/>
          <w:szCs w:val="18"/>
          <w:color w:val="auto"/>
        </w:rPr>
      </w:pPr>
    </w:p>
    <w:p>
      <w:pPr>
        <w:jc w:val="both"/>
        <w:ind w:left="2280" w:right="20" w:hanging="490"/>
        <w:spacing w:after="0" w:line="256" w:lineRule="auto"/>
        <w:tabs>
          <w:tab w:leader="none" w:pos="227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229" w:lineRule="exact"/>
        <w:rPr>
          <w:sz w:val="20"/>
          <w:szCs w:val="20"/>
          <w:color w:val="auto"/>
        </w:rPr>
      </w:pPr>
    </w:p>
    <w:p>
      <w:pPr>
        <w:ind w:left="1800"/>
        <w:spacing w:after="0" w:line="261"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225" w:lineRule="exact"/>
        <w:rPr>
          <w:sz w:val="20"/>
          <w:szCs w:val="20"/>
          <w:color w:val="auto"/>
        </w:rPr>
      </w:pPr>
    </w:p>
    <w:p>
      <w:pPr>
        <w:ind w:left="1800"/>
        <w:spacing w:after="0" w:line="261"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198" w:lineRule="exact"/>
        <w:rPr>
          <w:sz w:val="20"/>
          <w:szCs w:val="20"/>
          <w:color w:val="auto"/>
        </w:rPr>
      </w:pPr>
    </w:p>
    <w:p>
      <w:pPr>
        <w:ind w:left="1300" w:hanging="644"/>
        <w:spacing w:after="0" w:line="261" w:lineRule="auto"/>
        <w:tabs>
          <w:tab w:leader="none" w:pos="1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Award shall vest at the close of business in Indianapolis, Indiana, U.S.A. on the earliest of the following dates (each, a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0" w:right="660" w:hanging="334"/>
        <w:spacing w:after="0" w:line="261" w:lineRule="auto"/>
        <w:tabs>
          <w:tab w:leader="none" w:pos="17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[INSERT DATE] with respect to 100% of the Award, provided the Grantee is still in active Service on the Vesting Date,</w:t>
      </w:r>
    </w:p>
    <w:p>
      <w:pPr>
        <w:spacing w:after="0" w:line="224"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subject to any alternative date(s) set forth in any appendix attached hereto (the “Appendix”), or</w:t>
      </w:r>
    </w:p>
    <w:p>
      <w:pPr>
        <w:spacing w:after="0" w:line="252" w:lineRule="exact"/>
        <w:rPr>
          <w:rFonts w:ascii="Arial" w:cs="Arial" w:eastAsia="Arial" w:hAnsi="Arial"/>
          <w:sz w:val="18"/>
          <w:szCs w:val="18"/>
          <w:color w:val="auto"/>
        </w:rPr>
      </w:pPr>
    </w:p>
    <w:p>
      <w:pPr>
        <w:ind w:left="1800" w:right="640" w:hanging="334"/>
        <w:spacing w:after="0" w:line="261" w:lineRule="auto"/>
        <w:tabs>
          <w:tab w:leader="none" w:pos="17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the Grantee’s Service is terminated (A) due to the Grantee’s death or (B) by reason of the Grantee’s Disability, with respect to 100% of the Award, or</w:t>
      </w:r>
    </w:p>
    <w:p>
      <w:pPr>
        <w:spacing w:after="0" w:line="224" w:lineRule="exact"/>
        <w:rPr>
          <w:rFonts w:ascii="Arial" w:cs="Arial" w:eastAsia="Arial" w:hAnsi="Arial"/>
          <w:sz w:val="18"/>
          <w:szCs w:val="18"/>
          <w:color w:val="auto"/>
        </w:rPr>
      </w:pPr>
    </w:p>
    <w:p>
      <w:pPr>
        <w:jc w:val="both"/>
        <w:ind w:left="1800" w:right="640" w:hanging="334"/>
        <w:spacing w:after="0" w:line="256" w:lineRule="auto"/>
        <w:tabs>
          <w:tab w:leader="none" w:pos="17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the Grantee is subject to a Qualifying Termination, in which case the number of Restricted Stock Units that shall vest shall be reduced proportionally for the portion of the total days between the Grant Date and the Vesting Date specified in 2(b)(i) that the Grantee was not in active Service.</w:t>
      </w:r>
    </w:p>
    <w:p>
      <w:pPr>
        <w:spacing w:after="0" w:line="229"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The Committee’s determination as to whether (A) the Grantee’s Service has been terminated by reason of Disability, (B) the Grantee’s Service has been terminated as a direct result of either a plant closing or a reduction in workforce, (C) the Grantee’s Service has been terminated as a result of the failure to locate a position within the Company or an Affiliate following reallocation or medical reassignment, and (D) a leave of absence or a transfer of employment between Lilly and an Affiliate or between Affiliates constitutes a termination of Service shall be final and binding on the Grantee.</w:t>
      </w:r>
    </w:p>
    <w:p>
      <w:pPr>
        <w:spacing w:after="0" w:line="232" w:lineRule="exact"/>
        <w:rPr>
          <w:sz w:val="20"/>
          <w:szCs w:val="20"/>
          <w:color w:val="auto"/>
        </w:rPr>
      </w:pPr>
    </w:p>
    <w:p>
      <w:pPr>
        <w:jc w:val="both"/>
        <w:ind w:left="1300" w:right="20" w:hanging="644"/>
        <w:spacing w:after="0" w:line="256" w:lineRule="auto"/>
        <w:tabs>
          <w:tab w:leader="none" w:pos="12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the Grantee's Service with the Company or an Affiliate is terminated prior to a Vesting Date for any reason or in any circumstance other than those specified in Sections 2(b)(ii) or 2(b)(iii), any unvested portion of the Award will be forfeited.</w:t>
      </w:r>
    </w:p>
    <w:p>
      <w:pPr>
        <w:spacing w:after="0" w:line="228" w:lineRule="exact"/>
        <w:rPr>
          <w:rFonts w:ascii="Arial" w:cs="Arial" w:eastAsia="Arial" w:hAnsi="Arial"/>
          <w:sz w:val="18"/>
          <w:szCs w:val="18"/>
          <w:color w:val="auto"/>
        </w:rPr>
      </w:pPr>
    </w:p>
    <w:p>
      <w:pPr>
        <w:jc w:val="both"/>
        <w:ind w:left="1300" w:hanging="644"/>
        <w:spacing w:after="0" w:line="252" w:lineRule="auto"/>
        <w:tabs>
          <w:tab w:leader="none" w:pos="1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may, at its discretion, cancel the Award or reduce the number of Restricted Stock Units and any accrued Dividend Equivalent Rights, prorated according to time or other measure as deemed appropriate by the Committee, if at any time prior to the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3.  Change in Control</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98" w:lineRule="exact"/>
        <w:rPr>
          <w:sz w:val="20"/>
          <w:szCs w:val="20"/>
          <w:color w:val="auto"/>
        </w:rPr>
      </w:pPr>
    </w:p>
    <w:p>
      <w:pPr>
        <w:ind w:left="1300" w:hanging="644"/>
        <w:spacing w:after="0" w:line="261" w:lineRule="auto"/>
        <w:tabs>
          <w:tab w:leader="none" w:pos="12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3 shall be the consummation of a merger, share exchange, or consolidation of the Company, as defined in Section 2.6(c) of the Plan (a “Transaction”).</w:t>
      </w:r>
    </w:p>
    <w:p>
      <w:pPr>
        <w:spacing w:after="0" w:line="224" w:lineRule="exact"/>
        <w:rPr>
          <w:rFonts w:ascii="Arial" w:cs="Arial" w:eastAsia="Arial" w:hAnsi="Arial"/>
          <w:sz w:val="18"/>
          <w:szCs w:val="18"/>
          <w:color w:val="auto"/>
        </w:rPr>
      </w:pPr>
    </w:p>
    <w:p>
      <w:pPr>
        <w:jc w:val="both"/>
        <w:ind w:left="1300" w:hanging="644"/>
        <w:spacing w:after="0" w:line="256" w:lineRule="auto"/>
        <w:tabs>
          <w:tab w:leader="none" w:pos="12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 Award is not converted, assumed, substituted, continued or replaced by a successor or surviving corporation, or a parent or subsidiary thereof, in connection with a Transaction, then immediately prior to the Transaction, the Award shall vest automatically in full.</w:t>
      </w:r>
    </w:p>
    <w:p>
      <w:pPr>
        <w:spacing w:after="0" w:line="228" w:lineRule="exact"/>
        <w:rPr>
          <w:rFonts w:ascii="Arial" w:cs="Arial" w:eastAsia="Arial" w:hAnsi="Arial"/>
          <w:sz w:val="18"/>
          <w:szCs w:val="18"/>
          <w:color w:val="auto"/>
        </w:rPr>
      </w:pPr>
    </w:p>
    <w:p>
      <w:pPr>
        <w:jc w:val="both"/>
        <w:ind w:left="1300" w:hanging="644"/>
        <w:spacing w:after="0" w:line="256" w:lineRule="auto"/>
        <w:tabs>
          <w:tab w:leader="none" w:pos="12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 Award is converted, assumed, substituted, continued or replaced by a successor or surviving corporation, or a parent or subsidiary thereof, in connection with a Transaction and the Grantee is subject to a Covered Termination (as defined below) prior to any applicable Vesting Date, the Award shall vest automatically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For purposes of this provision, “Covered Termination” shall mean a termination of Service as described in Sections 2(b)(ii) and 2(b)(iii), Grantee’s termination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32" w:lineRule="exact"/>
        <w:rPr>
          <w:sz w:val="20"/>
          <w:szCs w:val="20"/>
          <w:color w:val="auto"/>
        </w:rPr>
      </w:pPr>
    </w:p>
    <w:p>
      <w:pPr>
        <w:jc w:val="both"/>
        <w:ind w:left="1300" w:hanging="644"/>
        <w:spacing w:after="0" w:line="256" w:lineRule="auto"/>
        <w:tabs>
          <w:tab w:leader="none" w:pos="12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4.  Settlement</w:t>
      </w:r>
    </w:p>
    <w:p>
      <w:pPr>
        <w:spacing w:after="0" w:line="139" w:lineRule="exact"/>
        <w:rPr>
          <w:sz w:val="20"/>
          <w:szCs w:val="20"/>
          <w:color w:val="auto"/>
        </w:rPr>
      </w:pPr>
    </w:p>
    <w:p>
      <w:pPr>
        <w:ind w:left="1300" w:hanging="644"/>
        <w:spacing w:after="0" w:line="261"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and generally within sixty (60) days following the applicable Vesting Date, or, if earlier, a vesting event contemplated under the Section 3 above.</w:t>
      </w:r>
    </w:p>
    <w:p>
      <w:pPr>
        <w:spacing w:after="0" w:line="224" w:lineRule="exact"/>
        <w:rPr>
          <w:rFonts w:ascii="Arial" w:cs="Arial" w:eastAsia="Arial" w:hAnsi="Arial"/>
          <w:sz w:val="18"/>
          <w:szCs w:val="18"/>
          <w:color w:val="auto"/>
        </w:rPr>
      </w:pPr>
    </w:p>
    <w:p>
      <w:pPr>
        <w:jc w:val="both"/>
        <w:ind w:left="1300" w:hanging="644"/>
        <w:spacing w:after="0" w:line="256"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such time, Lilly shall issue or transfer Shares or the cash equivalent, as contemplated under Section 4(c) below, to the Grantee. In the event the Grantee is entitled to a fractional Share, the fraction may be paid in cash or rounded, in the Committee’s discretion.</w:t>
      </w:r>
    </w:p>
    <w:p>
      <w:pPr>
        <w:spacing w:after="0" w:line="228" w:lineRule="exact"/>
        <w:rPr>
          <w:rFonts w:ascii="Arial" w:cs="Arial" w:eastAsia="Arial" w:hAnsi="Arial"/>
          <w:sz w:val="18"/>
          <w:szCs w:val="18"/>
          <w:color w:val="auto"/>
        </w:rPr>
      </w:pPr>
    </w:p>
    <w:p>
      <w:pPr>
        <w:jc w:val="both"/>
        <w:ind w:left="1300" w:hanging="644"/>
        <w:spacing w:after="0" w:line="256" w:lineRule="auto"/>
        <w:tabs>
          <w:tab w:leader="none" w:pos="12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time prior to the applicable Vesting Date or until the Award is paid in accordance with this Section 4, the Committee may, if it so elects, determine to pay part or all of the Award in cash in lieu of issuing or transferring Shares. The amount of cash shall be calculated based on the Fair Market Value of the Shares on the applicable Vesting Date.</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Section 5. Rights of the Grantee</w:t>
      </w:r>
    </w:p>
    <w:p>
      <w:pPr>
        <w:spacing w:after="0" w:line="139" w:lineRule="exact"/>
        <w:rPr>
          <w:sz w:val="20"/>
          <w:szCs w:val="20"/>
          <w:color w:val="auto"/>
        </w:rPr>
      </w:pPr>
    </w:p>
    <w:p>
      <w:pPr>
        <w:ind w:left="1300" w:right="20" w:hanging="644"/>
        <w:spacing w:after="0" w:line="261"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Restricted Stock Units do not entitle the Grantee to any rights of a shareholder of Lilly until such time as the Restricted Stock Units vest and Shares are issued or transferred to the Grantee.</w:t>
      </w:r>
    </w:p>
    <w:p>
      <w:pPr>
        <w:spacing w:after="0" w:line="89" w:lineRule="exact"/>
        <w:rPr>
          <w:rFonts w:ascii="Arial" w:cs="Arial" w:eastAsia="Arial" w:hAnsi="Arial"/>
          <w:sz w:val="18"/>
          <w:szCs w:val="18"/>
          <w:color w:val="auto"/>
        </w:rPr>
      </w:pPr>
    </w:p>
    <w:p>
      <w:pPr>
        <w:jc w:val="both"/>
        <w:ind w:left="1300" w:hanging="644"/>
        <w:spacing w:after="0" w:line="251"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As long as the Grantee holds Restricted Stock Units granted pursuant to this Award, the Company shall accrue for the Grantee, on each date that the Company pays a cash dividend to holders of Company Shares, Dividend Equivalent Rights equal to the total number of Restricted Stock Units credited to the Grantee under this Award multiplied by the dollar amount of the cash dividend paid per Share by the Company on such date. Dividend Equivalent Rights shall accrue in an account denominated in U.S. dollars and shall not accrue interest or other credits prior to being paid. A report showing the accrued Dividend Equivalent Rights shall be sent to the Grantee periodically, as determined by the Company. The accrued Dividend Equivalent Rights shall be subject to the same vesting conditions as the Restricted Stock Units to which the Dividend Equivalent Rights relate, and the Dividend Equivalent Rights shall be forfeited in the event that the Restricted Stock Units with respect to which such Dividend Equivalent Rights were credited are forfeited. Following the applicable Vesting Date, Lilly shall pay to the Grantee in cash all accrued Dividend Equivalent Rights in accordance with Section 4 above.</w:t>
      </w:r>
    </w:p>
    <w:p>
      <w:pPr>
        <w:spacing w:after="0" w:line="237" w:lineRule="exact"/>
        <w:rPr>
          <w:rFonts w:ascii="Arial" w:cs="Arial" w:eastAsia="Arial" w:hAnsi="Arial"/>
          <w:sz w:val="18"/>
          <w:szCs w:val="18"/>
          <w:color w:val="auto"/>
        </w:rPr>
      </w:pPr>
    </w:p>
    <w:p>
      <w:pPr>
        <w:ind w:left="1300" w:hanging="644"/>
        <w:spacing w:after="0" w:line="261" w:lineRule="auto"/>
        <w:tabs>
          <w:tab w:leader="none" w:pos="129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right of the Grantee to receive payments of cash or Shares pursuant to this Award Agreement shall be an unsecured claim against the general assets of the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6.  Prohibition Against Transfer</w:t>
      </w:r>
    </w:p>
    <w:p>
      <w:pPr>
        <w:spacing w:after="0" w:line="13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7.  Responsibility for Taxes</w:t>
      </w:r>
    </w:p>
    <w:p>
      <w:pPr>
        <w:spacing w:after="0" w:line="85" w:lineRule="exact"/>
        <w:rPr>
          <w:sz w:val="20"/>
          <w:szCs w:val="20"/>
          <w:color w:val="auto"/>
        </w:rPr>
      </w:pPr>
    </w:p>
    <w:p>
      <w:pPr>
        <w:jc w:val="both"/>
        <w:ind w:left="1300" w:hanging="644"/>
        <w:spacing w:after="0" w:line="251" w:lineRule="auto"/>
        <w:tabs>
          <w:tab w:leader="none" w:pos="1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Restricted Stock Units, the accrual of Dividend Equivalent Rights, the vesting of the Restricted Stock Units and the lapse of restrictions, the transfer and issuance of any Shares, the receipt of any cash payment pursuant to the Award and/or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36" w:lineRule="exact"/>
        <w:rPr>
          <w:rFonts w:ascii="Arial" w:cs="Arial" w:eastAsia="Arial" w:hAnsi="Arial"/>
          <w:sz w:val="18"/>
          <w:szCs w:val="18"/>
          <w:color w:val="auto"/>
        </w:rPr>
      </w:pPr>
    </w:p>
    <w:p>
      <w:pPr>
        <w:ind w:left="1300" w:hanging="644"/>
        <w:spacing w:after="0" w:line="261" w:lineRule="auto"/>
        <w:tabs>
          <w:tab w:leader="none" w:pos="1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224" w:lineRule="exact"/>
        <w:rPr>
          <w:rFonts w:ascii="Arial" w:cs="Arial" w:eastAsia="Arial" w:hAnsi="Arial"/>
          <w:sz w:val="18"/>
          <w:szCs w:val="18"/>
          <w:color w:val="auto"/>
        </w:rPr>
      </w:pPr>
    </w:p>
    <w:p>
      <w:pPr>
        <w:jc w:val="both"/>
        <w:ind w:left="1960" w:hanging="654"/>
        <w:spacing w:after="0" w:line="253"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Dividend Equivalent Rights paid to the Grantee and if the Restricted Stock Units are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232" w:lineRule="exact"/>
        <w:rPr>
          <w:rFonts w:ascii="Arial" w:cs="Arial" w:eastAsia="Arial" w:hAnsi="Arial"/>
          <w:sz w:val="18"/>
          <w:szCs w:val="18"/>
          <w:color w:val="auto"/>
        </w:rPr>
      </w:pPr>
    </w:p>
    <w:p>
      <w:pPr>
        <w:jc w:val="both"/>
        <w:ind w:left="1960" w:hanging="694"/>
        <w:spacing w:after="0" w:line="252"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Restricted Stock Units are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60" w:right="20" w:hanging="8"/>
        <w:spacing w:after="0" w:line="261" w:lineRule="auto"/>
        <w:tabs>
          <w:tab w:leader="none" w:pos="2281" w:val="left"/>
        </w:tabs>
        <w:numPr>
          <w:ilvl w:val="2"/>
          <w:numId w:val="34"/>
        </w:numPr>
        <w:rPr>
          <w:rFonts w:ascii="Arial" w:cs="Arial" w:eastAsia="Arial" w:hAnsi="Arial"/>
          <w:sz w:val="18"/>
          <w:szCs w:val="18"/>
          <w:color w:val="auto"/>
        </w:rPr>
      </w:pPr>
      <w:r>
        <w:rPr>
          <w:rFonts w:ascii="Arial" w:cs="Arial" w:eastAsia="Arial" w:hAnsi="Arial"/>
          <w:sz w:val="18"/>
          <w:szCs w:val="18"/>
          <w:color w:val="auto"/>
        </w:rPr>
        <w:t>apply any other method of withholding determined by the Company and, to the extent required by Applicable Laws or the Plan, approved by the Committee.</w:t>
      </w:r>
    </w:p>
    <w:p>
      <w:pPr>
        <w:spacing w:after="0" w:line="224" w:lineRule="exact"/>
        <w:rPr>
          <w:rFonts w:ascii="Arial" w:cs="Arial" w:eastAsia="Arial" w:hAnsi="Arial"/>
          <w:sz w:val="18"/>
          <w:szCs w:val="18"/>
          <w:color w:val="auto"/>
        </w:rPr>
      </w:pPr>
    </w:p>
    <w:p>
      <w:pPr>
        <w:jc w:val="both"/>
        <w:ind w:left="1960" w:hanging="734"/>
        <w:spacing w:after="0" w:line="253"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Restricted Stock Units are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7(b)(ii)(A) and (B) above.</w:t>
      </w:r>
    </w:p>
    <w:p>
      <w:pPr>
        <w:spacing w:after="0" w:line="232" w:lineRule="exact"/>
        <w:rPr>
          <w:rFonts w:ascii="Arial" w:cs="Arial" w:eastAsia="Arial" w:hAnsi="Arial"/>
          <w:sz w:val="18"/>
          <w:szCs w:val="18"/>
          <w:color w:val="auto"/>
        </w:rPr>
      </w:pPr>
    </w:p>
    <w:p>
      <w:pPr>
        <w:jc w:val="both"/>
        <w:ind w:left="1300" w:hanging="644"/>
        <w:spacing w:after="0" w:line="252" w:lineRule="auto"/>
        <w:tabs>
          <w:tab w:leader="none" w:pos="12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which case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233" w:lineRule="exact"/>
        <w:rPr>
          <w:rFonts w:ascii="Arial" w:cs="Arial" w:eastAsia="Arial" w:hAnsi="Arial"/>
          <w:sz w:val="18"/>
          <w:szCs w:val="18"/>
          <w:color w:val="auto"/>
        </w:rPr>
      </w:pPr>
    </w:p>
    <w:p>
      <w:pPr>
        <w:jc w:val="both"/>
        <w:ind w:left="1300" w:hanging="644"/>
        <w:spacing w:after="0" w:line="254" w:lineRule="auto"/>
        <w:tabs>
          <w:tab w:leader="none" w:pos="12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or any cash payment to the Grantee if the Grantee fails to comply with the Grantee’s obligation in connection with the Tax Related Items as described in this Section 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8.  Section 409A Compliance</w:t>
      </w:r>
    </w:p>
    <w:p>
      <w:pPr>
        <w:spacing w:after="0" w:line="8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9.  Grantee’s Acknowledgement</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52" w:lineRule="exact"/>
        <w:rPr>
          <w:sz w:val="20"/>
          <w:szCs w:val="20"/>
          <w:color w:val="auto"/>
        </w:rPr>
      </w:pPr>
    </w:p>
    <w:p>
      <w:pPr>
        <w:ind w:left="1300" w:hanging="644"/>
        <w:spacing w:after="0" w:line="261"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197" w:lineRule="exact"/>
        <w:rPr>
          <w:rFonts w:ascii="Arial" w:cs="Arial" w:eastAsia="Arial" w:hAnsi="Arial"/>
          <w:sz w:val="18"/>
          <w:szCs w:val="18"/>
          <w:color w:val="auto"/>
        </w:rPr>
      </w:pPr>
    </w:p>
    <w:p>
      <w:pPr>
        <w:jc w:val="both"/>
        <w:ind w:left="1300" w:hanging="644"/>
        <w:spacing w:after="0" w:line="256"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of Restricted Stock Units and/or Dividend Equivalent Rights, or benefits in lieu thereof, even if Restricted Stock Units and/or Dividend Equivalent Rights have been granted in the past;</w:t>
      </w:r>
    </w:p>
    <w:p>
      <w:pPr>
        <w:spacing w:after="0" w:line="201" w:lineRule="exact"/>
        <w:rPr>
          <w:rFonts w:ascii="Arial" w:cs="Arial" w:eastAsia="Arial" w:hAnsi="Arial"/>
          <w:sz w:val="18"/>
          <w:szCs w:val="18"/>
          <w:color w:val="auto"/>
        </w:rPr>
      </w:pPr>
    </w:p>
    <w:p>
      <w:pPr>
        <w:ind w:left="1300" w:hanging="644"/>
        <w:spacing w:after="0" w:line="261" w:lineRule="auto"/>
        <w:tabs>
          <w:tab w:leader="none" w:pos="12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decisions with respect to future awards of Restricted Stock Units, Dividend Equivalent Rights or other awards, if any, will be at the sole discretion of the Committee;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hanging="644"/>
        <w:spacing w:after="0" w:line="254" w:lineRule="auto"/>
        <w:tabs>
          <w:tab w:leader="none" w:pos="12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203" w:lineRule="exact"/>
        <w:rPr>
          <w:rFonts w:ascii="Arial" w:cs="Arial" w:eastAsia="Arial" w:hAnsi="Arial"/>
          <w:sz w:val="18"/>
          <w:szCs w:val="18"/>
          <w:color w:val="auto"/>
        </w:rPr>
      </w:pPr>
    </w:p>
    <w:p>
      <w:pPr>
        <w:ind w:left="1300" w:hanging="644"/>
        <w:spacing w:after="0" w:line="261" w:lineRule="auto"/>
        <w:tabs>
          <w:tab w:leader="none" w:pos="12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197" w:lineRule="exact"/>
        <w:rPr>
          <w:rFonts w:ascii="Arial" w:cs="Arial" w:eastAsia="Arial" w:hAnsi="Arial"/>
          <w:sz w:val="18"/>
          <w:szCs w:val="18"/>
          <w:color w:val="auto"/>
        </w:rPr>
      </w:pPr>
    </w:p>
    <w:p>
      <w:pPr>
        <w:jc w:val="both"/>
        <w:ind w:left="1300" w:hanging="644"/>
        <w:spacing w:after="0" w:line="254" w:lineRule="auto"/>
        <w:tabs>
          <w:tab w:leader="none" w:pos="12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25"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203" w:lineRule="exact"/>
        <w:rPr>
          <w:rFonts w:ascii="Arial" w:cs="Arial" w:eastAsia="Arial" w:hAnsi="Arial"/>
          <w:sz w:val="18"/>
          <w:szCs w:val="18"/>
          <w:color w:val="auto"/>
        </w:rPr>
      </w:pPr>
    </w:p>
    <w:p>
      <w:pPr>
        <w:jc w:val="both"/>
        <w:ind w:left="1300" w:hanging="644"/>
        <w:spacing w:after="0" w:line="251" w:lineRule="auto"/>
        <w:tabs>
          <w:tab w:leader="none" w:pos="12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211"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203" w:lineRule="exact"/>
        <w:rPr>
          <w:rFonts w:ascii="Arial" w:cs="Arial" w:eastAsia="Arial" w:hAnsi="Arial"/>
          <w:sz w:val="18"/>
          <w:szCs w:val="18"/>
          <w:color w:val="auto"/>
        </w:rPr>
      </w:pPr>
    </w:p>
    <w:p>
      <w:pPr>
        <w:jc w:val="both"/>
        <w:ind w:left="1300" w:hanging="644"/>
        <w:spacing w:after="0" w:line="256" w:lineRule="auto"/>
        <w:tabs>
          <w:tab w:leader="none" w:pos="12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10.Data Privacy</w:t>
      </w:r>
    </w:p>
    <w:p>
      <w:pPr>
        <w:spacing w:after="0" w:line="67" w:lineRule="exact"/>
        <w:rPr>
          <w:sz w:val="20"/>
          <w:szCs w:val="20"/>
          <w:color w:val="auto"/>
        </w:rPr>
      </w:pPr>
    </w:p>
    <w:p>
      <w:pPr>
        <w:jc w:val="both"/>
        <w:ind w:left="1300" w:hanging="644"/>
        <w:spacing w:after="0" w:line="254" w:lineRule="auto"/>
        <w:tabs>
          <w:tab w:leader="none" w:pos="128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Restricted Share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212" w:lineRule="exact"/>
        <w:rPr>
          <w:rFonts w:ascii="Arial" w:cs="Arial" w:eastAsia="Arial" w:hAnsi="Arial"/>
          <w:sz w:val="18"/>
          <w:szCs w:val="18"/>
          <w:i w:val="1"/>
          <w:iCs w:val="1"/>
          <w:color w:val="auto"/>
        </w:rPr>
      </w:pPr>
    </w:p>
    <w:p>
      <w:pPr>
        <w:jc w:val="both"/>
        <w:ind w:left="1300" w:hanging="644"/>
        <w:spacing w:after="0" w:line="255" w:lineRule="auto"/>
        <w:tabs>
          <w:tab w:leader="none" w:pos="128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11" w:lineRule="exact"/>
        <w:rPr>
          <w:rFonts w:ascii="Arial" w:cs="Arial" w:eastAsia="Arial" w:hAnsi="Arial"/>
          <w:sz w:val="18"/>
          <w:szCs w:val="18"/>
          <w:i w:val="1"/>
          <w:iCs w:val="1"/>
          <w:color w:val="auto"/>
        </w:rPr>
      </w:pPr>
    </w:p>
    <w:p>
      <w:pPr>
        <w:jc w:val="both"/>
        <w:ind w:left="1300" w:hanging="644"/>
        <w:spacing w:after="0" w:line="266" w:lineRule="auto"/>
        <w:tabs>
          <w:tab w:leader="none" w:pos="1291"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202" w:lineRule="exact"/>
        <w:rPr>
          <w:rFonts w:ascii="Arial" w:cs="Arial" w:eastAsia="Arial" w:hAnsi="Arial"/>
          <w:sz w:val="18"/>
          <w:szCs w:val="18"/>
          <w:i w:val="1"/>
          <w:iCs w:val="1"/>
          <w:color w:val="auto"/>
        </w:rPr>
      </w:pPr>
    </w:p>
    <w:p>
      <w:pPr>
        <w:jc w:val="both"/>
        <w:ind w:left="1300" w:hanging="644"/>
        <w:spacing w:after="0" w:line="266" w:lineRule="auto"/>
        <w:tabs>
          <w:tab w:leader="none" w:pos="128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202" w:lineRule="exact"/>
        <w:rPr>
          <w:rFonts w:ascii="Arial" w:cs="Arial" w:eastAsia="Arial" w:hAnsi="Arial"/>
          <w:sz w:val="18"/>
          <w:szCs w:val="18"/>
          <w:i w:val="1"/>
          <w:iCs w:val="1"/>
          <w:color w:val="auto"/>
        </w:rPr>
      </w:pPr>
    </w:p>
    <w:p>
      <w:pPr>
        <w:jc w:val="both"/>
        <w:ind w:left="1300" w:hanging="644"/>
        <w:spacing w:after="0" w:line="258" w:lineRule="auto"/>
        <w:tabs>
          <w:tab w:leader="none" w:pos="1288"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10" w:lineRule="exact"/>
        <w:rPr>
          <w:rFonts w:ascii="Arial" w:cs="Arial" w:eastAsia="Arial" w:hAnsi="Arial"/>
          <w:sz w:val="18"/>
          <w:szCs w:val="18"/>
          <w:i w:val="1"/>
          <w:iCs w:val="1"/>
          <w:color w:val="auto"/>
        </w:rPr>
      </w:pPr>
    </w:p>
    <w:p>
      <w:pPr>
        <w:jc w:val="both"/>
        <w:ind w:left="1300" w:hanging="644"/>
        <w:spacing w:after="0" w:line="255" w:lineRule="auto"/>
        <w:tabs>
          <w:tab w:leader="none" w:pos="1292"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i w:val="1"/>
          <w:iCs w:val="1"/>
          <w:color w:val="auto"/>
        </w:rPr>
        <w:t>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216" w:lineRule="exact"/>
        <w:rPr>
          <w:sz w:val="20"/>
          <w:szCs w:val="20"/>
          <w:color w:val="auto"/>
        </w:rPr>
      </w:pPr>
    </w:p>
    <w:p>
      <w:pPr>
        <w:jc w:val="both"/>
        <w:ind w:left="1300" w:hanging="644"/>
        <w:spacing w:after="0" w:line="258" w:lineRule="auto"/>
        <w:tabs>
          <w:tab w:leader="none" w:pos="1288"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offer an adequate level of protection from a European (or other non-U.S.) data protection law perspective, for the purposes described above.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11.Restrictive Covenants, Remedies, and Additional Terms and Conditions</w:t>
      </w:r>
    </w:p>
    <w:p>
      <w:pPr>
        <w:spacing w:after="0" w:line="247" w:lineRule="exact"/>
        <w:rPr>
          <w:sz w:val="20"/>
          <w:szCs w:val="20"/>
          <w:color w:val="auto"/>
        </w:rPr>
      </w:pPr>
    </w:p>
    <w:p>
      <w:pPr>
        <w:jc w:val="both"/>
        <w:ind w:left="1300" w:hanging="644"/>
        <w:spacing w:after="0" w:line="253" w:lineRule="auto"/>
        <w:tabs>
          <w:tab w:leader="none" w:pos="12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205" w:lineRule="exact"/>
        <w:rPr>
          <w:rFonts w:ascii="Arial" w:cs="Arial" w:eastAsia="Arial" w:hAnsi="Arial"/>
          <w:sz w:val="18"/>
          <w:szCs w:val="18"/>
          <w:color w:val="auto"/>
        </w:rPr>
      </w:pPr>
    </w:p>
    <w:p>
      <w:pPr>
        <w:jc w:val="both"/>
        <w:ind w:left="1620" w:hanging="476"/>
        <w:spacing w:after="0" w:line="253"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232" w:lineRule="exact"/>
        <w:rPr>
          <w:rFonts w:ascii="Arial" w:cs="Arial" w:eastAsia="Arial" w:hAnsi="Arial"/>
          <w:sz w:val="18"/>
          <w:szCs w:val="18"/>
          <w:color w:val="auto"/>
        </w:rPr>
      </w:pPr>
    </w:p>
    <w:p>
      <w:pPr>
        <w:jc w:val="both"/>
        <w:ind w:left="1620" w:hanging="516"/>
        <w:spacing w:after="0" w:line="252"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208"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The Grantee acknowledges and agrees that any Lilly Affiliate is an intended third-party beneficiary of this Award Agreement, which may be enforced by Lilly or any such Affiliate, either singularly or jointly.</w:t>
      </w:r>
    </w:p>
    <w:p>
      <w:pPr>
        <w:spacing w:after="0" w:line="198"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For purposes of this Award Agreement, “Competitively-Sensitive Capacity” means: (i) the same or similar capacity or function in which the Grantee worked for Lilly or a Covered Affiliate at any time during the two (2) years immediately preceding the end of the Grantee’s employment; (ii) any officer, director, executive or senior management capacity or function; (iii) any research and development capacity or function; (iv) any sales management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spacing w:after="0" w:line="251" w:lineRule="auto"/>
        <w:rPr>
          <w:sz w:val="20"/>
          <w:szCs w:val="20"/>
          <w:color w:val="auto"/>
        </w:rPr>
      </w:pPr>
      <w:r>
        <w:rPr>
          <w:rFonts w:ascii="Arial" w:cs="Arial" w:eastAsia="Arial" w:hAnsi="Arial"/>
          <w:sz w:val="18"/>
          <w:szCs w:val="18"/>
          <w:color w:val="auto"/>
        </w:rPr>
        <w:t>business development management capacity or function; (v) any ownership capacity (except the Grantee may own as a passive investment up to 2% of any publicly traded securities); and/or (vi) any other capacity or function in which there is a material risk that the Grantee likely would inevitably use or disclose trade secrets and/or confidential information of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212"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The Grantee and Lilly acknowledge and agree that the worldwide geographic scope of the foregoing covenants is reasonable and necessary given, among other things, that: (i) absent the restrictions, the Grantee could utilize Lilly’s (or its Affiliates) trade secrets and/or confidential information and compete with Lilly or Affiliate from virtually anywhere; and (ii)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208" w:lineRule="exact"/>
        <w:rPr>
          <w:sz w:val="20"/>
          <w:szCs w:val="20"/>
          <w:color w:val="auto"/>
        </w:rPr>
      </w:pPr>
    </w:p>
    <w:p>
      <w:pPr>
        <w:jc w:val="both"/>
        <w:ind w:left="1300"/>
        <w:spacing w:after="0" w:line="251" w:lineRule="auto"/>
        <w:rPr>
          <w:sz w:val="20"/>
          <w:szCs w:val="20"/>
          <w:color w:val="auto"/>
        </w:rPr>
      </w:pPr>
      <w:r>
        <w:rPr>
          <w:rFonts w:ascii="Arial" w:cs="Arial" w:eastAsia="Arial" w:hAnsi="Arial"/>
          <w:sz w:val="18"/>
          <w:szCs w:val="18"/>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twelve-month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210"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within this Award Agreement, such covenant or provision will automatically be deemed reformed so that the contested covenant or provision will have the closest effect permitted by applicable law to the original form and will be given effect and enforced as so reformed to whatever would be reasonable and extent enforceable under applicable law. Any court interpreting any restrictive covenant provision of this Award Agreement will, if necessary, reform any such provision to make it enforceable under applicable law.</w:t>
      </w:r>
    </w:p>
    <w:p>
      <w:pPr>
        <w:spacing w:after="0" w:line="207"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in the past, including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in the Grantee’s Employee Confidentiality and Invention Agreement, each of which remains in full force and effect, or that the Grantee agrees in the future.</w:t>
      </w:r>
    </w:p>
    <w:p>
      <w:pPr>
        <w:spacing w:after="0" w:line="198"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The Grantee acknowledges that a breach by the Grantee of this Award Agreement will give rise to irreparable injury to Lilly and Covered Affiliates and money damages will not provide adequate relief for such injury. As a result, the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205" w:lineRule="exact"/>
        <w:rPr>
          <w:sz w:val="20"/>
          <w:szCs w:val="20"/>
          <w:color w:val="auto"/>
        </w:rPr>
      </w:pPr>
    </w:p>
    <w:p>
      <w:pPr>
        <w:jc w:val="both"/>
        <w:ind w:left="1300" w:hanging="644"/>
        <w:spacing w:after="0" w:line="252" w:lineRule="auto"/>
        <w:tabs>
          <w:tab w:leader="none" w:pos="12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the Company determines that the Grantee has violated any applicable provisions of this Section 11,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11 shall not be Lilly’s (or any third-party beneficiary’s) exclusive remedies. Lilly reserves all other rights and remedies available to it at law or in equity.</w:t>
      </w:r>
    </w:p>
    <w:p>
      <w:pPr>
        <w:spacing w:after="0" w:line="234" w:lineRule="exact"/>
        <w:rPr>
          <w:rFonts w:ascii="Arial" w:cs="Arial" w:eastAsia="Arial" w:hAnsi="Arial"/>
          <w:sz w:val="18"/>
          <w:szCs w:val="18"/>
          <w:color w:val="auto"/>
        </w:rPr>
      </w:pPr>
    </w:p>
    <w:p>
      <w:pPr>
        <w:jc w:val="both"/>
        <w:ind w:left="1300" w:hanging="644"/>
        <w:spacing w:after="0" w:line="251" w:lineRule="auto"/>
        <w:tabs>
          <w:tab w:leader="none" w:pos="129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38" w:lineRule="exact"/>
        <w:rPr>
          <w:rFonts w:ascii="Arial" w:cs="Arial" w:eastAsia="Arial" w:hAnsi="Arial"/>
          <w:sz w:val="18"/>
          <w:szCs w:val="18"/>
          <w:color w:val="auto"/>
        </w:rPr>
      </w:pPr>
    </w:p>
    <w:p>
      <w:pPr>
        <w:jc w:val="both"/>
        <w:ind w:left="1300" w:hanging="644"/>
        <w:spacing w:after="0" w:line="252" w:lineRule="auto"/>
        <w:tabs>
          <w:tab w:leader="none" w:pos="12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12.Governing Law and Choice of Venue</w:t>
      </w:r>
    </w:p>
    <w:p>
      <w:pPr>
        <w:spacing w:after="0" w:line="139"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w:t>
      </w:r>
      <w:r>
        <w:rPr>
          <w:rFonts w:ascii="Arial" w:cs="Arial" w:eastAsia="Arial" w:hAnsi="Arial"/>
          <w:sz w:val="18"/>
          <w:szCs w:val="18"/>
          <w:b w:val="1"/>
          <w:bCs w:val="1"/>
          <w:color w:val="auto"/>
        </w:rPr>
        <w:t>,</w:t>
      </w:r>
      <w:r>
        <w:rPr>
          <w:rFonts w:ascii="Arial" w:cs="Arial" w:eastAsia="Arial" w:hAnsi="Arial"/>
          <w:sz w:val="18"/>
          <w:szCs w:val="18"/>
          <w:color w:val="auto"/>
        </w:rPr>
        <w:t xml:space="preserve"> and no other courts, where this Award is granted and/or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13.Miscellaneous Provisions</w:t>
      </w:r>
    </w:p>
    <w:p>
      <w:pPr>
        <w:spacing w:after="0" w:line="139" w:lineRule="exact"/>
        <w:rPr>
          <w:sz w:val="20"/>
          <w:szCs w:val="20"/>
          <w:color w:val="auto"/>
        </w:rPr>
      </w:pPr>
    </w:p>
    <w:p>
      <w:pPr>
        <w:jc w:val="both"/>
        <w:ind w:left="1300" w:hanging="644"/>
        <w:spacing w:after="0" w:line="251" w:lineRule="auto"/>
        <w:tabs>
          <w:tab w:leader="none" w:pos="12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38" w:lineRule="exact"/>
        <w:rPr>
          <w:rFonts w:ascii="Arial" w:cs="Arial" w:eastAsia="Arial" w:hAnsi="Arial"/>
          <w:sz w:val="18"/>
          <w:szCs w:val="18"/>
          <w:color w:val="auto"/>
        </w:rPr>
      </w:pPr>
    </w:p>
    <w:p>
      <w:pPr>
        <w:jc w:val="both"/>
        <w:ind w:left="1300" w:hanging="644"/>
        <w:spacing w:after="0" w:line="253" w:lineRule="auto"/>
        <w:tabs>
          <w:tab w:leader="none" w:pos="12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32" w:lineRule="exact"/>
        <w:rPr>
          <w:rFonts w:ascii="Arial" w:cs="Arial" w:eastAsia="Arial" w:hAnsi="Arial"/>
          <w:sz w:val="18"/>
          <w:szCs w:val="18"/>
          <w:color w:val="auto"/>
        </w:rPr>
      </w:pPr>
    </w:p>
    <w:p>
      <w:pPr>
        <w:jc w:val="both"/>
        <w:ind w:left="1300" w:hanging="644"/>
        <w:spacing w:after="0" w:line="256" w:lineRule="auto"/>
        <w:tabs>
          <w:tab w:leader="none" w:pos="12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28" w:lineRule="exact"/>
        <w:rPr>
          <w:rFonts w:ascii="Arial" w:cs="Arial" w:eastAsia="Arial" w:hAnsi="Arial"/>
          <w:sz w:val="18"/>
          <w:szCs w:val="18"/>
          <w:color w:val="auto"/>
        </w:rPr>
      </w:pPr>
    </w:p>
    <w:p>
      <w:pPr>
        <w:jc w:val="both"/>
        <w:ind w:left="1300" w:hanging="644"/>
        <w:spacing w:after="0" w:line="252" w:lineRule="auto"/>
        <w:tabs>
          <w:tab w:leader="none" w:pos="12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34" w:lineRule="exact"/>
        <w:rPr>
          <w:rFonts w:ascii="Arial" w:cs="Arial" w:eastAsia="Arial" w:hAnsi="Arial"/>
          <w:sz w:val="18"/>
          <w:szCs w:val="18"/>
          <w:color w:val="auto"/>
        </w:rPr>
      </w:pPr>
    </w:p>
    <w:p>
      <w:pPr>
        <w:ind w:left="1300"/>
        <w:spacing w:after="0" w:line="261"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197" w:lineRule="exact"/>
        <w:rPr>
          <w:rFonts w:ascii="Arial" w:cs="Arial" w:eastAsia="Arial" w:hAnsi="Arial"/>
          <w:sz w:val="18"/>
          <w:szCs w:val="18"/>
          <w:color w:val="auto"/>
        </w:rPr>
      </w:pPr>
    </w:p>
    <w:p>
      <w:pPr>
        <w:jc w:val="both"/>
        <w:ind w:left="1300" w:hanging="644"/>
        <w:spacing w:after="0" w:line="254" w:lineRule="auto"/>
        <w:tabs>
          <w:tab w:leader="none" w:pos="12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14.Compensation Recovery</w:t>
      </w:r>
    </w:p>
    <w:p>
      <w:pPr>
        <w:spacing w:after="0" w:line="85" w:lineRule="exact"/>
        <w:rPr>
          <w:sz w:val="20"/>
          <w:szCs w:val="20"/>
          <w:color w:val="auto"/>
        </w:rPr>
      </w:pPr>
    </w:p>
    <w:p>
      <w:pPr>
        <w:jc w:val="both"/>
        <w:ind w:left="420" w:right="20"/>
        <w:spacing w:after="0" w:line="256" w:lineRule="auto"/>
        <w:rPr>
          <w:sz w:val="20"/>
          <w:szCs w:val="20"/>
          <w:color w:val="auto"/>
        </w:rPr>
      </w:pPr>
      <w:r>
        <w:rPr>
          <w:rFonts w:ascii="Arial" w:cs="Arial" w:eastAsia="Arial" w:hAnsi="Arial"/>
          <w:sz w:val="18"/>
          <w:szCs w:val="18"/>
          <w:color w:val="auto"/>
        </w:rPr>
        <w:t>At any time during the three years following the date on which the number of shares of Lilly Stock subject to this Award was determined, the Company reserves the right to and, in appropriate cases, will seek restitution of all or part of any shares of Lilly Stock subject to or issued (or cash paid) pursuant to this Award if:</w:t>
      </w:r>
    </w:p>
    <w:p>
      <w:pPr>
        <w:spacing w:after="0" w:line="202" w:lineRule="exact"/>
        <w:rPr>
          <w:sz w:val="20"/>
          <w:szCs w:val="20"/>
          <w:color w:val="auto"/>
        </w:rPr>
      </w:pPr>
    </w:p>
    <w:p>
      <w:pPr>
        <w:ind w:left="1280" w:right="20" w:hanging="647"/>
        <w:spacing w:after="0" w:line="261" w:lineRule="auto"/>
        <w:tabs>
          <w:tab w:leader="none" w:pos="1260" w:val="left"/>
        </w:tabs>
        <w:rPr>
          <w:sz w:val="20"/>
          <w:szCs w:val="20"/>
          <w:color w:val="auto"/>
        </w:rPr>
      </w:pPr>
      <w:r>
        <w:rPr>
          <w:rFonts w:ascii="Arial" w:cs="Arial" w:eastAsia="Arial" w:hAnsi="Arial"/>
          <w:sz w:val="18"/>
          <w:szCs w:val="18"/>
          <w:color w:val="auto"/>
        </w:rPr>
        <w:t>a. (i)</w:t>
        <w:tab/>
        <w:t>the number of shares of Lilly Stock subject to the Award was calculated based, directly or indirectly, upon the achievement of financial results (e.g., earnings per share) that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subsequently the subject of restatement of all or a portion of the Company’s financial statements;</w:t>
      </w:r>
    </w:p>
    <w:p>
      <w:pPr>
        <w:spacing w:after="0" w:line="9" w:lineRule="exact"/>
        <w:rPr>
          <w:sz w:val="20"/>
          <w:szCs w:val="20"/>
          <w:color w:val="auto"/>
        </w:rPr>
      </w:pPr>
    </w:p>
    <w:p>
      <w:pPr>
        <w:ind w:left="1220" w:hanging="402"/>
        <w:spacing w:after="0"/>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9" w:lineRule="exact"/>
        <w:rPr>
          <w:rFonts w:ascii="Arial" w:cs="Arial" w:eastAsia="Arial" w:hAnsi="Arial"/>
          <w:sz w:val="18"/>
          <w:szCs w:val="18"/>
          <w:color w:val="auto"/>
        </w:rPr>
      </w:pPr>
    </w:p>
    <w:p>
      <w:pPr>
        <w:ind w:left="1300" w:right="20" w:hanging="482"/>
        <w:spacing w:after="0" w:line="250" w:lineRule="auto"/>
        <w:tabs>
          <w:tab w:leader="none" w:pos="13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number of shares of Lilly Stock that would have been subject to the Award had the financial results been properly reported would have been lower than the number of shares of Lilly Stock actually subject to the Award.</w:t>
      </w:r>
    </w:p>
    <w:p>
      <w:pPr>
        <w:ind w:left="1300" w:right="20" w:hanging="644"/>
        <w:spacing w:after="0" w:line="256" w:lineRule="auto"/>
        <w:tabs>
          <w:tab w:leader="none" w:pos="10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02" w:lineRule="exact"/>
        <w:rPr>
          <w:sz w:val="20"/>
          <w:szCs w:val="20"/>
          <w:color w:val="auto"/>
        </w:rPr>
      </w:pPr>
    </w:p>
    <w:p>
      <w:pPr>
        <w:jc w:val="both"/>
        <w:ind w:left="420" w:right="20"/>
        <w:spacing w:after="0" w:line="256" w:lineRule="auto"/>
        <w:rPr>
          <w:sz w:val="20"/>
          <w:szCs w:val="20"/>
          <w:color w:val="auto"/>
        </w:rPr>
      </w:pPr>
      <w:r>
        <w:rPr>
          <w:rFonts w:ascii="Arial" w:cs="Arial" w:eastAsia="Arial" w:hAnsi="Arial"/>
          <w:sz w:val="18"/>
          <w:szCs w:val="18"/>
          <w:color w:val="auto"/>
        </w:rPr>
        <w:t>In the event the number of shares of Lilly Stock subject to the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202" w:lineRule="exact"/>
        <w:rPr>
          <w:sz w:val="20"/>
          <w:szCs w:val="20"/>
          <w:color w:val="auto"/>
        </w:rPr>
      </w:pPr>
    </w:p>
    <w:p>
      <w:pPr>
        <w:jc w:val="both"/>
        <w:ind w:left="1300" w:right="20" w:hanging="644"/>
        <w:spacing w:after="0" w:line="250" w:lineRule="auto"/>
        <w:tabs>
          <w:tab w:leader="none" w:pos="12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seek restitution of the shares of Lilly Stock subject to or issued (or cash paid) pursuant to this Award to the extent that the number of shares of Lilly Stock subject to the Award exceeded the number of shares of Lilly Stock that would have been subject to the Award had the inaccuracy or error not occurred, or</w:t>
      </w:r>
    </w:p>
    <w:p>
      <w:pPr>
        <w:spacing w:after="0" w:line="1" w:lineRule="exact"/>
        <w:rPr>
          <w:rFonts w:ascii="Arial" w:cs="Arial" w:eastAsia="Arial" w:hAnsi="Arial"/>
          <w:sz w:val="18"/>
          <w:szCs w:val="18"/>
          <w:color w:val="auto"/>
        </w:rPr>
      </w:pPr>
    </w:p>
    <w:p>
      <w:pPr>
        <w:ind w:left="1300" w:right="20" w:hanging="644"/>
        <w:spacing w:after="0" w:line="261" w:lineRule="auto"/>
        <w:tabs>
          <w:tab w:leader="none" w:pos="12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 additional shares of Lilly Stock or make additional cash payment to the extent that the number of shares of Lilly Stock subject to the Award was less than the correct amount.</w:t>
      </w:r>
    </w:p>
    <w:p>
      <w:pPr>
        <w:spacing w:after="0" w:line="198"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This Section 14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15.Award Subject to Acknowledgement of Acceptance</w:t>
      </w:r>
    </w:p>
    <w:p>
      <w:pPr>
        <w:spacing w:after="0" w:line="139"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[INSERT DATE], through the website of Merrill Lynch, the Company’s stock plan administrator. If the Grantee does not acknowledge acceptance of the Award prior to 4:00 PM (EDT) [INSERT DATE], the Award will be cancelled, subject to the Committee's discretion for unforeseen circumstances.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EXHIBIT 10.2 Release Agreement, effective as of February 9, 2021, by and between Eli Lilly and Company and Joshua L. Smiley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0" w:lineRule="exact"/>
        <w:rPr>
          <w:sz w:val="20"/>
          <w:szCs w:val="20"/>
          <w:color w:val="auto"/>
        </w:rPr>
      </w:pPr>
    </w:p>
    <w:p>
      <w:pPr>
        <w:ind w:firstLine="648"/>
        <w:spacing w:after="0" w:line="481" w:lineRule="auto"/>
        <w:rPr>
          <w:sz w:val="20"/>
          <w:szCs w:val="20"/>
          <w:color w:val="auto"/>
        </w:rPr>
      </w:pPr>
      <w:r>
        <w:rPr>
          <w:rFonts w:ascii="Arial" w:cs="Arial" w:eastAsia="Arial" w:hAnsi="Arial"/>
          <w:sz w:val="18"/>
          <w:szCs w:val="18"/>
          <w:color w:val="auto"/>
        </w:rPr>
        <w:t>This RELEASE AGREEMENT (“Agreement”) is entered into by and between Eli Lilly and Company (“Lilly”) and Joshua L. Smiley (“Executive”).</w:t>
      </w:r>
    </w:p>
    <w:p>
      <w:pPr>
        <w:spacing w:after="0" w:line="223"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conditions set forth in this Agreement, Lilly and Executive agree as follows:</w:t>
      </w:r>
    </w:p>
    <w:p>
      <w:pPr>
        <w:spacing w:after="0" w:line="198" w:lineRule="exact"/>
        <w:rPr>
          <w:sz w:val="20"/>
          <w:szCs w:val="20"/>
          <w:color w:val="auto"/>
        </w:rPr>
      </w:pPr>
    </w:p>
    <w:p>
      <w:pPr>
        <w:jc w:val="both"/>
        <w:ind w:firstLine="656"/>
        <w:spacing w:after="0" w:line="469" w:lineRule="auto"/>
        <w:tabs>
          <w:tab w:leader="none" w:pos="1284"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The parties have agreed that Executive will resign from his officer position with Lilly and assist in the transition of his duties to his successor, and desire to set forth certain mutual understandings related to such resignation and transition in this Agreement. By carrying out the terms of this Agreement, neither admits any wrongful action or any liability to the other.</w:t>
      </w:r>
    </w:p>
    <w:p>
      <w:pPr>
        <w:spacing w:after="0" w:line="1" w:lineRule="exact"/>
        <w:rPr>
          <w:rFonts w:ascii="Arial" w:cs="Arial" w:eastAsia="Arial" w:hAnsi="Arial"/>
          <w:sz w:val="18"/>
          <w:szCs w:val="18"/>
          <w:color w:val="010000"/>
        </w:rPr>
      </w:pPr>
    </w:p>
    <w:p>
      <w:pPr>
        <w:jc w:val="both"/>
        <w:ind w:firstLine="656"/>
        <w:spacing w:after="0" w:line="470" w:lineRule="auto"/>
        <w:tabs>
          <w:tab w:leader="none" w:pos="1284"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As a result, Executive and Lilly agree that Executive will resign from his position as Senior Vice President and Chief Financial Officer as of February 9, 2021 (the “Transition Date”). Executive agrees that his resignation as of the Transition Date includes resignation from any officer or director positions at Lilly or any of its subsidiaries or affiliates, and agrees to deliver the resignation letter 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 Beginning on the Transition Date and continuing through July 31, 2021 (the “Transition Period”), Executive will provide advice and assistance related to transition matters as directed by Lilly’s Chief Executive Officer and/or his designee. During the Transition Period, Executive will be eligible to receive a biweekly base salary of $9,000.00, less all applicable taxes and withholdings, and remain eligible to participate in the benefit plans and programs for which he is eligible. On the day following the Transition Period (“the “Non-Compete Transition Date”) and continuing through July 31, 2022 (the “Separation Date” and such period, the “Non-Compete Period”), Executive and Lilly agree that Executive will no longer receive any compensation from Lilly. Executive acknowledges that during the Non-Compete Period, (i) he will remain available for consultation with his successor and Lilly’s Chief Executive Officer from time to time as may reasonably be requested related to matters with which he was responsible while an officer of Lilly, and (ii) he will comply with the restrictive covenants set forth in this</w:t>
      </w:r>
    </w:p>
    <w:p>
      <w:pPr>
        <w:sectPr>
          <w:pgSz w:w="11900" w:h="16838" w:orient="portrait"/>
          <w:cols w:equalWidth="0" w:num="1">
            <w:col w:w="11240"/>
          </w:cols>
          <w:pgMar w:left="320" w:top="1435" w:right="339" w:bottom="1440" w:gutter="0" w:footer="0" w:header="0"/>
        </w:sectPr>
      </w:pPr>
    </w:p>
    <w:bookmarkStart w:id="67" w:name="page68"/>
    <w:bookmarkEnd w:id="67"/>
    <w:p>
      <w:pPr>
        <w:spacing w:after="0" w:line="90"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Agreement, including paragraphs 18, 20 and 21. During the Transition Period and the Non-Compete Period, Executive will remain an employee of Lilly, subject to compliance with the terms of this Agreement, and Lilly has the right to sever Executive’s employment at any time in its sole discretion without any additional liability to Executive (other than for accrued base pay through the date of termination and then-vested benefits under the applicable terms of Lilly benefit plans). Executive understands and agrees that he has no right or entitlement under The Lilly Severance Pay Plan or any other plan, program or arrangement to any severance benefit.</w:t>
      </w:r>
    </w:p>
    <w:p>
      <w:pPr>
        <w:spacing w:after="0" w:line="3" w:lineRule="exact"/>
        <w:rPr>
          <w:sz w:val="20"/>
          <w:szCs w:val="20"/>
          <w:color w:val="auto"/>
        </w:rPr>
      </w:pPr>
    </w:p>
    <w:p>
      <w:pPr>
        <w:ind w:firstLine="656"/>
        <w:spacing w:after="0" w:line="469" w:lineRule="auto"/>
        <w:tabs>
          <w:tab w:leader="none" w:pos="1284"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Executive acknowledges that he will not receive a bonus for calendar year 2020 or 2021 under the terms and conditions of The Eli Lilly and Company Bonus Plan (“Bonus Plan”).</w:t>
      </w:r>
    </w:p>
    <w:p>
      <w:pPr>
        <w:spacing w:after="0" w:line="1" w:lineRule="exact"/>
        <w:rPr>
          <w:rFonts w:ascii="Arial" w:cs="Arial" w:eastAsia="Arial" w:hAnsi="Arial"/>
          <w:sz w:val="18"/>
          <w:szCs w:val="18"/>
          <w:color w:val="010000"/>
        </w:rPr>
      </w:pPr>
    </w:p>
    <w:p>
      <w:pPr>
        <w:jc w:val="both"/>
        <w:ind w:firstLine="656"/>
        <w:spacing w:after="0" w:line="469" w:lineRule="auto"/>
        <w:tabs>
          <w:tab w:leader="none" w:pos="1284"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Lilly agrees that so long as Executive timely signs and returns this Agreement to Lilly by no later than the deadline provided pursuant to paragraph 26 of this Agreement (and does not revoke it within the time period prescribed therein), Lilly agrees that Executive will receive 75% of his Shareholder Value Award for the period 2018-2020, less all applicable taxes and withholdings (the “Award Payout”), payable within seven (7) days following the expiration of the revocation period set forth in paragraph 26. Executive acknowledges and agrees that he is not entitled to the Award Payout or the other consideration set forth above other than as consideration for entering into this Agreement.</w:t>
      </w:r>
    </w:p>
    <w:p>
      <w:pPr>
        <w:spacing w:after="0" w:line="3" w:lineRule="exact"/>
        <w:rPr>
          <w:rFonts w:ascii="Arial" w:cs="Arial" w:eastAsia="Arial" w:hAnsi="Arial"/>
          <w:sz w:val="18"/>
          <w:szCs w:val="18"/>
          <w:color w:val="010000"/>
        </w:rPr>
      </w:pPr>
    </w:p>
    <w:p>
      <w:pPr>
        <w:jc w:val="both"/>
        <w:ind w:firstLine="656"/>
        <w:spacing w:after="0" w:line="471" w:lineRule="auto"/>
        <w:tabs>
          <w:tab w:leader="none" w:pos="1284"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For the consideration stated in this Agreement, Executive (for himself, his heirs, successors, and assigns) hereby releases and forever discharges Lilly, its subsidiaries and affiliated companies and all of their present or former representatives, officers, employees, agents, directors, shareholders, predecessors, successors, purchasers, and assigns, or any other persons whom he may claim to be responsible for any alleged damages (the “Releasees”), to the fullest extent permitted by law, from any and all grievances, claims, liability, damages, demands, debts, obligations, actions and causes of action, of any nature whatsoever (including, but not limited to, all causes of action arising under worker’s compensation non-interference or non-retaliation statutes), whether based on statutory, tort, contract or other legal or equitable theory of recovery, which Executive may now have or has had, whether known or unknown, in any way arising out of or relating to Executive’s employment with Lilly, the terms and conditions of that employment or the cessation of such employment (collectively, “Released Claims”). Released Claims include, but are not limited to, all claims for compensation of any kind; all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90" w:lineRule="exact"/>
        <w:rPr>
          <w:sz w:val="20"/>
          <w:szCs w:val="20"/>
          <w:color w:val="auto"/>
        </w:rPr>
      </w:pPr>
    </w:p>
    <w:p>
      <w:pPr>
        <w:jc w:val="both"/>
        <w:spacing w:after="0" w:line="470" w:lineRule="auto"/>
        <w:rPr>
          <w:sz w:val="20"/>
          <w:szCs w:val="20"/>
          <w:color w:val="auto"/>
        </w:rPr>
      </w:pPr>
      <w:r>
        <w:rPr>
          <w:rFonts w:ascii="Arial" w:cs="Arial" w:eastAsia="Arial" w:hAnsi="Arial"/>
          <w:sz w:val="18"/>
          <w:szCs w:val="18"/>
          <w:color w:val="auto"/>
        </w:rPr>
        <w:t>claims for reinstatement or other equitable relief; claims for fringe benefits; all claims to any right to accept or receive any award or portion of any award resulting from a settlement or judgment against Lilly arising out of any action brought by Executive or on his behalf, or on behalf of any government, including any right to recover, directly or indirectly, under the False Claims Act or similar state laws, and all claims arising out of or relating to federal or state fraud and abuse, reimbursement, price reporting, compliance with laws or regulations, and/or federal healthcare programs (collectively, “Healthcare Laws”) (other than those claims that cannot be released); or any other statutory or common law claim which could be brought by, on behalf of, or through Executive under any legal or equitable theory. Executive will not join or participate as a class representative or class member in any class action or collective action against the Releasees relating to any claims covered by this Agreement. By signing this Agreement, Executive does not, however, give up his charge-filing rights as described in paragraph 6 below or his right to report governmental actions as described in paragraph 7 below. Executive expressly acknowledges that his Released Claims also include, but are not limited to, release of the Releasees to the fullest extent permitted by law from any claim of failure to provide adequate notice of the termination of Executive’s employment; of race, color, or national origin discrimination; of disability discrimination; of sex discrimination, sexual harassment or other harassment; of retaliation; or of any other claim of employment discrimination under any laws prohibiting employment discrimination, including, but not limited to, The Worker Adjustment and Retraining Notification Act, Title VII of The Civil Rights Act of 1964, as amended, the Older Workers Benefit Protection Act, the Civil Rights Act of 1866, 42 U.S.C. § 1981, Executive Order 11246, The Americans With Disabilities Act, as amended, and the Family and Medical Leave Act, or based on other alleged unlawful practices under any federal, state or local statute, ordinance or regulation, including, without limitation, claims under the Employee Retirement Income Security Act and the Equal Pay Act. Executive hereby agrees and acknowledges that the Released Claims are not limited to matters which are known or have been disclosed, as of the date hereof, to him. In addition, Executive’s employment relationship with Lilly is covered by the Age Discrimination in Employment Act of 1967, 29 U.S.C. § 621 et seq., as amended. By signing this Agreement, Executive waives any rights or claims against the Releasees, or any other persons whom he may claim to be responsible for any alleged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damages that have arisen or may arise under the Age Discrimination in Employment Act on or before the date he signs this Agreement.</w:t>
      </w:r>
    </w:p>
    <w:p>
      <w:pPr>
        <w:spacing w:after="0" w:line="198" w:lineRule="exact"/>
        <w:rPr>
          <w:sz w:val="20"/>
          <w:szCs w:val="20"/>
          <w:color w:val="auto"/>
        </w:rPr>
      </w:pPr>
    </w:p>
    <w:p>
      <w:pPr>
        <w:jc w:val="both"/>
        <w:ind w:firstLine="656"/>
        <w:spacing w:after="0" w:line="469" w:lineRule="auto"/>
        <w:tabs>
          <w:tab w:leader="none" w:pos="1284"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Executive understands and agrees that although by signing this Agreement and accepting the Award Payout as described above in paragraph 4 he does not waive his right to file an Equal Employment Opportunity Commission (“EEOC”) charge against Lilly, or to file a charge with any comparable state or local administrative agency, or to cooperate in an EEOC or agency investigation of any such charge, he does waive and release, to the fullest extent permitted by law, any and all entitlement to any form of personal relief arising from any such charge he has filed or may file in the future against Lilly related to his employment with Lilly. Executive understands that this waiver and release of personal relief would not affect the EEOC’s or state or local administrative agency’s ability to investigate such a charge or to pursue relief on behalf of other individuals. If Executive has filed such a charge prior to his signing of this Agreement, he agrees that he will, within two (2) business days of signing this Agreement, prepare, sign, and deliver to the EEOC or state or local administrative agency with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which the charge is pending a letter that states as follows: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letter is in regard to charge number ________ (“Charge”) which I have filed with this agency. This is to advise you that I</w:t>
      </w:r>
    </w:p>
    <w:p>
      <w:pPr>
        <w:spacing w:after="0" w:line="9" w:lineRule="exact"/>
        <w:rPr>
          <w:sz w:val="20"/>
          <w:szCs w:val="20"/>
          <w:color w:val="auto"/>
        </w:rPr>
      </w:pPr>
    </w:p>
    <w:p>
      <w:pPr>
        <w:jc w:val="both"/>
        <w:ind w:left="660" w:right="640"/>
        <w:spacing w:after="0" w:line="252" w:lineRule="auto"/>
        <w:rPr>
          <w:sz w:val="20"/>
          <w:szCs w:val="20"/>
          <w:color w:val="auto"/>
        </w:rPr>
      </w:pPr>
      <w:r>
        <w:rPr>
          <w:rFonts w:ascii="Arial" w:cs="Arial" w:eastAsia="Arial" w:hAnsi="Arial"/>
          <w:sz w:val="18"/>
          <w:szCs w:val="18"/>
          <w:color w:val="auto"/>
        </w:rPr>
        <w:t>have entered into an agreement, under which, in exchange for sufficient consideration, I have fully waived and released all claims to any personal relief, including any form of monetary relief, arising out of any claims related to my employment with Lilly through the date of my signing of the Agreement. This waiver and release includes any and all claims for personal relief related to the above-referenced Charge. I have also, again in exchange for sufficient consideration, fully waived and released all rights to file a lawsuit against Lilly in any court of law asserting claims arising out of my employment with Lilly, up through and including the date of my signing of the Agreement. These waivers and releases are effective to the fullest extent permitted by applicable law. I understand that this Agreement does not affect this agency’s ability to investigate the above-referenced Charge or to pursue relief on behalf of other individuals.</w:t>
      </w:r>
    </w:p>
    <w:p>
      <w:pPr>
        <w:spacing w:after="0" w:line="205" w:lineRule="exact"/>
        <w:rPr>
          <w:sz w:val="20"/>
          <w:szCs w:val="20"/>
          <w:color w:val="auto"/>
        </w:rPr>
      </w:pPr>
    </w:p>
    <w:p>
      <w:pPr>
        <w:jc w:val="both"/>
        <w:ind w:left="660" w:right="660"/>
        <w:spacing w:after="0" w:line="261" w:lineRule="auto"/>
        <w:rPr>
          <w:sz w:val="20"/>
          <w:szCs w:val="20"/>
          <w:color w:val="auto"/>
        </w:rPr>
      </w:pPr>
      <w:r>
        <w:rPr>
          <w:rFonts w:ascii="Arial" w:cs="Arial" w:eastAsia="Arial" w:hAnsi="Arial"/>
          <w:sz w:val="18"/>
          <w:szCs w:val="18"/>
          <w:color w:val="auto"/>
        </w:rPr>
        <w:t>I entered into this Agreement with Lilly voluntarily and without coercion and with sufficient opportunity to consult an attorney for advice. Thank you for your assistance.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Executive further agrees to provide to Lilly a copy of the letter as signed and delivered.</w:t>
      </w:r>
    </w:p>
    <w:p>
      <w:pPr>
        <w:spacing w:after="0" w:line="198" w:lineRule="exact"/>
        <w:rPr>
          <w:sz w:val="20"/>
          <w:szCs w:val="20"/>
          <w:color w:val="auto"/>
        </w:rPr>
      </w:pPr>
    </w:p>
    <w:p>
      <w:pPr>
        <w:jc w:val="both"/>
        <w:ind w:firstLine="656"/>
        <w:spacing w:after="0" w:line="473" w:lineRule="auto"/>
        <w:tabs>
          <w:tab w:leader="none" w:pos="1284"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Executive also understands and agrees that although by signing this Agreement and accepting the Award Payout as described above he does not waive his right to report actual or potential violations by Lilly to appropriate governmental authorities or employees or to cooperate in a governmental investigation of any such report, he does waive and release, to the fullest extent permitted by law, any and all entitlement to any form of personal relief arising from any such allegations he, or another party,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90"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have filed or may file in the future against Lilly related to any Healthcare Law. Executive understands that this waiver and release of personal relief would not affect the governmental entity’s ability to investigate such a report or to pursue relief on behalf of others. Executive is not aware of any actual or potential violations of any Healthcare Law by Lilly, its affiliates, employees or agents and is not a party to any governmental action involving Lilly.</w:t>
      </w:r>
    </w:p>
    <w:p>
      <w:pPr>
        <w:spacing w:after="0" w:line="2" w:lineRule="exact"/>
        <w:rPr>
          <w:sz w:val="20"/>
          <w:szCs w:val="20"/>
          <w:color w:val="auto"/>
        </w:rPr>
      </w:pPr>
    </w:p>
    <w:p>
      <w:pPr>
        <w:jc w:val="both"/>
        <w:ind w:firstLine="656"/>
        <w:spacing w:after="0" w:line="469" w:lineRule="auto"/>
        <w:tabs>
          <w:tab w:leader="none" w:pos="1284"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Lilly agrees to pay Executive his gross monthly base salary (less all applicable taxes and withholdings) set forth in paragraph 2 through the Transition Period (“Final Pay”). In addition, Executive shall receive payment by no later than the first payroll period following the Transition Period for any 2021 vacation which he may have accrued but not used pursuant to The Eli Lilly and Company Holiday and Vacation Plan in effect during 2021. Likewise, if Executive used more vacation days than he accrued, the overpayment will be adjusted from his Final Pay.</w:t>
      </w:r>
    </w:p>
    <w:p>
      <w:pPr>
        <w:spacing w:after="0" w:line="2" w:lineRule="exact"/>
        <w:rPr>
          <w:rFonts w:ascii="Arial" w:cs="Arial" w:eastAsia="Arial" w:hAnsi="Arial"/>
          <w:sz w:val="18"/>
          <w:szCs w:val="18"/>
          <w:color w:val="010000"/>
        </w:rPr>
      </w:pPr>
    </w:p>
    <w:p>
      <w:pPr>
        <w:jc w:val="both"/>
        <w:ind w:firstLine="656"/>
        <w:spacing w:after="0" w:line="469" w:lineRule="auto"/>
        <w:tabs>
          <w:tab w:leader="none" w:pos="1284"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parties recognize that Executive has previously been awarded certain equity grants. Executive understands that, pursuant to the terms and conditions of the outstanding equity award(s) and action by the Lilly Compensation Committee, each such award, other than the Award Payout described above, will be forfeited as of the Transition Date.</w:t>
      </w:r>
    </w:p>
    <w:p>
      <w:pPr>
        <w:spacing w:after="0" w:line="1" w:lineRule="exact"/>
        <w:rPr>
          <w:rFonts w:ascii="Arial" w:cs="Arial" w:eastAsia="Arial" w:hAnsi="Arial"/>
          <w:sz w:val="18"/>
          <w:szCs w:val="18"/>
          <w:color w:val="010000"/>
        </w:rPr>
      </w:pPr>
    </w:p>
    <w:p>
      <w:pPr>
        <w:jc w:val="both"/>
        <w:ind w:firstLine="656"/>
        <w:spacing w:after="0" w:line="469" w:lineRule="auto"/>
        <w:tabs>
          <w:tab w:leader="none" w:pos="1289"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Executive understands that he shall remain eligible as an active employee under The Eli Lilly and Company Health Plan and any other Lilly employee benefit plans and programs only through the Transition Period. Executive understands that coverage for him and any covered dependents under The Eli Lilly and Company Health Plan will be terminated as of the last day of the Transition Period. As will be explained more fully in the COBRA election notice and information he will receive, Executive and any of his covered dependents are eligible for continuation of coverage of dental, vision, and/or medical benefits pursuant to COBRA.</w:t>
      </w:r>
    </w:p>
    <w:p>
      <w:pPr>
        <w:spacing w:after="0" w:line="2" w:lineRule="exact"/>
        <w:rPr>
          <w:rFonts w:ascii="Arial" w:cs="Arial" w:eastAsia="Arial" w:hAnsi="Arial"/>
          <w:sz w:val="18"/>
          <w:szCs w:val="18"/>
          <w:color w:val="010000"/>
        </w:rPr>
      </w:pPr>
    </w:p>
    <w:p>
      <w:pPr>
        <w:jc w:val="both"/>
        <w:ind w:firstLine="656"/>
        <w:spacing w:after="0" w:line="472" w:lineRule="auto"/>
        <w:tabs>
          <w:tab w:leader="none" w:pos="1289"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parties recognize that Executive has accrued certain benefits under The Lilly Retirement Plan and that those benefits continue in full force and effect, subject to the terms of The Lilly Retirement Plan, and that nothing in this Agreement serves to modify the terms of such plan. Accordingly, Executive will receive any and all vested benefits to which he is entitled under The Lilly Retirement Plan, in accordance with the terms of such plan, and additional retirement benefits under The Lilly Excess Benefit Plan – Retirement (“Excess Retirement Plan”). Executive understands that he will be responsible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all required FICA taxes associated with his Excess Retirement Plan benefits and other applicable taxes. Additionally, Executive 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receive any and all vested benefits to which he is entitled under The Lilly Employee 401(k) Plan, in accordance with the terms of such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 additional savings benefits under The Lilly Excess Savings Plan (“Excess Savings Plan”). Executive understands that any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provided through the Excess Retirement Plan will not begin sooner than age fifty-five consistent with Section 409A of the Internal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Code and the terms of such plan. Executive also understands that any benefits provided through the Excess Savings Plan will be provided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Section 409A of the Internal Revenue Code and the terms of such plan. All of the terms of the applicable benefit plans apply,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required by applicable law.</w:t>
      </w:r>
    </w:p>
    <w:p>
      <w:pPr>
        <w:spacing w:after="0" w:line="198" w:lineRule="exact"/>
        <w:rPr>
          <w:sz w:val="20"/>
          <w:szCs w:val="20"/>
          <w:color w:val="auto"/>
        </w:rPr>
      </w:pPr>
    </w:p>
    <w:p>
      <w:pPr>
        <w:jc w:val="both"/>
        <w:ind w:firstLine="656"/>
        <w:spacing w:after="0" w:line="469" w:lineRule="auto"/>
        <w:tabs>
          <w:tab w:leader="none" w:pos="1289"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Executive agrees that he is not entitled to reinstatement of active employment or reemployment with Lilly or any of its subsidiaries or related companies, he waives any such right or claim, and he agrees that he will not seek employment in the future with Lilly or any of its subsidiaries or related companies.</w:t>
      </w:r>
    </w:p>
    <w:p>
      <w:pPr>
        <w:spacing w:after="0" w:line="1" w:lineRule="exact"/>
        <w:rPr>
          <w:rFonts w:ascii="Arial" w:cs="Arial" w:eastAsia="Arial" w:hAnsi="Arial"/>
          <w:sz w:val="18"/>
          <w:szCs w:val="18"/>
          <w:color w:val="010000"/>
        </w:rPr>
      </w:pPr>
    </w:p>
    <w:p>
      <w:pPr>
        <w:jc w:val="both"/>
        <w:ind w:firstLine="656"/>
        <w:spacing w:after="0" w:line="469" w:lineRule="auto"/>
        <w:tabs>
          <w:tab w:leader="none" w:pos="1289"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Except as provided herein, Lilly’s U.S. Human Resources component agrees to follow its standard practice in responding to inquiries from a third party (other than a government entity) about Executive’s employment at Lilly, which is to provide only dates of employment and last position held. Notwithstanding the foregoing, Lilly may make public disclosures related to Executive’s resignation as its chief financial officer as it deems appropriate in its sole discretion, which disclosures may include, without limitation, the following statement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like statements):</w:t>
      </w:r>
    </w:p>
    <w:p>
      <w:pPr>
        <w:spacing w:after="0" w:line="104" w:lineRule="exact"/>
        <w:rPr>
          <w:sz w:val="20"/>
          <w:szCs w:val="20"/>
          <w:color w:val="auto"/>
        </w:rPr>
      </w:pPr>
    </w:p>
    <w:p>
      <w:pPr>
        <w:ind w:left="660" w:right="700"/>
        <w:spacing w:after="0" w:line="251" w:lineRule="auto"/>
        <w:rPr>
          <w:sz w:val="20"/>
          <w:szCs w:val="20"/>
          <w:color w:val="auto"/>
        </w:rPr>
      </w:pPr>
      <w:r>
        <w:rPr>
          <w:rFonts w:ascii="Arial" w:cs="Arial" w:eastAsia="Arial" w:hAnsi="Arial"/>
          <w:sz w:val="18"/>
          <w:szCs w:val="18"/>
          <w:color w:val="auto"/>
        </w:rPr>
        <w:t>On February 9, 2021, the Company also announced that Joshua L. Smiley, senior vice president and chief financial officer of the Company, informed the Company of his resignation from the Company. The Company was recently made aware of allegations of an inappropriate relationship between Mr. Smiley and a Lilly employee. Lilly immediately engaged external counsel to conduct a thorough, independent investigation. That investigation revealed consensual though inappropriate personal communications between Mr. Smiley and certain Lilly employees and behavior that Lilly leadership concluded exhibited poor judgment by Mr. Smiley. Lilly holds all employees accountable to its core values and strongly believes its executive officers carry an even higher burden in ensuring those values are upheld. Mr. Smiley did not meet that standard. For clarity, Mr. Smiley’s conduct in question was not related to financial controls, financial statements or any other business matters or judgments.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Executive understands and agrees that he will direct any employment verification inquiries concerning his employment at Lilly to Stephen 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Fry, Sr. Vice President, Human Resources and Diversity.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90" w:lineRule="exact"/>
        <w:rPr>
          <w:sz w:val="20"/>
          <w:szCs w:val="20"/>
          <w:color w:val="auto"/>
        </w:rPr>
      </w:pPr>
    </w:p>
    <w:p>
      <w:pPr>
        <w:jc w:val="both"/>
        <w:ind w:firstLine="656"/>
        <w:spacing w:after="0" w:line="469" w:lineRule="auto"/>
        <w:tabs>
          <w:tab w:leader="none" w:pos="1289"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Executive agrees that he will not disparage or otherwise communicate any information damaging or potentially damaging to Lilly’s business or reputation to any third party, including without limitation the media, consultants, physicians, vendors, and any customers or others with whom Lilly has a business relationship. Notwithstanding the foregoing, nothing in this Agreement will prohibit or restrict Executive (or Executive’s attorney) from (i) making any disclosure of information required by law, including with respect to possible violations of law or providing truthful testimony if required to do so by court order or legal process, (ii) responding to any inquiry about this Agreement or its underlying facts and circumstances by the Securities and Exchange Commission (SEC) or the Financial Industry Regulatory Authority (FINRA), or participating, cooperating, or testifying in any action, investigation, or proceeding with, or providing information to, any governmental entity or legislative body, any self-regulatory organization, and/or pursuant to the Sarbanes-Oxley Act, or (iii) accepting any whistleblower incentive awards from the SEC.</w:t>
      </w:r>
    </w:p>
    <w:p>
      <w:pPr>
        <w:spacing w:after="0" w:line="4" w:lineRule="exact"/>
        <w:rPr>
          <w:rFonts w:ascii="Arial" w:cs="Arial" w:eastAsia="Arial" w:hAnsi="Arial"/>
          <w:sz w:val="18"/>
          <w:szCs w:val="18"/>
          <w:color w:val="010000"/>
        </w:rPr>
      </w:pPr>
    </w:p>
    <w:p>
      <w:pPr>
        <w:jc w:val="both"/>
        <w:ind w:firstLine="656"/>
        <w:spacing w:after="0" w:line="470" w:lineRule="auto"/>
        <w:tabs>
          <w:tab w:leader="none" w:pos="1289"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Executive agrees that he will, at any future time before or after the Separation Date, upon notice from Lilly that Lilly or its attorneys believe that his compliance would be helpful in the resolution of an investigation or the prosecution or defense of litigation, be available upon reasonable notice from Lilly and discussion with Executive as to reasonable time and day of the week, with or without subpoena, to be interviewed, review documents or things, give depositions, testify, or engage in other reasonable activities, with respect to matters concerning which he has or may have knowledge as a result of or in connection with his employment by Lilly. In performing Executive’s obligations under this paragraph to testify or otherwise provide information, Executive will honestly, truthfully, forthrightly, and completely provide the information requested. In addition, Executive hereby represents and warrants to Lilly that he has participated honestly, truthfully, forthrightly, and completely with respect to the investigation of his behavior conducted to date by Lilly and its counsel. Following the Separation Date, Lilly will pay Executive for the time he spends in activities described in this paragraph, at Lilly’s request, in one-half day or whole-day increments, at his final Lilly rate of pay, and it will pay all reasonable and necessary expenses that Executive incurs at Lilly’s request in performing those activities; however, nothing in this Agreement shall require Lilly to pay Executive for in-court testimony. Moreover, nothing in this paragraph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90" w:lineRule="exact"/>
        <w:rPr>
          <w:sz w:val="20"/>
          <w:szCs w:val="20"/>
          <w:color w:val="auto"/>
        </w:rPr>
      </w:pPr>
    </w:p>
    <w:p>
      <w:pPr>
        <w:spacing w:after="0" w:line="469" w:lineRule="auto"/>
        <w:rPr>
          <w:sz w:val="20"/>
          <w:szCs w:val="20"/>
          <w:color w:val="auto"/>
        </w:rPr>
      </w:pPr>
      <w:r>
        <w:rPr>
          <w:rFonts w:ascii="Arial" w:cs="Arial" w:eastAsia="Arial" w:hAnsi="Arial"/>
          <w:sz w:val="18"/>
          <w:szCs w:val="18"/>
          <w:color w:val="auto"/>
        </w:rPr>
        <w:t>15 shall, however, obligate Executive to provide such cooperation to Lilly in connection with any EEOC or comparable state or local administrative agency charge filed against Lilly.</w:t>
      </w:r>
    </w:p>
    <w:p>
      <w:pPr>
        <w:spacing w:after="0" w:line="1" w:lineRule="exact"/>
        <w:rPr>
          <w:sz w:val="20"/>
          <w:szCs w:val="20"/>
          <w:color w:val="auto"/>
        </w:rPr>
      </w:pPr>
    </w:p>
    <w:p>
      <w:pPr>
        <w:jc w:val="both"/>
        <w:ind w:firstLine="656"/>
        <w:spacing w:after="0" w:line="469" w:lineRule="auto"/>
        <w:tabs>
          <w:tab w:leader="none" w:pos="11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agrees to cooperate fully with Lilly in effecting a smooth transfer of responsibilities; to return to Lilly by the last day of the Transition Period all identification and credit cards, keys, telephones, computers, company-issued devices, mobile devices, USB devices (e.g., thumbdrives, hard-drives, etc.), or other equipment, and other things owned by Lilly and all documents, materials, records, or other things belonging to Lilly or containing Lilly’s property and/or confidential information, including such property and/or information on personal devices.</w:t>
      </w:r>
    </w:p>
    <w:p>
      <w:pPr>
        <w:spacing w:after="0" w:line="2" w:lineRule="exact"/>
        <w:rPr>
          <w:rFonts w:ascii="Arial" w:cs="Arial" w:eastAsia="Arial" w:hAnsi="Arial"/>
          <w:sz w:val="18"/>
          <w:szCs w:val="18"/>
          <w:color w:val="auto"/>
        </w:rPr>
      </w:pPr>
    </w:p>
    <w:p>
      <w:pPr>
        <w:jc w:val="both"/>
        <w:ind w:firstLine="656"/>
        <w:spacing w:after="0" w:line="469" w:lineRule="auto"/>
        <w:tabs>
          <w:tab w:leader="none" w:pos="11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understands and acknowledges that the Award Payout and any other bonus payments and/or incentive awards previously received by Executive remain subject to recoupment by the Company pursuant to the terms of the Executive Compensation Recovery Policy for the period of time specified therein, and any recoupment consistent with the terms of the Executive Compensation Recovery Policy will not affect the validity of this Agreement or the release provided by Executive herein.</w:t>
      </w:r>
    </w:p>
    <w:p>
      <w:pPr>
        <w:spacing w:after="0" w:line="2" w:lineRule="exact"/>
        <w:rPr>
          <w:rFonts w:ascii="Arial" w:cs="Arial" w:eastAsia="Arial" w:hAnsi="Arial"/>
          <w:sz w:val="18"/>
          <w:szCs w:val="18"/>
          <w:color w:val="auto"/>
        </w:rPr>
      </w:pPr>
    </w:p>
    <w:p>
      <w:pPr>
        <w:jc w:val="both"/>
        <w:ind w:firstLine="656"/>
        <w:spacing w:after="0" w:line="470" w:lineRule="auto"/>
        <w:tabs>
          <w:tab w:leader="none" w:pos="11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understands and acknowledges that given his role and position of trust with Lilly, and pursuant to the terms of his Employee Confidentiality and Invention Agreement, he has ongoing duties to Lilly, including duties to protect and not disclose Lilly’s confidential and proprietary information. Executive represents and acknowledges that all non-public financial information about Lilly and its products (both in market and in development products) is confidential and proprietary information subject to the terms of the Confidentiality and Invention Agreement and that Executive will not disclose such information to, discuss such information with, or use such information on behalf of, any third party, including any competitor, customer, supplier, or payor. Executive further represents and warrants to Lilly that he has not at any time before executing this Agreement disclosed any of the terms or conditions of compromise and settlement set forth in this Agreement to any person other than his attorney and his financial advisor (if any). Nothing in this Agreement shall prohibit or restrict Executive from participating, cooperating, or testifying in any action, investigation, or proceeding with, or providing relevant and truthful information to, any court, governmental agency or legislative body, including but not limited to the IRS, any self-regulatory organization and/or pursuant to the Sarbanes-Oxley Act; provided that, to the extent permitted by law, upon receipt of any subpoena, court order or other legal process compelling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90"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disclosure of any such information or documents, including this Agreement, Executive gives ten (10) days’ written notice to Lilly prior to responding to such subpoena, court order or other legal process so as to permit Lilly to protect its interests in confidentiality to the fullest extent possible. This notice requirement does not, however, apply to Executive’s non-waived rights related to his filing of or cooperation in the investigation of any charge of the type referenced in paragraph 7 of this Agreement, nor does it apply to his non-waived rights related to Executive’s rights to report governmental actions of the types referenced in paragraph 8 of this Agreement.</w:t>
      </w:r>
    </w:p>
    <w:p>
      <w:pPr>
        <w:spacing w:after="0" w:line="3" w:lineRule="exact"/>
        <w:rPr>
          <w:sz w:val="20"/>
          <w:szCs w:val="20"/>
          <w:color w:val="auto"/>
        </w:rPr>
      </w:pPr>
    </w:p>
    <w:p>
      <w:pPr>
        <w:jc w:val="both"/>
        <w:ind w:firstLine="648"/>
        <w:spacing w:after="0" w:line="469" w:lineRule="auto"/>
        <w:rPr>
          <w:sz w:val="20"/>
          <w:szCs w:val="20"/>
          <w:color w:val="auto"/>
        </w:rPr>
      </w:pPr>
      <w:r>
        <w:rPr>
          <w:rFonts w:ascii="Arial" w:cs="Arial" w:eastAsia="Arial" w:hAnsi="Arial"/>
          <w:sz w:val="18"/>
          <w:szCs w:val="18"/>
          <w:color w:val="auto"/>
        </w:rPr>
        <w:t xml:space="preserve">Executive agrees that in any communication he has other than with his attorney and financial advisor (if any) regarding his departure from Lilly, he shall state only that he resigned from Lilly unless that communication is in connection with his participation, cooperation, or testimony in any action, investigation, or proceeding with, or his provision of relevant and truthful information to any court, governmental agency or legislative body. </w:t>
      </w:r>
      <w:r>
        <w:rPr>
          <w:rFonts w:ascii="Arial" w:cs="Arial" w:eastAsia="Arial" w:hAnsi="Arial"/>
          <w:sz w:val="18"/>
          <w:szCs w:val="18"/>
          <w:b w:val="1"/>
          <w:bCs w:val="1"/>
          <w:color w:val="auto"/>
        </w:rPr>
        <w:t>These promises of confidentiality are material terms of this Agreement.</w:t>
      </w:r>
    </w:p>
    <w:p>
      <w:pPr>
        <w:spacing w:after="0" w:line="2" w:lineRule="exact"/>
        <w:rPr>
          <w:sz w:val="20"/>
          <w:szCs w:val="20"/>
          <w:color w:val="auto"/>
        </w:rPr>
      </w:pPr>
    </w:p>
    <w:p>
      <w:pPr>
        <w:jc w:val="both"/>
        <w:ind w:firstLine="656"/>
        <w:spacing w:after="0" w:line="469" w:lineRule="auto"/>
        <w:tabs>
          <w:tab w:leader="none" w:pos="11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further agrees to indemnify Lilly to the fullest extent permitted by law from all claims, costs and expenses, including all attorneys’ fees, arising out of any misrepresentation made by him in this Agreement. In the event Executive personally sues Lilly based on any claim, complaint, action, injury or right of action for which he has released and agreed not to sue Lilly in this Agreement (other than a suit under the Age Discrimination in Employment Act), Executive agrees, to the fullest extent permitted by law, to pay all costs and attorneys’ fees incurred by Lilly in defending such lawsuit.</w:t>
      </w:r>
    </w:p>
    <w:p>
      <w:pPr>
        <w:spacing w:after="0" w:line="2" w:lineRule="exact"/>
        <w:rPr>
          <w:rFonts w:ascii="Arial" w:cs="Arial" w:eastAsia="Arial" w:hAnsi="Arial"/>
          <w:sz w:val="18"/>
          <w:szCs w:val="18"/>
          <w:color w:val="auto"/>
        </w:rPr>
      </w:pPr>
    </w:p>
    <w:p>
      <w:pPr>
        <w:jc w:val="both"/>
        <w:ind w:firstLine="648"/>
        <w:spacing w:after="0" w:line="469" w:lineRule="auto"/>
        <w:rPr>
          <w:rFonts w:ascii="Arial" w:cs="Arial" w:eastAsia="Arial" w:hAnsi="Arial"/>
          <w:sz w:val="18"/>
          <w:szCs w:val="18"/>
          <w:color w:val="auto"/>
        </w:rPr>
      </w:pPr>
      <w:r>
        <w:rPr>
          <w:rFonts w:ascii="Arial" w:cs="Arial" w:eastAsia="Arial" w:hAnsi="Arial"/>
          <w:sz w:val="18"/>
          <w:szCs w:val="18"/>
          <w:color w:val="auto"/>
        </w:rPr>
        <w:t>Nothing in this paragraph shall limit Executive’s charge-filing rights as described in paragraph 6 of this Agreement or Executive’s rights to report governmental actions as described in paragraph 7 of this Agreement, and Executive shall have no obligation to pay Lilly for costs or attorney’s fees incurred by Lilly in defending against an EEOC or state or local administrative agency charge filed by Executive against Lilly, or any report of actual or potential violations by Lilly, as long as Executive waives and releases any and all entitlement to any form of personal relief arising from any such charge or report as described in paragraphs 6 and 7 of this Agreement.</w:t>
      </w:r>
    </w:p>
    <w:p>
      <w:pPr>
        <w:spacing w:after="0" w:line="2" w:lineRule="exact"/>
        <w:rPr>
          <w:rFonts w:ascii="Arial" w:cs="Arial" w:eastAsia="Arial" w:hAnsi="Arial"/>
          <w:sz w:val="18"/>
          <w:szCs w:val="18"/>
          <w:color w:val="auto"/>
        </w:rPr>
      </w:pPr>
    </w:p>
    <w:p>
      <w:pPr>
        <w:ind w:firstLine="656"/>
        <w:spacing w:after="0" w:line="481" w:lineRule="auto"/>
        <w:tabs>
          <w:tab w:leader="none" w:pos="1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Executive’s employment with Lilly and for a period of twelve (12) months after the Separation Date, Executive will not, directly or indirectly: (a) solicit, recruit, hire, employ, engage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90" w:lineRule="exact"/>
        <w:rPr>
          <w:sz w:val="20"/>
          <w:szCs w:val="20"/>
          <w:color w:val="auto"/>
        </w:rPr>
      </w:pPr>
    </w:p>
    <w:p>
      <w:pPr>
        <w:jc w:val="both"/>
        <w:spacing w:after="0" w:line="469" w:lineRule="auto"/>
        <w:rPr>
          <w:sz w:val="20"/>
          <w:szCs w:val="20"/>
          <w:color w:val="auto"/>
        </w:rPr>
      </w:pPr>
      <w:r>
        <w:rPr>
          <w:rFonts w:ascii="Arial" w:cs="Arial" w:eastAsia="Arial" w:hAnsi="Arial"/>
          <w:sz w:val="18"/>
          <w:szCs w:val="18"/>
          <w:color w:val="auto"/>
        </w:rPr>
        <w:t>attempt to hire, employ or engage any person who is an employee of Lilly or any of its subsidiaries or affiliates; (b) assist any person or entity in the recruitment, hiring or engagement of any person who is an employee of Lilly or any of its subsidiaries or affiliates; (c) urge, induce or seek to induce any person to terminate his/her employment with Lilly or any of its subsidiaries or affiliates; or (d) advise, suggest to or recommend to any Competitive Business that it employ, engage or seek to employ or engage any person who is an employee of Lilly or any of its subsidiaries or affiliates. For purposes of this Agreement, “Competitive Business” means any entity that (1) competes with Lilly (including its subsidiaries and affiliates); or (2) develops, manufacturers, sells, offers or provides any products and/or services that are similar to and/or competitive with any products and/or services that Lilly or any of its subsidiaries or affiliates was developing, manufacturing, selling, offering or providing as of the time Executive’s employment with Lilly ended.</w:t>
      </w:r>
    </w:p>
    <w:p>
      <w:pPr>
        <w:spacing w:after="0" w:line="4" w:lineRule="exact"/>
        <w:rPr>
          <w:sz w:val="20"/>
          <w:szCs w:val="20"/>
          <w:color w:val="auto"/>
        </w:rPr>
      </w:pPr>
    </w:p>
    <w:p>
      <w:pPr>
        <w:jc w:val="both"/>
        <w:ind w:firstLine="656"/>
        <w:spacing w:after="0" w:line="469" w:lineRule="auto"/>
        <w:tabs>
          <w:tab w:leader="none" w:pos="12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Executive’s employment with Lilly and for a period of twelve (12) months after the Non-Compete Transition Date, Executive agrees that he will not, directly or indirectly, provide any services (as an employee, advisor, consultant, or otherwise) in an executive or financial capacity, to any Competitive Business (or any owner of or investor of a Competitive Business, to the extent the services provided to such owner or investor relate to the Competitive Business). Executive agrees and acknowledges that this restriction is reasonable and necessary to protect Lilly’s trade secrets and confidential information because, if Executive were to violate the restriction, it would be highly likely, if not inevitable, that he would rely on Lilly’s confidential information in the course of his work, either consciously or subconsciously, harming Lilly.</w:t>
      </w:r>
    </w:p>
    <w:p>
      <w:pPr>
        <w:spacing w:after="0" w:line="3" w:lineRule="exact"/>
        <w:rPr>
          <w:rFonts w:ascii="Arial" w:cs="Arial" w:eastAsia="Arial" w:hAnsi="Arial"/>
          <w:sz w:val="18"/>
          <w:szCs w:val="18"/>
          <w:color w:val="auto"/>
        </w:rPr>
      </w:pPr>
    </w:p>
    <w:p>
      <w:pPr>
        <w:jc w:val="both"/>
        <w:ind w:firstLine="656"/>
        <w:spacing w:after="0" w:line="472" w:lineRule="auto"/>
        <w:tabs>
          <w:tab w:leader="none" w:pos="11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acknowledges that a breach by Executive of paragraphs 18, 20 and 21 of this Agreement will give rise to irreparable injury to Lilly and money damages will not be adequate relief for such injury. As a result, Executive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Executive.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90" w:lineRule="exact"/>
        <w:rPr>
          <w:sz w:val="20"/>
          <w:szCs w:val="20"/>
          <w:color w:val="auto"/>
        </w:rPr>
      </w:pPr>
    </w:p>
    <w:p>
      <w:pPr>
        <w:ind w:firstLine="656"/>
        <w:spacing w:after="0" w:line="469" w:lineRule="auto"/>
        <w:tabs>
          <w:tab w:leader="none" w:pos="11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Indiana. The courts of the State of Indiana will have exclusive jurisdiction in relation to matters connected with or concerning this Agreement.</w:t>
      </w:r>
    </w:p>
    <w:p>
      <w:pPr>
        <w:spacing w:after="0" w:line="1" w:lineRule="exact"/>
        <w:rPr>
          <w:rFonts w:ascii="Arial" w:cs="Arial" w:eastAsia="Arial" w:hAnsi="Arial"/>
          <w:sz w:val="18"/>
          <w:szCs w:val="18"/>
          <w:color w:val="auto"/>
        </w:rPr>
      </w:pPr>
    </w:p>
    <w:p>
      <w:pPr>
        <w:ind w:firstLine="656"/>
        <w:spacing w:after="0" w:line="469" w:lineRule="auto"/>
        <w:tabs>
          <w:tab w:leader="none" w:pos="11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term or provision of this Agreement shall to any extent be invalid or unenforceable, the remainder of this Agreement shall not be affected, and each term and provision of this Agreement shall be valid and able to be enforced to the fullest extent permitted by law.</w:t>
      </w:r>
    </w:p>
    <w:p>
      <w:pPr>
        <w:spacing w:after="0" w:line="1" w:lineRule="exact"/>
        <w:rPr>
          <w:rFonts w:ascii="Arial" w:cs="Arial" w:eastAsia="Arial" w:hAnsi="Arial"/>
          <w:sz w:val="18"/>
          <w:szCs w:val="18"/>
          <w:color w:val="auto"/>
        </w:rPr>
      </w:pPr>
    </w:p>
    <w:p>
      <w:pPr>
        <w:jc w:val="both"/>
        <w:ind w:firstLine="656"/>
        <w:spacing w:after="0" w:line="469" w:lineRule="auto"/>
        <w:tabs>
          <w:tab w:leader="none" w:pos="11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acknowledges that he has contractual obligations pursuant to the Employee Confidentiality and Invention Agreement which he signed previously with Lilly and agrees that those obligations are not extinguished by this Agreement. Except as described herein, this Agreement, the Employee Confidentiality and Invention Agreement, and the exhibits attached hereto, contain the entire understanding between the parties relating to the subject matter hereof and may not be amended, supplemented or otherwise modified except by an instrument in writing signed by both parties.</w:t>
      </w:r>
    </w:p>
    <w:p>
      <w:pPr>
        <w:spacing w:after="0" w:line="2" w:lineRule="exact"/>
        <w:rPr>
          <w:rFonts w:ascii="Arial" w:cs="Arial" w:eastAsia="Arial" w:hAnsi="Arial"/>
          <w:sz w:val="18"/>
          <w:szCs w:val="18"/>
          <w:color w:val="auto"/>
        </w:rPr>
      </w:pPr>
    </w:p>
    <w:p>
      <w:pPr>
        <w:jc w:val="both"/>
        <w:ind w:firstLine="656"/>
        <w:spacing w:after="0" w:line="471" w:lineRule="auto"/>
        <w:tabs>
          <w:tab w:leader="none" w:pos="11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acknowledges that Lilly (i) provided him this Agreement on February 7, 2021; (ii) any revisions to this Agreement since originally provided to him are not material changes to this Agreement; (iii) has advised and advises him to consult an attorney prior to signing the Agreement; (iv) informed him that he could have until twenty-one (21) days from receipt to consider this Agreement; and (v) advised him that this Agreement shall not be effective or enforceable against him or Lilly if he revokes it in writing not later than seven (7) days after he signs it. If Executive decides to revoke the Agreement, then he must deliver written notice to Stephen F. Fry, Senior Vice President, Human Resources and Diversity, Eli Lilly and Company, Lilly Corporate Center, Indianapolis, Indiana 46285, within such seven (7) day period after signing. The other terms and conditions contained herein will not be enforceable by the parties hereto until the expiration of the seven (7) 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Lilly and Executive have executed this Agreement on this 8th day of February, 2021.</w:t>
      </w:r>
    </w:p>
    <w:p>
      <w:pPr>
        <w:sectPr>
          <w:pgSz w:w="11900" w:h="16838" w:orient="portrait"/>
          <w:cols w:equalWidth="0" w:num="1">
            <w:col w:w="9479"/>
          </w:cols>
          <w:pgMar w:left="980" w:top="1440" w:right="1440" w:bottom="1440" w:gutter="0" w:footer="0" w:header="0"/>
        </w:sectPr>
      </w:pPr>
    </w:p>
    <w:p>
      <w:pPr>
        <w:spacing w:after="0" w:line="358"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 Joshua L. Smiley</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Joshua L. Smiley</w:t>
      </w:r>
    </w:p>
    <w:p>
      <w:pPr>
        <w:spacing w:after="0" w:line="25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ELI LILLY AND COMPANY</w:t>
      </w:r>
    </w:p>
    <w:p>
      <w:pPr>
        <w:spacing w:after="0" w:line="252" w:lineRule="exact"/>
        <w:rPr>
          <w:sz w:val="20"/>
          <w:szCs w:val="20"/>
          <w:color w:val="auto"/>
        </w:rPr>
      </w:pPr>
    </w:p>
    <w:p>
      <w:pPr>
        <w:ind w:left="388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Stephen F. Fry</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Stephen F. Fry</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Sr. Vice President, Human Resources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and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479"/>
          </w:cols>
          <w:pgMar w:left="980" w:top="1440"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900"/>
        <w:spacing w:after="0"/>
        <w:rPr>
          <w:sz w:val="20"/>
          <w:szCs w:val="20"/>
          <w:color w:val="auto"/>
        </w:rPr>
      </w:pPr>
      <w:r>
        <w:rPr>
          <w:rFonts w:ascii="Arial" w:cs="Arial" w:eastAsia="Arial" w:hAnsi="Arial"/>
          <w:sz w:val="17"/>
          <w:szCs w:val="17"/>
          <w:color w:val="auto"/>
        </w:rPr>
        <w:t>I, David A. Ricks, Chairman, President, and Chief Executive Officer, certify that:</w:t>
      </w:r>
    </w:p>
    <w:p>
      <w:pPr>
        <w:spacing w:after="0" w:line="183"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2021</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/s/David A. Ricks</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A. Ricks</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220"/>
          </w:cols>
          <w:pgMar w:left="320" w:top="116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EXHIBIT 31.2 Rule 13a-14(a) Certification of Anat Ashkenazi, Senior Vice President and Chief Financial Officer</w:t>
      </w:r>
    </w:p>
    <w:p>
      <w:pPr>
        <w:spacing w:after="0" w:line="230" w:lineRule="exact"/>
        <w:rPr>
          <w:sz w:val="20"/>
          <w:szCs w:val="20"/>
          <w:color w:val="auto"/>
        </w:rPr>
      </w:pPr>
    </w:p>
    <w:p>
      <w:pPr>
        <w:jc w:val="right"/>
        <w:ind w:right="4840"/>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jc w:val="right"/>
        <w:ind w:right="4840"/>
        <w:spacing w:after="0"/>
        <w:rPr>
          <w:sz w:val="20"/>
          <w:szCs w:val="20"/>
          <w:color w:val="auto"/>
        </w:rPr>
      </w:pPr>
      <w:r>
        <w:rPr>
          <w:rFonts w:ascii="Arial" w:cs="Arial" w:eastAsia="Arial" w:hAnsi="Arial"/>
          <w:sz w:val="17"/>
          <w:szCs w:val="17"/>
          <w:color w:val="auto"/>
        </w:rPr>
        <w:t>I, Anat Ashkenazi, Senior Vice President and Chief Financial Officer, certify that:</w:t>
      </w:r>
    </w:p>
    <w:p>
      <w:pPr>
        <w:spacing w:after="0" w:line="18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332"/>
        <w:spacing w:after="0" w:line="291" w:lineRule="auto"/>
        <w:tabs>
          <w:tab w:leader="none" w:pos="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20" w:hanging="332"/>
        <w:spacing w:after="0" w:line="265" w:lineRule="auto"/>
        <w:tabs>
          <w:tab w:leader="none" w:pos="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980" w:hanging="324"/>
        <w:spacing w:after="0" w:line="256" w:lineRule="auto"/>
        <w:tabs>
          <w:tab w:leader="none" w:pos="9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00" w:hanging="324"/>
        <w:spacing w:after="0" w:line="256" w:lineRule="auto"/>
        <w:tabs>
          <w:tab w:leader="none" w:pos="9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980" w:right="240" w:hanging="324"/>
        <w:spacing w:after="0" w:line="256" w:lineRule="auto"/>
        <w:tabs>
          <w:tab w:leader="none" w:pos="9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160" w:hanging="324"/>
        <w:spacing w:after="0" w:line="261" w:lineRule="auto"/>
        <w:tabs>
          <w:tab w:leader="none" w:pos="9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April 30, 2021</w:t>
            </w:r>
          </w:p>
        </w:tc>
      </w:tr>
      <w:tr>
        <w:trPr>
          <w:trHeight w:val="50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/s/Anat Ashkenazi</w:t>
            </w:r>
          </w:p>
        </w:tc>
      </w:tr>
      <w:tr>
        <w:trPr>
          <w:trHeight w:val="223"/>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Anat Ashkenazi</w:t>
            </w:r>
          </w:p>
        </w:tc>
      </w:tr>
      <w:tr>
        <w:trPr>
          <w:trHeight w:val="229"/>
        </w:trPr>
        <w:tc>
          <w:tcPr>
            <w:tcW w:w="64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116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Quarterly Report on Form 10-Q for the quarter ended March 31,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April 30,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/s/David A. Ricks</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A. Ricks</w:t>
            </w:r>
          </w:p>
        </w:tc>
      </w:tr>
      <w:tr>
        <w:trPr>
          <w:trHeight w:val="229"/>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Chairman, President, and Chief Executive Officer</w:t>
            </w:r>
          </w:p>
        </w:tc>
      </w:tr>
      <w:tr>
        <w:trPr>
          <w:trHeight w:val="95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120"/>
              <w:spacing w:after="0"/>
              <w:rPr>
                <w:sz w:val="20"/>
                <w:szCs w:val="20"/>
                <w:color w:val="auto"/>
              </w:rPr>
            </w:pPr>
            <w:r>
              <w:rPr>
                <w:rFonts w:ascii="Arial" w:cs="Arial" w:eastAsia="Arial" w:hAnsi="Arial"/>
                <w:sz w:val="18"/>
                <w:szCs w:val="18"/>
                <w:color w:val="auto"/>
              </w:rPr>
              <w:t>April 30, 2021</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Anat Ashkenazi</w:t>
            </w:r>
          </w:p>
        </w:tc>
      </w:tr>
      <w:tr>
        <w:trPr>
          <w:trHeight w:val="223"/>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Anat Ashkenazi</w:t>
            </w:r>
          </w:p>
        </w:tc>
      </w:tr>
      <w:tr>
        <w:trPr>
          <w:trHeight w:val="229"/>
        </w:trPr>
        <w:tc>
          <w:tcPr>
            <w:tcW w:w="5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4"/>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6A2342EC"/>
    <w:multiLevelType w:val="hybridMultilevel"/>
    <w:lvl w:ilvl="0">
      <w:lvlJc w:val="left"/>
      <w:lvlText w:val="%1."/>
      <w:numFmt w:val="lowerLetter"/>
      <w:start w:val="2"/>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1."/>
      <w:numFmt w:val="lowerLetter"/>
      <w:start w:val="3"/>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4"/>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lvl w:ilvl="1">
      <w:lvlJc w:val="left"/>
      <w:lvlText w:val="(%2)"/>
      <w:numFmt w:val="lowerRoman"/>
      <w:start w:val="1"/>
    </w:lvl>
  </w:abstractNum>
  <w:abstractNum w:abstractNumId="33">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4">
    <w:nsid w:val="6DE91B1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5">
    <w:nsid w:val="38437FD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lowerLetter"/>
      <w:start w:val="6"/>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7"/>
    </w:lvl>
  </w:abstractNum>
  <w:abstractNum w:abstractNumId="40">
    <w:nsid w:val="749ABB43"/>
    <w:multiLevelType w:val="hybridMultilevel"/>
    <w:lvl w:ilvl="0">
      <w:lvlJc w:val="left"/>
      <w:lvlText w:val="%1."/>
      <w:numFmt w:val="lowerLetter"/>
      <w:start w:val="1"/>
    </w:lvl>
    <w:lvl w:ilvl="1">
      <w:lvlJc w:val="left"/>
      <w:lvlText w:val="(%2)"/>
      <w:numFmt w:val="lowerRoman"/>
      <w:start w:val="1"/>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lvl w:ilvl="1">
      <w:lvlJc w:val="left"/>
      <w:lvlText w:val="(%2)"/>
      <w:numFmt w:val="lowerRoman"/>
      <w:start w:val="2"/>
    </w:lvl>
  </w:abstractNum>
  <w:abstractNum w:abstractNumId="44">
    <w:nsid w:val="75C6C33A"/>
    <w:multiLevelType w:val="hybridMultilevel"/>
    <w:lvl w:ilvl="0">
      <w:lvlJc w:val="left"/>
      <w:lvlText w:val="%1."/>
      <w:numFmt w:val="lowerLetter"/>
      <w:start w:val="2"/>
    </w:lvl>
    <w:lvl w:ilvl="1">
      <w:lvlJc w:val="left"/>
      <w:lvlText w:val="%2"/>
      <w:numFmt w:val="lowerRoman"/>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3"/>
    </w:lvl>
  </w:abstractNum>
  <w:abstractNum w:abstractNumId="48">
    <w:nsid w:val="374A3FE6"/>
    <w:multiLevelType w:val="hybridMultilevel"/>
    <w:lvl w:ilvl="0">
      <w:lvlJc w:val="left"/>
      <w:lvlText w:val="%1."/>
      <w:numFmt w:val="decimal"/>
      <w:start w:val="6"/>
    </w:lvl>
  </w:abstractNum>
  <w:abstractNum w:abstractNumId="49">
    <w:nsid w:val="4F4EF005"/>
    <w:multiLevelType w:val="hybridMultilevel"/>
    <w:lvl w:ilvl="0">
      <w:lvlJc w:val="left"/>
      <w:lvlText w:val="%1."/>
      <w:numFmt w:val="decimal"/>
      <w:start w:val="7"/>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12"/>
    </w:lvl>
  </w:abstractNum>
  <w:abstractNum w:abstractNumId="52">
    <w:nsid w:val="275AC794"/>
    <w:multiLevelType w:val="hybridMultilevel"/>
    <w:lvl w:ilvl="0">
      <w:lvlJc w:val="left"/>
      <w:lvlText w:val="%1."/>
      <w:numFmt w:val="decimal"/>
      <w:start w:val="14"/>
    </w:lvl>
  </w:abstractNum>
  <w:abstractNum w:abstractNumId="53">
    <w:nsid w:val="39386575"/>
    <w:multiLevelType w:val="hybridMultilevel"/>
    <w:lvl w:ilvl="0">
      <w:lvlJc w:val="left"/>
      <w:lvlText w:val="%1."/>
      <w:numFmt w:val="decimal"/>
      <w:start w:val="16"/>
    </w:lvl>
  </w:abstractNum>
  <w:abstractNum w:abstractNumId="54">
    <w:nsid w:val="1CF10FD8"/>
    <w:multiLevelType w:val="hybridMultilevel"/>
    <w:lvl w:ilvl="0">
      <w:lvlJc w:val="left"/>
      <w:lvlText w:val="%1."/>
      <w:numFmt w:val="decimal"/>
      <w:start w:val="19"/>
    </w:lvl>
  </w:abstractNum>
  <w:abstractNum w:abstractNumId="55">
    <w:nsid w:val="180115BE"/>
    <w:multiLevelType w:val="hybridMultilevel"/>
    <w:lvl w:ilvl="0">
      <w:lvlJc w:val="left"/>
      <w:lvlText w:val="%1."/>
      <w:numFmt w:val="decimal"/>
      <w:start w:val="21"/>
    </w:lvl>
  </w:abstractNum>
  <w:abstractNum w:abstractNumId="56">
    <w:nsid w:val="235BA861"/>
    <w:multiLevelType w:val="hybridMultilevel"/>
    <w:lvl w:ilvl="0">
      <w:lvlJc w:val="left"/>
      <w:lvlText w:val="%1."/>
      <w:numFmt w:val="decimal"/>
      <w:start w:val="23"/>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8"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14" Type="http://schemas.openxmlformats.org/officeDocument/2006/relationships/hyperlink" Target="https://www.sec.gov/Archives/edgar/data/0000059478/000005947821000083/lly-20201231.htm" TargetMode="External"/><Relationship Id="rId77" Type="http://schemas.openxmlformats.org/officeDocument/2006/relationships/hyperlink" Target="http://www.sec.gov/Archives/edgar/data/59478/000005947820000057/lly-20191231x10xk.htm" TargetMode="External"/><Relationship Id="rId79" Type="http://schemas.openxmlformats.org/officeDocument/2006/relationships/hyperlink" Target="http://www.sec.gov/Archives/edgar/data/59478/000005947814000078/lly-20131231x10kexhibit31.htm" TargetMode="External"/><Relationship Id="rId80" Type="http://schemas.openxmlformats.org/officeDocument/2006/relationships/hyperlink" Target="https://www.sec.gov/Archives/edgar/data/0000059478/000119312521033302/d111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2021-04-30T08:26:08Z</dcterms:created>
  <dcterms:modified xsi:type="dcterms:W3CDTF">2021-04-30T08:26:08Z</dcterms:modified>
</cp:coreProperties>
</file>