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13G</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Sigilon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Issuer)</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Common Stock, $0.001 par value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82657L107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(CUSIP Number)</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Event which Requires Filing of this Statement)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18" w:lineRule="exact"/>
        <w:rPr>
          <w:sz w:val="24"/>
          <w:szCs w:val="24"/>
          <w:color w:val="auto"/>
        </w:rPr>
      </w:pPr>
    </w:p>
    <w:p>
      <w:pPr>
        <w:ind w:left="800" w:hanging="784"/>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52" w:lineRule="exact"/>
        <w:rPr>
          <w:rFonts w:ascii="MS PGothic" w:cs="MS PGothic" w:eastAsia="MS PGothic" w:hAnsi="MS PGothic"/>
          <w:sz w:val="17"/>
          <w:szCs w:val="17"/>
          <w:color w:val="auto"/>
        </w:rPr>
      </w:pPr>
    </w:p>
    <w:p>
      <w:pPr>
        <w:ind w:left="800" w:hanging="784"/>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53" w:lineRule="exact"/>
        <w:rPr>
          <w:sz w:val="24"/>
          <w:szCs w:val="24"/>
          <w:color w:val="auto"/>
        </w:rPr>
      </w:pPr>
    </w:p>
    <w:p>
      <w:pPr>
        <w:ind w:left="800" w:hanging="784"/>
        <w:spacing w:after="0"/>
        <w:tabs>
          <w:tab w:leader="none" w:pos="8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197"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80"/>
          </w:cols>
          <w:pgMar w:left="300" w:top="1159" w:right="319" w:bottom="1440" w:gutter="0" w:footer="0" w:header="0"/>
        </w:sectPr>
      </w:pPr>
    </w:p>
    <w:bookmarkStart w:id="1" w:name="page2"/>
    <w:bookmarkEnd w:id="1"/>
    <w:p>
      <w:pPr>
        <w:ind w:left="857" w:right="8340" w:hanging="282"/>
        <w:spacing w:after="0" w:line="276" w:lineRule="auto"/>
        <w:tabs>
          <w:tab w:leader="none" w:pos="85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192405</wp:posOffset>
            </wp:positionH>
            <wp:positionV relativeFrom="page">
              <wp:posOffset>594360</wp:posOffset>
            </wp:positionV>
            <wp:extent cx="6960870" cy="1431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1431290"/>
                    </a:xfrm>
                    <a:prstGeom prst="rect">
                      <a:avLst/>
                    </a:prstGeom>
                    <a:noFill/>
                  </pic:spPr>
                </pic:pic>
              </a:graphicData>
            </a:graphic>
          </wp:anchor>
        </w:drawing>
        <w:t>Names of Reporting Persons Eli Lilly and Company</w:t>
      </w:r>
    </w:p>
    <w:p>
      <w:pPr>
        <w:ind w:left="857" w:hanging="282"/>
        <w:spacing w:after="0"/>
        <w:tabs>
          <w:tab w:leader="none" w:pos="85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8" w:lineRule="exact"/>
        <w:rPr>
          <w:rFonts w:ascii="Times New Roman" w:cs="Times New Roman" w:eastAsia="Times New Roman" w:hAnsi="Times New Roman"/>
          <w:sz w:val="17"/>
          <w:szCs w:val="17"/>
          <w:color w:val="auto"/>
        </w:rPr>
      </w:pPr>
    </w:p>
    <w:p>
      <w:pPr>
        <w:ind w:left="1077" w:hanging="216"/>
        <w:spacing w:after="0" w:line="186" w:lineRule="exact"/>
        <w:tabs>
          <w:tab w:leader="none" w:pos="1077" w:val="left"/>
        </w:tabs>
        <w:numPr>
          <w:ilvl w:val="1"/>
          <w:numId w:val="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ind w:left="1097" w:hanging="236"/>
        <w:spacing w:after="0" w:line="196" w:lineRule="exact"/>
        <w:tabs>
          <w:tab w:leader="none" w:pos="1097" w:val="left"/>
        </w:tabs>
        <w:numPr>
          <w:ilvl w:val="1"/>
          <w:numId w:val="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210" w:lineRule="exact"/>
        <w:rPr>
          <w:rFonts w:ascii="Times New Roman" w:cs="Times New Roman" w:eastAsia="Times New Roman" w:hAnsi="Times New Roman"/>
          <w:sz w:val="17"/>
          <w:szCs w:val="17"/>
          <w:color w:val="auto"/>
        </w:rPr>
      </w:pPr>
    </w:p>
    <w:p>
      <w:pPr>
        <w:ind w:left="857" w:hanging="282"/>
        <w:spacing w:after="0"/>
        <w:tabs>
          <w:tab w:leader="none" w:pos="85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28" w:lineRule="exact"/>
        <w:rPr>
          <w:rFonts w:ascii="Times New Roman" w:cs="Times New Roman" w:eastAsia="Times New Roman" w:hAnsi="Times New Roman"/>
          <w:sz w:val="17"/>
          <w:szCs w:val="17"/>
          <w:color w:val="auto"/>
        </w:rPr>
      </w:pPr>
    </w:p>
    <w:p>
      <w:pPr>
        <w:ind w:left="857" w:hanging="282"/>
        <w:spacing w:after="0"/>
        <w:tabs>
          <w:tab w:leader="none" w:pos="85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w:t>
      </w:r>
    </w:p>
    <w:p>
      <w:pPr>
        <w:spacing w:after="0" w:line="177" w:lineRule="exact"/>
        <w:rPr>
          <w:sz w:val="20"/>
          <w:szCs w:val="20"/>
          <w:color w:val="auto"/>
        </w:rPr>
      </w:pPr>
    </w:p>
    <w:p>
      <w:pPr>
        <w:ind w:left="857"/>
        <w:spacing w:after="0"/>
        <w:rPr>
          <w:sz w:val="20"/>
          <w:szCs w:val="20"/>
          <w:color w:val="auto"/>
        </w:rPr>
      </w:pPr>
      <w:r>
        <w:rPr>
          <w:rFonts w:ascii="Times New Roman" w:cs="Times New Roman" w:eastAsia="Times New Roman" w:hAnsi="Times New Roman"/>
          <w:sz w:val="17"/>
          <w:szCs w:val="17"/>
          <w:color w:val="auto"/>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67220" cy="1654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7220" cy="1654810"/>
                    </a:xfrm>
                    <a:prstGeom prst="rect">
                      <a:avLst/>
                    </a:prstGeom>
                    <a:noFill/>
                  </pic:spPr>
                </pic:pic>
              </a:graphicData>
            </a:graphic>
          </wp:anchor>
        </w:drawing>
      </w:r>
    </w:p>
    <w:p>
      <w:pPr>
        <w:spacing w:after="0" w:line="34" w:lineRule="exact"/>
        <w:rPr>
          <w:sz w:val="20"/>
          <w:szCs w:val="20"/>
          <w:color w:val="auto"/>
        </w:rPr>
      </w:pPr>
    </w:p>
    <w:tbl>
      <w:tblPr>
        <w:tblLayout w:type="fixed"/>
        <w:tblInd w:w="97" w:type="dxa"/>
        <w:tblCellMar>
          <w:top w:w="0" w:type="dxa"/>
          <w:left w:w="0" w:type="dxa"/>
          <w:bottom w:w="0" w:type="dxa"/>
          <w:right w:w="0" w:type="dxa"/>
        </w:tblCellMar>
      </w:tblPr>
      <w:tr>
        <w:trPr>
          <w:trHeight w:val="195"/>
        </w:trPr>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NUMBER OF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186"/>
        </w:trPr>
        <w:tc>
          <w:tcPr>
            <w:tcW w:w="19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BENEFICIALLY OWNED</w:t>
            </w:r>
          </w:p>
        </w:tc>
        <w:tc>
          <w:tcPr>
            <w:tcW w:w="72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BY EACH REPORTING</w:t>
            </w:r>
          </w:p>
        </w:tc>
        <w:tc>
          <w:tcPr>
            <w:tcW w:w="720" w:type="dxa"/>
            <w:vAlign w:val="bottom"/>
          </w:tcPr>
          <w:p>
            <w:pPr>
              <w:spacing w:after="0"/>
              <w:rPr>
                <w:sz w:val="16"/>
                <w:szCs w:val="16"/>
                <w:color w:val="auto"/>
              </w:rPr>
            </w:pPr>
          </w:p>
        </w:tc>
        <w:tc>
          <w:tcPr>
            <w:tcW w:w="8240" w:type="dxa"/>
            <w:vAlign w:val="bottom"/>
          </w:tcPr>
          <w:p>
            <w:pPr>
              <w:ind w:left="80"/>
              <w:spacing w:after="0" w:line="186" w:lineRule="exact"/>
              <w:rPr>
                <w:sz w:val="20"/>
                <w:szCs w:val="20"/>
                <w:color w:val="auto"/>
              </w:rPr>
            </w:pPr>
            <w:r>
              <w:rPr>
                <w:rFonts w:ascii="Times New Roman" w:cs="Times New Roman" w:eastAsia="Times New Roman" w:hAnsi="Times New Roman"/>
                <w:sz w:val="17"/>
                <w:szCs w:val="17"/>
                <w:color w:val="auto"/>
              </w:rPr>
              <w:t>2,744,443</w:t>
            </w:r>
          </w:p>
        </w:tc>
        <w:tc>
          <w:tcPr>
            <w:tcW w:w="0" w:type="dxa"/>
            <w:vAlign w:val="bottom"/>
          </w:tcPr>
          <w:p>
            <w:pPr>
              <w:spacing w:after="0"/>
              <w:rPr>
                <w:sz w:val="1"/>
                <w:szCs w:val="1"/>
                <w:color w:val="auto"/>
              </w:rPr>
            </w:pPr>
          </w:p>
        </w:tc>
      </w:tr>
      <w:tr>
        <w:trPr>
          <w:trHeight w:val="83"/>
        </w:trPr>
        <w:tc>
          <w:tcPr>
            <w:tcW w:w="1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PERSON</w:t>
            </w:r>
          </w:p>
        </w:tc>
        <w:tc>
          <w:tcPr>
            <w:tcW w:w="720" w:type="dxa"/>
            <w:vAlign w:val="bottom"/>
            <w:tcBorders>
              <w:bottom w:val="single" w:sz="8" w:color="auto"/>
            </w:tcBorders>
          </w:tcPr>
          <w:p>
            <w:pPr>
              <w:spacing w:after="0"/>
              <w:rPr>
                <w:sz w:val="7"/>
                <w:szCs w:val="7"/>
                <w:color w:val="auto"/>
              </w:rPr>
            </w:pPr>
          </w:p>
        </w:tc>
        <w:tc>
          <w:tcPr>
            <w:tcW w:w="8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22"/>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c>
          <w:tcPr>
            <w:tcW w:w="720" w:type="dxa"/>
            <w:vAlign w:val="bottom"/>
            <w:vMerge w:val="continue"/>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817" w:right="6720" w:hanging="287"/>
        <w:spacing w:after="0" w:line="399" w:lineRule="auto"/>
        <w:tabs>
          <w:tab w:leader="none" w:pos="2817"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2,744,443</w:t>
      </w:r>
    </w:p>
    <w:p>
      <w:pPr>
        <w:spacing w:after="0" w:line="1" w:lineRule="exact"/>
        <w:rPr>
          <w:rFonts w:ascii="Times New Roman" w:cs="Times New Roman" w:eastAsia="Times New Roman" w:hAnsi="Times New Roman"/>
          <w:sz w:val="17"/>
          <w:szCs w:val="17"/>
          <w:color w:val="auto"/>
        </w:rPr>
      </w:pPr>
    </w:p>
    <w:p>
      <w:pPr>
        <w:ind w:left="2817" w:right="6560" w:hanging="287"/>
        <w:spacing w:after="0" w:line="412" w:lineRule="auto"/>
        <w:tabs>
          <w:tab w:leader="none" w:pos="2817"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0</w:t>
      </w:r>
    </w:p>
    <w:p>
      <w:pPr>
        <w:spacing w:after="0" w:line="1" w:lineRule="exact"/>
        <w:rPr>
          <w:rFonts w:ascii="Times New Roman" w:cs="Times New Roman" w:eastAsia="Times New Roman" w:hAnsi="Times New Roman"/>
          <w:sz w:val="17"/>
          <w:szCs w:val="17"/>
          <w:color w:val="auto"/>
        </w:rPr>
      </w:pPr>
    </w:p>
    <w:p>
      <w:pPr>
        <w:ind w:left="857" w:right="5820" w:hanging="282"/>
        <w:spacing w:after="0" w:line="374" w:lineRule="auto"/>
        <w:tabs>
          <w:tab w:leader="none" w:pos="85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2,744,443</w:t>
      </w:r>
    </w:p>
    <w:p>
      <w:pPr>
        <w:ind w:left="857" w:right="5160" w:hanging="364"/>
        <w:spacing w:after="0" w:line="235" w:lineRule="auto"/>
        <w:tabs>
          <w:tab w:leader="none" w:pos="85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1" w:lineRule="exact"/>
        <w:rPr>
          <w:rFonts w:ascii="Times New Roman" w:cs="Times New Roman" w:eastAsia="Times New Roman" w:hAnsi="Times New Roman"/>
          <w:sz w:val="17"/>
          <w:szCs w:val="17"/>
          <w:color w:val="auto"/>
        </w:rPr>
      </w:pPr>
    </w:p>
    <w:p>
      <w:pPr>
        <w:ind w:left="857"/>
        <w:spacing w:after="0" w:line="171" w:lineRule="exact"/>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242" w:lineRule="exact"/>
        <w:rPr>
          <w:rFonts w:ascii="Times New Roman" w:cs="Times New Roman" w:eastAsia="Times New Roman" w:hAnsi="Times New Roman"/>
          <w:sz w:val="17"/>
          <w:szCs w:val="17"/>
          <w:color w:val="auto"/>
        </w:rPr>
      </w:pPr>
    </w:p>
    <w:p>
      <w:pPr>
        <w:ind w:left="857" w:hanging="358"/>
        <w:spacing w:after="0"/>
        <w:tabs>
          <w:tab w:leader="none" w:pos="85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172" w:lineRule="exact"/>
        <w:rPr>
          <w:rFonts w:ascii="Times New Roman" w:cs="Times New Roman" w:eastAsia="Times New Roman" w:hAnsi="Times New Roman"/>
          <w:sz w:val="17"/>
          <w:szCs w:val="17"/>
          <w:color w:val="auto"/>
        </w:rPr>
      </w:pPr>
    </w:p>
    <w:p>
      <w:pPr>
        <w:ind w:left="85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w:t>
      </w:r>
      <w:r>
        <w:rPr>
          <w:rFonts w:ascii="Times New Roman" w:cs="Times New Roman" w:eastAsia="Times New Roman" w:hAnsi="Times New Roman"/>
          <w:sz w:val="21"/>
          <w:szCs w:val="21"/>
          <w:color w:val="auto"/>
          <w:vertAlign w:val="superscript"/>
        </w:rPr>
        <w:t>(1)</w:t>
      </w:r>
    </w:p>
    <w:p>
      <w:pPr>
        <w:spacing w:after="0" w:line="18" w:lineRule="exact"/>
        <w:rPr>
          <w:rFonts w:ascii="Times New Roman" w:cs="Times New Roman" w:eastAsia="Times New Roman" w:hAnsi="Times New Roman"/>
          <w:sz w:val="17"/>
          <w:szCs w:val="17"/>
          <w:color w:val="auto"/>
        </w:rPr>
      </w:pPr>
    </w:p>
    <w:p>
      <w:pPr>
        <w:ind w:left="857" w:hanging="364"/>
        <w:spacing w:after="0"/>
        <w:tabs>
          <w:tab w:leader="none" w:pos="85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w:t>
      </w:r>
    </w:p>
    <w:p>
      <w:pPr>
        <w:spacing w:after="0" w:line="158" w:lineRule="exact"/>
        <w:rPr>
          <w:rFonts w:ascii="Times New Roman" w:cs="Times New Roman" w:eastAsia="Times New Roman" w:hAnsi="Times New Roman"/>
          <w:sz w:val="17"/>
          <w:szCs w:val="17"/>
          <w:color w:val="auto"/>
        </w:rPr>
      </w:pPr>
    </w:p>
    <w:p>
      <w:pPr>
        <w:ind w:left="85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w:t>
      </w:r>
    </w:p>
    <w:p>
      <w:pPr>
        <w:spacing w:after="0" w:line="215" w:lineRule="exact"/>
        <w:rPr>
          <w:rFonts w:ascii="Times New Roman" w:cs="Times New Roman" w:eastAsia="Times New Roman" w:hAnsi="Times New Roman"/>
          <w:sz w:val="17"/>
          <w:szCs w:val="17"/>
          <w:color w:val="auto"/>
        </w:rPr>
      </w:pPr>
    </w:p>
    <w:p>
      <w:pPr>
        <w:ind w:left="257" w:hanging="257"/>
        <w:spacing w:after="0" w:line="211" w:lineRule="auto"/>
        <w:tabs>
          <w:tab w:leader="none" w:pos="161"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percentage is calculated based upon 31,240,271 common voting shares outstanding, which is the number of outstanding shares as of December 8, 2020 as reported on the Issuer's Form 424(b)(4) filed with the Securities and Exchange Commission on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-1995805</wp:posOffset>
            </wp:positionV>
            <wp:extent cx="6980555" cy="1674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1674495"/>
                    </a:xfrm>
                    <a:prstGeom prst="rect">
                      <a:avLst/>
                    </a:prstGeom>
                    <a:noFill/>
                  </pic:spPr>
                </pic:pic>
              </a:graphicData>
            </a:graphic>
          </wp:anchor>
        </w:drawing>
      </w:r>
    </w:p>
    <w:p>
      <w:pPr>
        <w:sectPr>
          <w:pgSz w:w="11900" w:h="16838" w:orient="portrait"/>
          <w:cols w:equalWidth="0" w:num="1">
            <w:col w:w="11097"/>
          </w:cols>
          <w:pgMar w:left="303" w:top="946"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4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Name of Issuer</w:t>
            </w:r>
          </w:p>
        </w:tc>
      </w:tr>
      <w:tr>
        <w:trPr>
          <w:trHeight w:val="248"/>
        </w:trPr>
        <w:tc>
          <w:tcPr>
            <w:tcW w:w="1020" w:type="dxa"/>
            <w:vAlign w:val="bottom"/>
          </w:tcPr>
          <w:p>
            <w:pPr>
              <w:spacing w:after="0"/>
              <w:rPr>
                <w:sz w:val="21"/>
                <w:szCs w:val="21"/>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Name of Issuer:</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Sigilon Therapeutics, Inc.</w:t>
            </w:r>
          </w:p>
        </w:tc>
      </w:tr>
      <w:tr>
        <w:trPr>
          <w:trHeight w:val="434"/>
        </w:trPr>
        <w:tc>
          <w:tcPr>
            <w:tcW w:w="10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(b)</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100 Binney Street, Suite 600</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Cambridge, MA 02142</w:t>
            </w: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4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Name of Person Filing</w:t>
            </w:r>
          </w:p>
        </w:tc>
      </w:tr>
      <w:tr>
        <w:trPr>
          <w:trHeight w:val="248"/>
        </w:trPr>
        <w:tc>
          <w:tcPr>
            <w:tcW w:w="1020" w:type="dxa"/>
            <w:vAlign w:val="bottom"/>
          </w:tcPr>
          <w:p>
            <w:pPr>
              <w:spacing w:after="0"/>
              <w:rPr>
                <w:sz w:val="21"/>
                <w:szCs w:val="21"/>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Name:</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 Lilly and Company</w:t>
            </w:r>
          </w:p>
        </w:tc>
      </w:tr>
      <w:tr>
        <w:trPr>
          <w:trHeight w:val="434"/>
        </w:trPr>
        <w:tc>
          <w:tcPr>
            <w:tcW w:w="10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(b)</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Address of Principal Business Office:</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 Lilly Corporate Center</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Indianapolis, Indiana 46285</w:t>
            </w:r>
          </w:p>
        </w:tc>
      </w:tr>
      <w:tr>
        <w:trPr>
          <w:trHeight w:val="434"/>
        </w:trPr>
        <w:tc>
          <w:tcPr>
            <w:tcW w:w="10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Citizenship:</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Indiana corporation</w:t>
            </w:r>
          </w:p>
        </w:tc>
      </w:tr>
      <w:tr>
        <w:trPr>
          <w:trHeight w:val="434"/>
        </w:trPr>
        <w:tc>
          <w:tcPr>
            <w:tcW w:w="10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(d)</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Title of Class of Securities:</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$0.001 par value</w:t>
            </w:r>
          </w:p>
        </w:tc>
      </w:tr>
      <w:tr>
        <w:trPr>
          <w:trHeight w:val="434"/>
        </w:trPr>
        <w:tc>
          <w:tcPr>
            <w:tcW w:w="10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(e)</w:t>
            </w: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CUSIP Number:</w:t>
            </w:r>
          </w:p>
        </w:tc>
      </w:tr>
      <w:tr>
        <w:trPr>
          <w:trHeight w:val="228"/>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82657L107</w:t>
            </w: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84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w w:val="97"/>
              </w:rPr>
              <w:t>If this statement is filed pursuant to § 240.13d-1(b) or § 240.13d-2(b) or (c), check whether the person filing is a:</w:t>
            </w:r>
          </w:p>
        </w:tc>
      </w:tr>
      <w:tr>
        <w:trPr>
          <w:trHeight w:val="228"/>
        </w:trPr>
        <w:tc>
          <w:tcPr>
            <w:tcW w:w="1020" w:type="dxa"/>
            <w:vAlign w:val="bottom"/>
          </w:tcPr>
          <w:p>
            <w:pPr>
              <w:spacing w:after="0"/>
              <w:rPr>
                <w:sz w:val="19"/>
                <w:szCs w:val="19"/>
                <w:color w:val="auto"/>
              </w:rPr>
            </w:pPr>
          </w:p>
        </w:tc>
        <w:tc>
          <w:tcPr>
            <w:tcW w:w="84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44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Ownership.</w:t>
            </w:r>
          </w:p>
        </w:tc>
      </w:tr>
    </w:tbl>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All ownership information is as of December 31, 2020.</w:t>
      </w:r>
    </w:p>
    <w:p>
      <w:pPr>
        <w:spacing w:after="0" w:line="115" w:lineRule="exact"/>
        <w:rPr>
          <w:sz w:val="20"/>
          <w:szCs w:val="20"/>
          <w:color w:val="auto"/>
        </w:rPr>
      </w:pPr>
    </w:p>
    <w:p>
      <w:pPr>
        <w:ind w:left="2200" w:hanging="460"/>
        <w:spacing w:after="0"/>
        <w:tabs>
          <w:tab w:leader="none" w:pos="2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See Item 9 of Cover Sheet.</w:t>
      </w:r>
    </w:p>
    <w:p>
      <w:pPr>
        <w:spacing w:after="0" w:line="52" w:lineRule="exact"/>
        <w:rPr>
          <w:rFonts w:ascii="Times New Roman" w:cs="Times New Roman" w:eastAsia="Times New Roman" w:hAnsi="Times New Roman"/>
          <w:sz w:val="17"/>
          <w:szCs w:val="17"/>
          <w:color w:val="auto"/>
        </w:rPr>
      </w:pPr>
    </w:p>
    <w:p>
      <w:pPr>
        <w:ind w:left="2200" w:hanging="469"/>
        <w:spacing w:after="0"/>
        <w:tabs>
          <w:tab w:leader="none" w:pos="2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See Item 11 of Cover Sheet.</w:t>
      </w:r>
    </w:p>
    <w:p>
      <w:pPr>
        <w:spacing w:after="0" w:line="52" w:lineRule="exact"/>
        <w:rPr>
          <w:rFonts w:ascii="Times New Roman" w:cs="Times New Roman" w:eastAsia="Times New Roman" w:hAnsi="Times New Roman"/>
          <w:sz w:val="17"/>
          <w:szCs w:val="17"/>
          <w:color w:val="auto"/>
        </w:rPr>
      </w:pPr>
    </w:p>
    <w:p>
      <w:pPr>
        <w:ind w:left="2200" w:hanging="460"/>
        <w:spacing w:after="0"/>
        <w:tabs>
          <w:tab w:leader="none" w:pos="2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the person has:</w:t>
      </w:r>
    </w:p>
    <w:p>
      <w:pPr>
        <w:spacing w:after="0" w:line="52" w:lineRule="exact"/>
        <w:rPr>
          <w:rFonts w:ascii="Times New Roman" w:cs="Times New Roman" w:eastAsia="Times New Roman" w:hAnsi="Times New Roman"/>
          <w:sz w:val="17"/>
          <w:szCs w:val="17"/>
          <w:color w:val="auto"/>
        </w:rPr>
      </w:pPr>
    </w:p>
    <w:p>
      <w:pPr>
        <w:ind w:left="3000" w:hanging="498"/>
        <w:spacing w:after="0"/>
        <w:tabs>
          <w:tab w:leader="none" w:pos="30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of to direct the vote: See Item 5 of Cover Sheet.</w:t>
      </w:r>
    </w:p>
    <w:p>
      <w:pPr>
        <w:spacing w:after="0" w:line="52" w:lineRule="exact"/>
        <w:rPr>
          <w:rFonts w:ascii="Times New Roman" w:cs="Times New Roman" w:eastAsia="Times New Roman" w:hAnsi="Times New Roman"/>
          <w:sz w:val="17"/>
          <w:szCs w:val="17"/>
          <w:color w:val="auto"/>
        </w:rPr>
      </w:pPr>
    </w:p>
    <w:p>
      <w:pPr>
        <w:ind w:left="3000" w:hanging="472"/>
        <w:spacing w:after="0"/>
        <w:tabs>
          <w:tab w:leader="none" w:pos="300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 See Item 6 of Cover Sheet.</w:t>
      </w:r>
    </w:p>
    <w:p>
      <w:pPr>
        <w:spacing w:after="0" w:line="52" w:lineRule="exact"/>
        <w:rPr>
          <w:rFonts w:ascii="Times New Roman" w:cs="Times New Roman" w:eastAsia="Times New Roman" w:hAnsi="Times New Roman"/>
          <w:sz w:val="17"/>
          <w:szCs w:val="17"/>
          <w:color w:val="auto"/>
        </w:rPr>
      </w:pPr>
    </w:p>
    <w:p>
      <w:pPr>
        <w:ind w:left="3020" w:hanging="455"/>
        <w:spacing w:after="0"/>
        <w:tabs>
          <w:tab w:leader="none" w:pos="3020" w:val="left"/>
        </w:tabs>
        <w:numPr>
          <w:ilvl w:val="4"/>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Item 7 of Cover Sheet.</w:t>
      </w:r>
    </w:p>
    <w:p>
      <w:pPr>
        <w:spacing w:after="0" w:line="52" w:lineRule="exact"/>
        <w:rPr>
          <w:rFonts w:ascii="Times New Roman" w:cs="Times New Roman" w:eastAsia="Times New Roman" w:hAnsi="Times New Roman"/>
          <w:sz w:val="17"/>
          <w:szCs w:val="17"/>
          <w:color w:val="auto"/>
        </w:rPr>
      </w:pPr>
    </w:p>
    <w:p>
      <w:pPr>
        <w:ind w:left="3000" w:hanging="447"/>
        <w:spacing w:after="0"/>
        <w:tabs>
          <w:tab w:leader="none" w:pos="3000" w:val="left"/>
        </w:tabs>
        <w:numPr>
          <w:ilvl w:val="3"/>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See Item 8 of Cover Sheet.</w:t>
      </w:r>
    </w:p>
    <w:p>
      <w:pPr>
        <w:spacing w:after="0" w:line="23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139"/>
          </w:cols>
          <w:pgMar w:left="320" w:top="932" w:right="1440" w:bottom="1440" w:gutter="0" w:footer="0" w:header="0"/>
        </w:sectPr>
      </w:pPr>
    </w:p>
    <w:bookmarkStart w:id="3" w:name="page4"/>
    <w:bookmarkEnd w:id="3"/>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5" w:lineRule="exact"/>
        <w:rPr>
          <w:sz w:val="20"/>
          <w:szCs w:val="20"/>
          <w:color w:val="auto"/>
        </w:rPr>
      </w:pPr>
    </w:p>
    <w:p>
      <w:pPr>
        <w:ind w:left="1580" w:hanging="1581"/>
        <w:spacing w:after="0" w:line="256" w:lineRule="auto"/>
        <w:tabs>
          <w:tab w:leader="none" w:pos="156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 of the Group</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Certification</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180"/>
          </w:cols>
          <w:pgMar w:left="320" w:top="932" w:right="1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8" w:lineRule="exact"/>
        <w:rPr>
          <w:sz w:val="20"/>
          <w:szCs w:val="20"/>
          <w:color w:val="auto"/>
        </w:rPr>
      </w:pPr>
    </w:p>
    <w:p>
      <w:pPr>
        <w:ind w:left="20"/>
        <w:spacing w:after="0"/>
        <w:tabs>
          <w:tab w:leader="none" w:pos="6860" w:val="left"/>
          <w:tab w:leader="none" w:pos="7520" w:val="left"/>
        </w:tabs>
        <w:rPr>
          <w:sz w:val="20"/>
          <w:szCs w:val="20"/>
          <w:color w:val="auto"/>
        </w:rPr>
      </w:pPr>
      <w:r>
        <w:rPr>
          <w:rFonts w:ascii="Times New Roman" w:cs="Times New Roman" w:eastAsia="Times New Roman" w:hAnsi="Times New Roman"/>
          <w:sz w:val="17"/>
          <w:szCs w:val="17"/>
          <w:color w:val="auto"/>
        </w:rPr>
        <w:t>Dated: February 12, 2021</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20320</wp:posOffset>
            </wp:positionV>
            <wp:extent cx="2390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0140" cy="6350"/>
                    </a:xfrm>
                    <a:prstGeom prst="rect">
                      <a:avLst/>
                    </a:prstGeom>
                    <a:noFill/>
                  </pic:spPr>
                </pic:pic>
              </a:graphicData>
            </a:graphic>
          </wp:anchor>
        </w:drawing>
      </w:r>
    </w:p>
    <w:p>
      <w:pPr>
        <w:spacing w:after="0" w:line="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10795</wp:posOffset>
            </wp:positionV>
            <wp:extent cx="20161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6125" cy="6350"/>
                    </a:xfrm>
                    <a:prstGeom prst="rect">
                      <a:avLst/>
                    </a:prstGeom>
                    <a:noFill/>
                  </pic:spPr>
                </pic:pic>
              </a:graphicData>
            </a:graphic>
          </wp:anchor>
        </w:drawing>
      </w:r>
    </w:p>
    <w:p>
      <w:pPr>
        <w:spacing w:after="0" w:line="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Erin Conway</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Attorney-in-Fact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This Schedule 13G was executed pursuant to a Power of Attorney for Eli Lilly and Company filed on February 12, 2021 with the Securities and Exchange Commission and attached as an exhibit hereto.</w:t>
      </w:r>
    </w:p>
    <w:p>
      <w:pPr>
        <w:sectPr>
          <w:pgSz w:w="11900" w:h="16838" w:orient="portrait"/>
          <w:cols w:equalWidth="0" w:num="1">
            <w:col w:w="11280"/>
          </w:cols>
          <w:pgMar w:left="300" w:top="1077" w:right="319" w:bottom="1440" w:gutter="0" w:footer="0" w:header="0"/>
        </w:sectPr>
      </w:pPr>
    </w:p>
    <w:bookmarkStart w:id="5" w:name="page6"/>
    <w:bookmarkEnd w:id="5"/>
    <w:p>
      <w:pPr>
        <w:ind w:left="104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jc w:val="both"/>
        <w:ind w:right="60" w:firstLine="496"/>
        <w:spacing w:after="0" w:line="260" w:lineRule="auto"/>
        <w:rPr>
          <w:sz w:val="20"/>
          <w:szCs w:val="20"/>
          <w:color w:val="auto"/>
        </w:rPr>
      </w:pPr>
      <w:r>
        <w:rPr>
          <w:rFonts w:ascii="Times New Roman" w:cs="Times New Roman" w:eastAsia="Times New Roman" w:hAnsi="Times New Roman"/>
          <w:sz w:val="16"/>
          <w:szCs w:val="16"/>
          <w:color w:val="auto"/>
        </w:rPr>
        <w:t>The undersigned, ELI LILLY AND COMPANY, a corporation duly organized under the laws of the State of Indiana, United States (the “Company”), does hereby make, constitute and appoint each of Crystal T. Williams and Erin Conway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58" w:lineRule="exact"/>
        <w:rPr>
          <w:sz w:val="20"/>
          <w:szCs w:val="20"/>
          <w:color w:val="auto"/>
        </w:rPr>
      </w:pPr>
    </w:p>
    <w:p>
      <w:pPr>
        <w:jc w:val="both"/>
        <w:ind w:right="60" w:firstLine="496"/>
        <w:spacing w:after="0" w:line="265" w:lineRule="auto"/>
        <w:rPr>
          <w:sz w:val="20"/>
          <w:szCs w:val="20"/>
          <w:color w:val="auto"/>
        </w:rPr>
      </w:pPr>
      <w:r>
        <w:rPr>
          <w:rFonts w:ascii="Times New Roman" w:cs="Times New Roman" w:eastAsia="Times New Roman" w:hAnsi="Times New Roman"/>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11th day of February, 2021.</w:t>
      </w:r>
    </w:p>
    <w:p>
      <w:pPr>
        <w:spacing w:after="0" w:line="39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7"/>
          <w:szCs w:val="17"/>
          <w:b w:val="1"/>
          <w:bCs w:val="1"/>
          <w:color w:val="auto"/>
        </w:rPr>
        <w:t>Eli Lilly and Company</w:t>
      </w:r>
    </w:p>
    <w:p>
      <w:pPr>
        <w:spacing w:after="0" w:line="210"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17"/>
          <w:szCs w:val="17"/>
          <w:color w:val="auto"/>
        </w:rPr>
        <w:t>/s/</w:t>
      </w:r>
    </w:p>
    <w:p>
      <w:pPr>
        <w:ind w:left="6960"/>
        <w:spacing w:after="0"/>
        <w:tabs>
          <w:tab w:leader="none" w:pos="7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2540</wp:posOffset>
            </wp:positionV>
            <wp:extent cx="24968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6820" cy="6350"/>
                    </a:xfrm>
                    <a:prstGeom prst="rect">
                      <a:avLst/>
                    </a:prstGeom>
                    <a:noFill/>
                  </pic:spPr>
                </pic:pic>
              </a:graphicData>
            </a:graphic>
          </wp:anchor>
        </w:drawing>
      </w:r>
    </w:p>
    <w:p>
      <w:pPr>
        <w:ind w:left="10920"/>
        <w:spacing w:after="0" w:line="229" w:lineRule="auto"/>
        <w:rPr>
          <w:sz w:val="20"/>
          <w:szCs w:val="20"/>
          <w:color w:val="auto"/>
        </w:rPr>
      </w:pPr>
      <w:r>
        <w:rPr>
          <w:rFonts w:ascii="Times New Roman" w:cs="Times New Roman" w:eastAsia="Times New Roman" w:hAnsi="Times New Roman"/>
          <w:sz w:val="17"/>
          <w:szCs w:val="17"/>
          <w:color w:val="auto"/>
        </w:rPr>
        <w:t>Anat</w:t>
      </w:r>
    </w:p>
    <w:p>
      <w:pPr>
        <w:spacing w:after="0" w:line="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7"/>
          <w:szCs w:val="17"/>
          <w:color w:val="auto"/>
        </w:rPr>
        <w:t>Name: Ashkenazi</w:t>
      </w:r>
    </w:p>
    <w:p>
      <w:pPr>
        <w:jc w:val="right"/>
        <w:spacing w:after="0" w:line="217" w:lineRule="auto"/>
        <w:rPr>
          <w:sz w:val="20"/>
          <w:szCs w:val="20"/>
          <w:color w:val="auto"/>
        </w:rPr>
      </w:pPr>
      <w:r>
        <w:rPr>
          <w:rFonts w:ascii="Times New Roman" w:cs="Times New Roman" w:eastAsia="Times New Roman" w:hAnsi="Times New Roman"/>
          <w:sz w:val="17"/>
          <w:szCs w:val="17"/>
          <w:color w:val="auto"/>
        </w:rPr>
        <w:t>Senior</w:t>
      </w:r>
    </w:p>
    <w:p>
      <w:pPr>
        <w:ind w:left="6960"/>
        <w:spacing w:after="0"/>
        <w:tabs>
          <w:tab w:leader="none" w:pos="74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Vice President</w:t>
      </w:r>
    </w:p>
    <w:p>
      <w:pPr>
        <w:ind w:left="10920"/>
        <w:spacing w:after="0" w:line="217" w:lineRule="auto"/>
        <w:rPr>
          <w:sz w:val="20"/>
          <w:szCs w:val="20"/>
          <w:color w:val="auto"/>
        </w:rPr>
      </w:pPr>
      <w:r>
        <w:rPr>
          <w:rFonts w:ascii="Times New Roman" w:cs="Times New Roman" w:eastAsia="Times New Roman" w:hAnsi="Times New Roman"/>
          <w:sz w:val="17"/>
          <w:szCs w:val="17"/>
          <w:color w:val="auto"/>
        </w:rPr>
        <w:t>and</w:t>
      </w:r>
    </w:p>
    <w:p>
      <w:pPr>
        <w:ind w:left="7440"/>
        <w:spacing w:after="0"/>
        <w:rPr>
          <w:sz w:val="20"/>
          <w:szCs w:val="20"/>
          <w:color w:val="auto"/>
        </w:rPr>
      </w:pPr>
      <w:r>
        <w:rPr>
          <w:rFonts w:ascii="Times New Roman" w:cs="Times New Roman" w:eastAsia="Times New Roman" w:hAnsi="Times New Roman"/>
          <w:sz w:val="17"/>
          <w:szCs w:val="17"/>
          <w:color w:val="auto"/>
        </w:rPr>
        <w:t>Chief Financial Officer</w:t>
      </w:r>
    </w:p>
    <w:sectPr>
      <w:pgSz w:w="11900" w:h="16838" w:orient="portrait"/>
      <w:cols w:equalWidth="0" w:num="1">
        <w:col w:w="11340"/>
      </w:cols>
      <w:pgMar w:left="300" w:top="126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4">
    <w:nsid w:val="507ED7A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3"/>
    </w:lvl>
    <w:lvl w:ilvl="4">
      <w:lvlJc w:val="left"/>
      <w:lvlText w:val="(%5)"/>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2021-02-12T15:44:21Z</dcterms:created>
  <dcterms:modified xsi:type="dcterms:W3CDTF">2021-02-12T15:44:21Z</dcterms:modified>
</cp:coreProperties>
</file>