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640" w:type="dxa"/>
        <w:tblCellMar>
          <w:top w:w="0" w:type="dxa"/>
          <w:left w:w="0" w:type="dxa"/>
          <w:bottom w:w="0" w:type="dxa"/>
          <w:right w:w="0" w:type="dxa"/>
        </w:tblCellMar>
      </w:tblPr>
      <w:tr>
        <w:trPr>
          <w:trHeight w:val="21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8"/>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7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Lilly Corporate Center, Indianapolis, Indiana 46285</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(317) 276-2000</w:t>
      </w:r>
    </w:p>
    <w:p>
      <w:pPr>
        <w:spacing w:after="0" w:line="302" w:lineRule="exact"/>
        <w:rPr>
          <w:sz w:val="24"/>
          <w:szCs w:val="24"/>
          <w:color w:val="auto"/>
        </w:rPr>
      </w:pPr>
    </w:p>
    <w:p>
      <w:pPr>
        <w:ind w:right="80"/>
        <w:spacing w:after="0" w:line="24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07"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180"/>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6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a “large accelerated filer,” “accelerated filer,” “smaller reporting company,” and "emerging growth company" in Rule 12b-2 of the Exchange Act.</w:t>
      </w:r>
    </w:p>
    <w:p>
      <w:pPr>
        <w:sectPr>
          <w:pgSz w:w="11900" w:h="16838" w:orient="portrait"/>
          <w:cols w:equalWidth="0" w:num="1">
            <w:col w:w="11420"/>
          </w:cols>
          <w:pgMar w:left="240" w:top="1135" w:right="239" w:bottom="1440" w:gutter="0" w:footer="0" w:header="0"/>
        </w:sectPr>
      </w:pPr>
    </w:p>
    <w:p>
      <w:pPr>
        <w:spacing w:after="0" w:line="228" w:lineRule="exact"/>
        <w:rPr>
          <w:sz w:val="24"/>
          <w:szCs w:val="24"/>
          <w:color w:val="auto"/>
        </w:rPr>
      </w:pPr>
    </w:p>
    <w:p>
      <w:pPr>
        <w:ind w:left="7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2380" w:space="60"/>
            <w:col w:w="6860" w:space="720"/>
            <w:col w:w="1160" w:space="60"/>
            <w:col w:w="180"/>
          </w:cols>
          <w:pgMar w:left="240" w:top="1135" w:right="239" w:bottom="1440" w:gutter="0" w:footer="0" w:header="0"/>
          <w:type w:val="continuous"/>
        </w:sectPr>
      </w:pPr>
    </w:p>
    <w:p>
      <w:pPr>
        <w:spacing w:after="0" w:line="55" w:lineRule="exact"/>
        <w:rPr>
          <w:sz w:val="24"/>
          <w:szCs w:val="24"/>
          <w:color w:val="auto"/>
        </w:rPr>
      </w:pPr>
    </w:p>
    <w:p>
      <w:pPr>
        <w:ind w:left="8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2380" w:space="60"/>
            <w:col w:w="6080" w:space="720"/>
            <w:col w:w="1940" w:space="60"/>
            <w:col w:w="180"/>
          </w:cols>
          <w:pgMar w:left="240" w:top="1135" w:right="239" w:bottom="1440" w:gutter="0" w:footer="0" w:header="0"/>
          <w:type w:val="continuous"/>
        </w:sectPr>
      </w:pPr>
    </w:p>
    <w:p>
      <w:pPr>
        <w:spacing w:after="0" w:line="55" w:lineRule="exact"/>
        <w:rPr>
          <w:sz w:val="24"/>
          <w:szCs w:val="24"/>
          <w:color w:val="auto"/>
        </w:rPr>
      </w:pPr>
    </w:p>
    <w:p>
      <w:pPr>
        <w:ind w:left="92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2" w:lineRule="exact"/>
        <w:rPr>
          <w:sz w:val="24"/>
          <w:szCs w:val="24"/>
          <w:color w:val="auto"/>
        </w:rPr>
      </w:pPr>
    </w:p>
    <w:p>
      <w:pPr>
        <w:sectPr>
          <w:pgSz w:w="11900" w:h="16838" w:orient="portrait"/>
          <w:cols w:equalWidth="0" w:num="2">
            <w:col w:w="11180" w:space="60"/>
            <w:col w:w="180"/>
          </w:cols>
          <w:pgMar w:left="240" w:top="1135" w:right="239" w:bottom="1440" w:gutter="0" w:footer="0" w:header="0"/>
          <w:type w:val="continuous"/>
        </w:sectPr>
      </w:pPr>
    </w:p>
    <w:p>
      <w:pPr>
        <w:ind w:right="3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7"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outstanding as of July 29, 2019:</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jc w:val="center"/>
              <w:ind w:right="2320"/>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Number of Shares Outstanding</w:t>
            </w:r>
          </w:p>
        </w:tc>
      </w:tr>
      <w:tr>
        <w:trPr>
          <w:trHeight w:val="243"/>
        </w:trPr>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740" w:type="dxa"/>
            <w:vAlign w:val="bottom"/>
            <w:gridSpan w:val="4"/>
          </w:tcPr>
          <w:p>
            <w:pPr>
              <w:jc w:val="center"/>
              <w:ind w:right="2800"/>
              <w:spacing w:after="0"/>
              <w:rPr>
                <w:sz w:val="20"/>
                <w:szCs w:val="20"/>
                <w:color w:val="auto"/>
              </w:rPr>
            </w:pPr>
            <w:r>
              <w:rPr>
                <w:rFonts w:ascii="Arial" w:cs="Arial" w:eastAsia="Arial" w:hAnsi="Arial"/>
                <w:sz w:val="18"/>
                <w:szCs w:val="18"/>
                <w:color w:val="auto"/>
              </w:rPr>
              <w:t>Common</w:t>
            </w:r>
          </w:p>
        </w:tc>
        <w:tc>
          <w:tcPr>
            <w:tcW w:w="5340" w:type="dxa"/>
            <w:vAlign w:val="bottom"/>
            <w:gridSpan w:val="3"/>
          </w:tcPr>
          <w:p>
            <w:pPr>
              <w:jc w:val="right"/>
              <w:ind w:right="100"/>
              <w:spacing w:after="0"/>
              <w:rPr>
                <w:sz w:val="20"/>
                <w:szCs w:val="20"/>
                <w:color w:val="auto"/>
              </w:rPr>
            </w:pPr>
            <w:r>
              <w:rPr>
                <w:rFonts w:ascii="Arial" w:cs="Arial" w:eastAsia="Arial" w:hAnsi="Arial"/>
                <w:sz w:val="18"/>
                <w:szCs w:val="18"/>
                <w:color w:val="auto"/>
              </w:rPr>
              <w:t>965,432,952</w:t>
            </w:r>
          </w:p>
        </w:tc>
      </w:tr>
      <w:tr>
        <w:trPr>
          <w:trHeight w:val="318"/>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80" w:type="dxa"/>
            <w:vAlign w:val="bottom"/>
            <w:gridSpan w:val="7"/>
          </w:tcPr>
          <w:p>
            <w:pPr>
              <w:jc w:val="right"/>
              <w:ind w:right="3080"/>
              <w:spacing w:after="0"/>
              <w:rPr>
                <w:sz w:val="20"/>
                <w:szCs w:val="20"/>
                <w:color w:val="auto"/>
              </w:rPr>
            </w:pPr>
            <w:r>
              <w:rPr>
                <w:rFonts w:ascii="Arial" w:cs="Arial" w:eastAsia="Arial" w:hAnsi="Arial"/>
                <w:sz w:val="16"/>
                <w:szCs w:val="16"/>
                <w:b w:val="1"/>
                <w:bCs w:val="1"/>
                <w:color w:val="auto"/>
              </w:rPr>
              <w:t>Securities registered pursuant to Section 12(b) of the Exchange Act:</w:t>
            </w:r>
          </w:p>
        </w:tc>
      </w:tr>
      <w:tr>
        <w:trPr>
          <w:trHeight w:val="303"/>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Trading Symbol</w:t>
            </w:r>
          </w:p>
        </w:tc>
        <w:tc>
          <w:tcPr>
            <w:tcW w:w="9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1580" w:type="dxa"/>
            <w:vAlign w:val="bottom"/>
          </w:tcPr>
          <w:p>
            <w:pPr>
              <w:spacing w:after="0"/>
              <w:rPr>
                <w:sz w:val="19"/>
                <w:szCs w:val="19"/>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w:t>
            </w:r>
          </w:p>
        </w:tc>
        <w:tc>
          <w:tcPr>
            <w:tcW w:w="9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1.000% Notes Due June 2, 2022</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LLY22</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7 1/8% Notes Due June 1, 2025</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LLY25</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1.625% Notes Due June 2, 2026</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LLY26</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2.125% Notes Due June 3, 2030</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LLY30</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6.77% Notes Due January 1, 2036</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LLY36</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363"/>
        </w:trPr>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5" w:right="23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June 30, 2019</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20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5"/>
          </w:tcPr>
          <w:p>
            <w:pPr>
              <w:jc w:val="center"/>
              <w:ind w:left="31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80" w:type="dxa"/>
            <w:vAlign w:val="bottom"/>
          </w:tcPr>
          <w:p>
            <w:pPr>
              <w:spacing w:after="0"/>
              <w:rPr>
                <w:sz w:val="24"/>
                <w:szCs w:val="24"/>
                <w:color w:val="auto"/>
              </w:rPr>
            </w:pPr>
          </w:p>
        </w:tc>
        <w:tc>
          <w:tcPr>
            <w:tcW w:w="73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80" w:type="dxa"/>
            <w:vAlign w:val="bottom"/>
            <w:gridSpan w:val="5"/>
          </w:tcPr>
          <w:p>
            <w:pPr>
              <w:jc w:val="center"/>
              <w:ind w:left="31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1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Operations</w:t>
              </w:r>
            </w:hyperlink>
          </w:p>
        </w:tc>
        <w:tc>
          <w:tcPr>
            <w:tcW w:w="580" w:type="dxa"/>
            <w:vAlign w:val="bottom"/>
            <w:gridSpan w:val="5"/>
          </w:tcPr>
          <w:p>
            <w:pPr>
              <w:jc w:val="center"/>
              <w:ind w:left="31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80" w:type="dxa"/>
            <w:vAlign w:val="bottom"/>
            <w:gridSpan w:val="17"/>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 (Loss)</w:t>
              </w:r>
            </w:hyperlink>
          </w:p>
        </w:tc>
        <w:tc>
          <w:tcPr>
            <w:tcW w:w="1420" w:type="dxa"/>
            <w:vAlign w:val="bottom"/>
            <w:gridSpan w:val="2"/>
          </w:tcPr>
          <w:p>
            <w:pPr>
              <w:spacing w:after="0"/>
              <w:rPr>
                <w:sz w:val="20"/>
                <w:szCs w:val="20"/>
                <w:color w:val="auto"/>
              </w:rPr>
            </w:pPr>
          </w:p>
        </w:tc>
        <w:tc>
          <w:tcPr>
            <w:tcW w:w="580" w:type="dxa"/>
            <w:vAlign w:val="bottom"/>
            <w:gridSpan w:val="5"/>
          </w:tcPr>
          <w:p>
            <w:pPr>
              <w:jc w:val="center"/>
              <w:ind w:left="31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0"/>
                <w:szCs w:val="20"/>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w:t>
              </w:r>
            </w:hyperlink>
          </w:p>
        </w:tc>
        <w:tc>
          <w:tcPr>
            <w:tcW w:w="1420" w:type="dxa"/>
            <w:vAlign w:val="bottom"/>
            <w:gridSpan w:val="2"/>
          </w:tcPr>
          <w:p>
            <w:pPr>
              <w:spacing w:after="0"/>
              <w:rPr>
                <w:sz w:val="22"/>
                <w:szCs w:val="22"/>
                <w:color w:val="auto"/>
              </w:rPr>
            </w:pPr>
          </w:p>
        </w:tc>
        <w:tc>
          <w:tcPr>
            <w:tcW w:w="580" w:type="dxa"/>
            <w:vAlign w:val="bottom"/>
            <w:gridSpan w:val="5"/>
          </w:tcPr>
          <w:p>
            <w:pPr>
              <w:jc w:val="center"/>
              <w:ind w:left="31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1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Equity</w:t>
              </w:r>
            </w:hyperlink>
          </w:p>
        </w:tc>
        <w:tc>
          <w:tcPr>
            <w:tcW w:w="580" w:type="dxa"/>
            <w:vAlign w:val="bottom"/>
            <w:gridSpan w:val="5"/>
          </w:tcPr>
          <w:p>
            <w:pPr>
              <w:jc w:val="center"/>
              <w:ind w:left="31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10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Condensed Statements of Cash Flows</w:t>
              </w:r>
            </w:hyperlink>
          </w:p>
        </w:tc>
        <w:tc>
          <w:tcPr>
            <w:tcW w:w="580" w:type="dxa"/>
            <w:vAlign w:val="bottom"/>
            <w:gridSpan w:val="5"/>
          </w:tcPr>
          <w:p>
            <w:pPr>
              <w:jc w:val="center"/>
              <w:ind w:left="31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36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Consolidated Condensed Financial Statements</w:t>
              </w:r>
            </w:hyperlink>
          </w:p>
        </w:tc>
        <w:tc>
          <w:tcPr>
            <w:tcW w:w="700" w:type="dxa"/>
            <w:vAlign w:val="bottom"/>
            <w:gridSpan w:val="6"/>
          </w:tcPr>
          <w:p>
            <w:pPr>
              <w:jc w:val="center"/>
              <w:ind w:left="170"/>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10</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3200" w:type="dxa"/>
            <w:vAlign w:val="bottom"/>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736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Results of Operations and Financial Condition</w:t>
              </w:r>
            </w:hyperlink>
          </w:p>
        </w:tc>
        <w:tc>
          <w:tcPr>
            <w:tcW w:w="700" w:type="dxa"/>
            <w:vAlign w:val="bottom"/>
            <w:gridSpan w:val="6"/>
          </w:tcPr>
          <w:p>
            <w:pPr>
              <w:jc w:val="center"/>
              <w:ind w:left="170"/>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36</w:t>
              </w:r>
            </w:hyperlink>
          </w:p>
        </w:tc>
      </w:tr>
      <w:tr>
        <w:trPr>
          <w:trHeight w:val="257"/>
        </w:trPr>
        <w:tc>
          <w:tcPr>
            <w:tcW w:w="54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1560" w:type="dxa"/>
            <w:vAlign w:val="bottom"/>
            <w:tcBorders>
              <w:top w:val="single" w:sz="8" w:color="0000EE"/>
            </w:tcBorders>
            <w:gridSpan w:val="7"/>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Executive Overview</w:t>
              </w:r>
            </w:hyperlink>
          </w:p>
        </w:tc>
        <w:tc>
          <w:tcPr>
            <w:tcW w:w="5260" w:type="dxa"/>
            <w:vAlign w:val="bottom"/>
            <w:tcBorders>
              <w:top w:val="single" w:sz="8" w:color="0000EE"/>
            </w:tcBorders>
            <w:gridSpan w:val="11"/>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36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Revenue</w:t>
              </w:r>
            </w:hyperlink>
          </w:p>
        </w:tc>
        <w:tc>
          <w:tcPr>
            <w:tcW w:w="840" w:type="dxa"/>
            <w:vAlign w:val="bottom"/>
            <w:gridSpan w:val="5"/>
          </w:tcPr>
          <w:p>
            <w:pPr>
              <w:spacing w:after="0"/>
              <w:rPr>
                <w:sz w:val="21"/>
                <w:szCs w:val="21"/>
                <w:color w:val="auto"/>
              </w:rPr>
            </w:pPr>
          </w:p>
        </w:tc>
        <w:tc>
          <w:tcPr>
            <w:tcW w:w="5540" w:type="dxa"/>
            <w:vAlign w:val="bottom"/>
            <w:gridSpan w:val="12"/>
          </w:tcPr>
          <w:p>
            <w:pPr>
              <w:spacing w:after="0"/>
              <w:rPr>
                <w:sz w:val="21"/>
                <w:szCs w:val="21"/>
                <w:color w:val="auto"/>
              </w:rPr>
            </w:pPr>
          </w:p>
        </w:tc>
        <w:tc>
          <w:tcPr>
            <w:tcW w:w="38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43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80" w:type="dxa"/>
            <w:vAlign w:val="bottom"/>
            <w:gridSpan w:val="10"/>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Gross Margin, Costs, and Expenses</w:t>
              </w:r>
            </w:hyperlink>
          </w:p>
        </w:tc>
        <w:tc>
          <w:tcPr>
            <w:tcW w:w="4220" w:type="dxa"/>
            <w:vAlign w:val="bottom"/>
            <w:gridSpan w:val="9"/>
          </w:tcPr>
          <w:p>
            <w:pPr>
              <w:spacing w:after="0"/>
              <w:rPr>
                <w:sz w:val="21"/>
                <w:szCs w:val="21"/>
                <w:color w:val="auto"/>
              </w:rPr>
            </w:pPr>
          </w:p>
        </w:tc>
        <w:tc>
          <w:tcPr>
            <w:tcW w:w="38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80" w:type="dxa"/>
            <w:vAlign w:val="bottom"/>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Financial Condition</w:t>
              </w:r>
            </w:hyperlink>
          </w:p>
        </w:tc>
        <w:tc>
          <w:tcPr>
            <w:tcW w:w="4220" w:type="dxa"/>
            <w:vAlign w:val="bottom"/>
            <w:gridSpan w:val="9"/>
          </w:tcPr>
          <w:p>
            <w:pPr>
              <w:spacing w:after="0"/>
              <w:rPr>
                <w:sz w:val="21"/>
                <w:szCs w:val="21"/>
                <w:color w:val="auto"/>
              </w:rPr>
            </w:pPr>
          </w:p>
        </w:tc>
        <w:tc>
          <w:tcPr>
            <w:tcW w:w="38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gridSpan w:val="8"/>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Financial Expectations</w:t>
              </w:r>
            </w:hyperlink>
          </w:p>
        </w:tc>
        <w:tc>
          <w:tcPr>
            <w:tcW w:w="5540" w:type="dxa"/>
            <w:vAlign w:val="bottom"/>
            <w:gridSpan w:val="12"/>
          </w:tcPr>
          <w:p>
            <w:pPr>
              <w:spacing w:after="0"/>
              <w:rPr>
                <w:sz w:val="21"/>
                <w:szCs w:val="21"/>
                <w:color w:val="auto"/>
              </w:rPr>
            </w:pPr>
          </w:p>
        </w:tc>
        <w:tc>
          <w:tcPr>
            <w:tcW w:w="38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360" w:type="dxa"/>
            <w:vAlign w:val="bottom"/>
            <w:gridSpan w:val="2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Available Information on our Website</w:t>
              </w:r>
            </w:hyperlink>
          </w:p>
        </w:tc>
        <w:tc>
          <w:tcPr>
            <w:tcW w:w="700" w:type="dxa"/>
            <w:vAlign w:val="bottom"/>
            <w:gridSpan w:val="6"/>
          </w:tcPr>
          <w:p>
            <w:pPr>
              <w:jc w:val="center"/>
              <w:ind w:left="17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49</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20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4.</w:t>
              </w:r>
            </w:hyperlink>
          </w:p>
        </w:tc>
        <w:tc>
          <w:tcPr>
            <w:tcW w:w="294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4420" w:type="dxa"/>
            <w:vAlign w:val="bottom"/>
            <w:gridSpan w:val="10"/>
          </w:tcPr>
          <w:p>
            <w:pPr>
              <w:spacing w:after="0"/>
              <w:rPr>
                <w:sz w:val="21"/>
                <w:szCs w:val="21"/>
                <w:color w:val="auto"/>
              </w:rPr>
            </w:pPr>
          </w:p>
        </w:tc>
        <w:tc>
          <w:tcPr>
            <w:tcW w:w="38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20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PART II. Other Information</w:t>
              </w:r>
            </w:hyperlink>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6"/>
          </w:tcPr>
          <w:p>
            <w:pPr>
              <w:jc w:val="center"/>
              <w:ind w:left="17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w:t>
              </w:r>
            </w:hyperlink>
          </w:p>
        </w:tc>
        <w:tc>
          <w:tcPr>
            <w:tcW w:w="1100" w:type="dxa"/>
            <w:vAlign w:val="bottom"/>
            <w:gridSpan w:val="2"/>
          </w:tcPr>
          <w:p>
            <w:pPr>
              <w:spacing w:after="0"/>
              <w:rPr>
                <w:sz w:val="24"/>
                <w:szCs w:val="24"/>
                <w:color w:val="auto"/>
              </w:rPr>
            </w:pPr>
          </w:p>
        </w:tc>
        <w:tc>
          <w:tcPr>
            <w:tcW w:w="736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38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20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1A.</w:t>
              </w:r>
            </w:hyperlink>
          </w:p>
        </w:tc>
        <w:tc>
          <w:tcPr>
            <w:tcW w:w="736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700" w:type="dxa"/>
            <w:vAlign w:val="bottom"/>
            <w:gridSpan w:val="6"/>
          </w:tcPr>
          <w:p>
            <w:pPr>
              <w:jc w:val="center"/>
              <w:ind w:left="170"/>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51</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60" w:type="dxa"/>
            <w:vAlign w:val="bottom"/>
            <w:gridSpan w:val="1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2.</w:t>
              </w:r>
            </w:hyperlink>
          </w:p>
        </w:tc>
        <w:tc>
          <w:tcPr>
            <w:tcW w:w="2540" w:type="dxa"/>
            <w:vAlign w:val="bottom"/>
            <w:gridSpan w:val="5"/>
          </w:tcPr>
          <w:p>
            <w:pPr>
              <w:spacing w:after="0"/>
              <w:rPr>
                <w:sz w:val="21"/>
                <w:szCs w:val="21"/>
                <w:color w:val="auto"/>
              </w:rPr>
            </w:pPr>
          </w:p>
        </w:tc>
        <w:tc>
          <w:tcPr>
            <w:tcW w:w="736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700" w:type="dxa"/>
            <w:vAlign w:val="bottom"/>
            <w:gridSpan w:val="6"/>
          </w:tcPr>
          <w:p>
            <w:pPr>
              <w:jc w:val="center"/>
              <w:ind w:left="170"/>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52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220" w:type="dxa"/>
            <w:vAlign w:val="bottom"/>
            <w:gridSpan w:val="15"/>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20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736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700" w:type="dxa"/>
            <w:vAlign w:val="bottom"/>
            <w:gridSpan w:val="6"/>
          </w:tcPr>
          <w:p>
            <w:pPr>
              <w:jc w:val="center"/>
              <w:ind w:left="170"/>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52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8"/>
        </w:trPr>
        <w:tc>
          <w:tcPr>
            <w:tcW w:w="1320" w:type="dxa"/>
            <w:vAlign w:val="bottom"/>
            <w:gridSpan w:val="4"/>
          </w:tcPr>
          <w:p>
            <w:pPr>
              <w:spacing w:after="0"/>
              <w:rPr>
                <w:rFonts w:ascii="Arial" w:cs="Arial" w:eastAsia="Arial" w:hAnsi="Arial"/>
                <w:sz w:val="18"/>
                <w:szCs w:val="18"/>
                <w:color w:val="0000EE"/>
                <w:w w:val="98"/>
              </w:rPr>
            </w:pPr>
            <w:hyperlink w:anchor="page53">
              <w:r>
                <w:rPr>
                  <w:rFonts w:ascii="Arial" w:cs="Arial" w:eastAsia="Arial" w:hAnsi="Arial"/>
                  <w:sz w:val="18"/>
                  <w:szCs w:val="18"/>
                  <w:color w:val="0000EE"/>
                  <w:w w:val="98"/>
                </w:rPr>
                <w:t>Index to Exhibits</w:t>
              </w:r>
            </w:hyperlink>
          </w:p>
        </w:tc>
        <w:tc>
          <w:tcPr>
            <w:tcW w:w="188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53</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20" w:type="dxa"/>
            <w:vAlign w:val="bottom"/>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188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53</w:t>
              </w:r>
            </w:hyperlink>
          </w:p>
        </w:tc>
      </w:tr>
      <w:tr>
        <w:trPr>
          <w:trHeight w:val="493"/>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40" w:type="dxa"/>
            <w:vAlign w:val="bottom"/>
            <w:gridSpan w:val="10"/>
          </w:tcPr>
          <w:p>
            <w:pPr>
              <w:ind w:left="24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6"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and the Private Securities Litigation Reform Act of 1995.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particular, information appearing under “Management's Discussion and Analysis of Results of Operations and Financial Condition”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45" w:lineRule="exact"/>
        <w:rPr>
          <w:sz w:val="20"/>
          <w:szCs w:val="20"/>
          <w:color w:val="auto"/>
        </w:rPr>
      </w:pPr>
    </w:p>
    <w:p>
      <w:pPr>
        <w:ind w:left="1300" w:right="26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in the pharmaceutical research and development process, including with respect to the timing of anticipated regulatory approvals and launches of new products;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involving past, current, or future products as we are largely self-insured;</w:t>
      </w:r>
    </w:p>
    <w:p>
      <w:pPr>
        <w:spacing w:after="0" w:line="63" w:lineRule="exact"/>
        <w:rPr>
          <w:rFonts w:ascii="Arial" w:cs="Arial" w:eastAsia="Arial" w:hAnsi="Arial"/>
          <w:sz w:val="18"/>
          <w:szCs w:val="18"/>
          <w:color w:val="auto"/>
        </w:rPr>
      </w:pPr>
    </w:p>
    <w:p>
      <w:pPr>
        <w:ind w:left="1300" w:right="2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disclosure, misappropriation, or compromise of trade secrets or other confidential data stored in our information systems, networks, and facilities, or those of third parties with whom we share our data;</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including the impact of United States tax reform legislation enacted in December 2017 and related guidance;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70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standards promulgated by the Financial Accounting Standards Board and the Securities and Exchange Commission (SEC);</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117" w:lineRule="exact"/>
        <w:rPr>
          <w:sz w:val="20"/>
          <w:szCs w:val="20"/>
          <w:color w:val="auto"/>
        </w:rPr>
      </w:pPr>
    </w:p>
    <w:p>
      <w:pPr>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More information on factors that could cause actual results or events to differ materially from those anticipated is included from time to time in our reports filed with the SEC, including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2018, particularly under the caption “Risk Factors”, and our Quarterly Report on </w:t>
      </w:r>
      <w:hyperlink r:id="rId1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w:t>
      </w:r>
    </w:p>
    <w:p>
      <w:pPr>
        <w:spacing w:after="0" w:line="94"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74" w:right="27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9" w:lineRule="exact"/>
        <w:rPr>
          <w:sz w:val="20"/>
          <w:szCs w:val="20"/>
          <w:color w:val="auto"/>
        </w:rPr>
      </w:pPr>
    </w:p>
    <w:tbl>
      <w:tblPr>
        <w:tblLayout w:type="fixed"/>
        <w:tblInd w:w="6020" w:type="dxa"/>
        <w:tblCellMar>
          <w:top w:w="0" w:type="dxa"/>
          <w:left w:w="0" w:type="dxa"/>
          <w:bottom w:w="0" w:type="dxa"/>
          <w:right w:w="0" w:type="dxa"/>
        </w:tblCellMar>
      </w:tblPr>
      <w:tr>
        <w:trPr>
          <w:trHeight w:val="162"/>
        </w:trPr>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9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88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828"/>
              <w:spacing w:after="0"/>
              <w:rPr>
                <w:sz w:val="20"/>
                <w:szCs w:val="20"/>
                <w:color w:val="auto"/>
              </w:rPr>
            </w:pPr>
            <w:r>
              <w:rPr>
                <w:rFonts w:ascii="Arial" w:cs="Arial" w:eastAsia="Arial" w:hAnsi="Arial"/>
                <w:sz w:val="14"/>
                <w:szCs w:val="14"/>
                <w:b w:val="1"/>
                <w:bCs w:val="1"/>
                <w:color w:val="auto"/>
              </w:rPr>
              <w:t>June 30,</w:t>
            </w:r>
          </w:p>
        </w:tc>
      </w:tr>
      <w:tr>
        <w:trPr>
          <w:trHeight w:val="258"/>
        </w:trPr>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7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7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 (Note 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Asset impairment, restructuring, and other special charges (Note 6)</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9)</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 from discontinued operations (Note 5)</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(loss) from continuing operations - basic</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(loss) from discontinued operations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(loss) from continuing operations - diluted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(loss) from discontinued operations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(loss)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560" w:hanging="535"/>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5,636.7   </w:t>
      </w:r>
      <w:r>
        <w:rPr>
          <w:rFonts w:ascii="Arial" w:cs="Arial" w:eastAsia="Arial" w:hAnsi="Arial"/>
          <w:sz w:val="18"/>
          <w:szCs w:val="18"/>
          <w:color w:val="auto"/>
        </w:rPr>
        <w:t xml:space="preserve">$5,585.0   </w:t>
      </w:r>
      <w:r>
        <w:rPr>
          <w:rFonts w:ascii="Arial" w:cs="Arial" w:eastAsia="Arial" w:hAnsi="Arial"/>
          <w:sz w:val="18"/>
          <w:szCs w:val="18"/>
          <w:b w:val="1"/>
          <w:bCs w:val="1"/>
          <w:color w:val="auto"/>
        </w:rPr>
        <w:t>$   10,728.9</w:t>
      </w:r>
      <w:r>
        <w:rPr>
          <w:rFonts w:ascii="Arial" w:cs="Arial" w:eastAsia="Arial" w:hAnsi="Arial"/>
          <w:sz w:val="18"/>
          <w:szCs w:val="18"/>
          <w:color w:val="auto"/>
        </w:rPr>
        <w:t xml:space="preserve">   $    10,548.8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1,124.9</w:t>
            </w:r>
          </w:p>
        </w:tc>
        <w:tc>
          <w:tcPr>
            <w:tcW w:w="4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1,234.3</w:t>
            </w:r>
          </w:p>
        </w:tc>
        <w:tc>
          <w:tcPr>
            <w:tcW w:w="4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2,263.6</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2,398.9</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1,402.2</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1,271.0</w:t>
            </w:r>
          </w:p>
        </w:tc>
        <w:tc>
          <w:tcPr>
            <w:tcW w:w="4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2,632.7</w:t>
            </w:r>
          </w:p>
        </w:tc>
        <w:tc>
          <w:tcPr>
            <w:tcW w:w="4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2,378.5</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1,586.3</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1,485.6</w:t>
            </w:r>
          </w:p>
        </w:tc>
        <w:tc>
          <w:tcPr>
            <w:tcW w:w="4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3,103.4</w:t>
            </w:r>
          </w:p>
        </w:tc>
        <w:tc>
          <w:tcPr>
            <w:tcW w:w="4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2,824.3</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25.0</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1,624.5</w:t>
            </w:r>
          </w:p>
        </w:tc>
        <w:tc>
          <w:tcPr>
            <w:tcW w:w="4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161.9</w:t>
            </w:r>
          </w:p>
        </w:tc>
        <w:tc>
          <w:tcPr>
            <w:tcW w:w="4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1,624.5</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c>
          <w:tcPr>
            <w:tcW w:w="4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423.9</w:t>
            </w:r>
          </w:p>
        </w:tc>
        <w:tc>
          <w:tcPr>
            <w:tcW w:w="4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32.4</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r>
      <w:tr>
        <w:trPr>
          <w:trHeight w:val="250"/>
        </w:trPr>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4,170.8</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5,543.3</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8,531.9</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9,141.4</w:t>
            </w:r>
          </w:p>
        </w:tc>
      </w:tr>
      <w:tr>
        <w:trPr>
          <w:trHeight w:val="243"/>
        </w:trPr>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1,465.9</w:t>
            </w:r>
          </w:p>
        </w:tc>
        <w:tc>
          <w:tcPr>
            <w:tcW w:w="4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41.7</w:t>
            </w:r>
          </w:p>
        </w:tc>
        <w:tc>
          <w:tcPr>
            <w:tcW w:w="4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2,197.0</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1,407.4</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138.7</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273.3</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308.7</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471.8</w:t>
            </w:r>
          </w:p>
        </w:tc>
      </w:tr>
      <w:tr>
        <w:trPr>
          <w:trHeight w:val="257"/>
        </w:trPr>
        <w:tc>
          <w:tcPr>
            <w:tcW w:w="3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1,327.2</w:t>
            </w:r>
          </w:p>
        </w:tc>
        <w:tc>
          <w:tcPr>
            <w:tcW w:w="4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(231.6)</w:t>
            </w:r>
          </w:p>
        </w:tc>
        <w:tc>
          <w:tcPr>
            <w:tcW w:w="42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1,888.3</w:t>
            </w:r>
          </w:p>
        </w:tc>
        <w:tc>
          <w:tcPr>
            <w:tcW w:w="4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935.6</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3,680.5</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r>
      <w:tr>
        <w:trPr>
          <w:trHeight w:val="264"/>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1,327.2</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5,568.8</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957.5</w:t>
            </w:r>
          </w:p>
        </w:tc>
      </w:tr>
      <w:tr>
        <w:trPr>
          <w:trHeight w:val="851"/>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1.44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1.99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0.90</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3.87</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5.86</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0.92</w:t>
            </w:r>
          </w:p>
        </w:tc>
      </w:tr>
      <w:tr>
        <w:trPr>
          <w:trHeight w:val="581"/>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1.44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1.98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0.90</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3.86</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5.84</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0.92</w:t>
            </w:r>
          </w:p>
        </w:tc>
      </w:tr>
    </w:tbl>
    <w:p>
      <w:pPr>
        <w:spacing w:after="0" w:line="200" w:lineRule="exact"/>
        <w:rPr>
          <w:sz w:val="20"/>
          <w:szCs w:val="20"/>
          <w:color w:val="auto"/>
        </w:rPr>
      </w:pPr>
    </w:p>
    <w:p>
      <w:pPr>
        <w:sectPr>
          <w:pgSz w:w="11900" w:h="16838" w:orient="portrait"/>
          <w:cols w:equalWidth="0" w:num="2">
            <w:col w:w="5520" w:space="500"/>
            <w:col w:w="5400"/>
          </w:cols>
          <w:pgMar w:left="240" w:top="595" w:right="239" w:bottom="1440" w:gutter="0" w:footer="0" w:header="0"/>
          <w:type w:val="continuous"/>
        </w:sectPr>
      </w:pP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used in calculation of earnings (loss)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20" w:type="dxa"/>
            <w:vAlign w:val="bottom"/>
          </w:tcPr>
          <w:p>
            <w:pPr>
              <w:ind w:left="180"/>
              <w:spacing w:after="0"/>
              <w:rPr>
                <w:sz w:val="20"/>
                <w:szCs w:val="20"/>
                <w:color w:val="auto"/>
              </w:rPr>
            </w:pPr>
            <w:r>
              <w:rPr>
                <w:rFonts w:ascii="Arial" w:cs="Arial" w:eastAsia="Arial" w:hAnsi="Arial"/>
                <w:sz w:val="18"/>
                <w:szCs w:val="18"/>
                <w:color w:val="auto"/>
              </w:rPr>
              <w:t>Basic</w:t>
            </w:r>
          </w:p>
        </w:tc>
        <w:tc>
          <w:tcPr>
            <w:tcW w:w="3840" w:type="dxa"/>
            <w:vAlign w:val="bottom"/>
          </w:tcPr>
          <w:p>
            <w:pPr>
              <w:jc w:val="right"/>
              <w:ind w:right="290"/>
              <w:spacing w:after="0"/>
              <w:rPr>
                <w:sz w:val="20"/>
                <w:szCs w:val="20"/>
                <w:color w:val="auto"/>
              </w:rPr>
            </w:pPr>
            <w:r>
              <w:rPr>
                <w:rFonts w:ascii="Arial" w:cs="Arial" w:eastAsia="Arial" w:hAnsi="Arial"/>
                <w:sz w:val="18"/>
                <w:szCs w:val="18"/>
                <w:b w:val="1"/>
                <w:bCs w:val="1"/>
                <w:color w:val="auto"/>
              </w:rPr>
              <w:t>920.8</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1,030.2</w:t>
            </w: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950.4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1,039.6</w:t>
            </w:r>
          </w:p>
        </w:tc>
      </w:tr>
      <w:tr>
        <w:trPr>
          <w:trHeight w:val="277"/>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84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924.6</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1,030.2</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954.2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1,041.6</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5"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4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1,327.2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5,568.8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957.5</w:t>
            </w:r>
          </w:p>
        </w:tc>
        <w:tc>
          <w:tcPr>
            <w:tcW w:w="0" w:type="dxa"/>
            <w:vAlign w:val="bottom"/>
          </w:tcPr>
          <w:p>
            <w:pPr>
              <w:spacing w:after="0"/>
              <w:rPr>
                <w:sz w:val="1"/>
                <w:szCs w:val="1"/>
                <w:color w:val="auto"/>
              </w:rPr>
            </w:pPr>
          </w:p>
        </w:tc>
      </w:tr>
      <w:tr>
        <w:trPr>
          <w:trHeight w:val="229"/>
        </w:trPr>
        <w:tc>
          <w:tcPr>
            <w:tcW w:w="6020" w:type="dxa"/>
            <w:vAlign w:val="bottom"/>
          </w:tcPr>
          <w:p>
            <w:pPr>
              <w:ind w:left="40"/>
              <w:spacing w:after="0"/>
              <w:rPr>
                <w:sz w:val="20"/>
                <w:szCs w:val="20"/>
                <w:color w:val="auto"/>
              </w:rPr>
            </w:pPr>
            <w:r>
              <w:rPr>
                <w:rFonts w:ascii="Arial" w:cs="Arial" w:eastAsia="Arial" w:hAnsi="Arial"/>
                <w:sz w:val="18"/>
                <w:szCs w:val="18"/>
                <w:color w:val="auto"/>
              </w:rPr>
              <w:t>Other comprehensive income (loss) from continuing operations, net of tax</w:t>
            </w:r>
          </w:p>
        </w:tc>
        <w:tc>
          <w:tcPr>
            <w:tcW w:w="300" w:type="dxa"/>
            <w:vAlign w:val="bottom"/>
          </w:tcPr>
          <w:p>
            <w:pPr>
              <w:spacing w:after="0"/>
              <w:rPr>
                <w:sz w:val="19"/>
                <w:szCs w:val="19"/>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87.0</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82.9</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20" w:type="dxa"/>
            <w:vAlign w:val="bottom"/>
          </w:tcPr>
          <w:p>
            <w:pPr>
              <w:ind w:left="40"/>
              <w:spacing w:after="0"/>
              <w:rPr>
                <w:sz w:val="20"/>
                <w:szCs w:val="20"/>
                <w:color w:val="auto"/>
              </w:rPr>
            </w:pPr>
            <w:r>
              <w:rPr>
                <w:rFonts w:ascii="Arial" w:cs="Arial" w:eastAsia="Arial" w:hAnsi="Arial"/>
                <w:sz w:val="18"/>
                <w:szCs w:val="18"/>
                <w:color w:val="auto"/>
              </w:rPr>
              <w:t>(Note 12)</w:t>
            </w: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(511.0)</w:t>
            </w:r>
          </w:p>
        </w:tc>
        <w:tc>
          <w:tcPr>
            <w:tcW w:w="3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3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from discontinued operations, net of</w:t>
            </w:r>
          </w:p>
        </w:tc>
        <w:tc>
          <w:tcPr>
            <w:tcW w:w="30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56.8</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20" w:type="dxa"/>
            <w:vAlign w:val="bottom"/>
            <w:shd w:val="clear" w:color="auto" w:fill="CCEEFF"/>
          </w:tcPr>
          <w:p>
            <w:pPr>
              <w:ind w:left="40"/>
              <w:spacing w:after="0" w:line="233" w:lineRule="exact"/>
              <w:rPr>
                <w:sz w:val="20"/>
                <w:szCs w:val="20"/>
                <w:color w:val="auto"/>
              </w:rPr>
            </w:pPr>
            <w:r>
              <w:rPr>
                <w:rFonts w:ascii="Arial" w:cs="Arial" w:eastAsia="Arial" w:hAnsi="Arial"/>
                <w:sz w:val="18"/>
                <w:szCs w:val="18"/>
                <w:color w:val="auto"/>
              </w:rPr>
              <w:t xml:space="preserve">tax (Note 12)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 net of tax (Note 12)</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87.0</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139.7</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1,414.2</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5,708.5</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180" w:right="20" w:hanging="172"/>
        <w:spacing w:after="0" w:line="242" w:lineRule="auto"/>
        <w:tabs>
          <w:tab w:leader="none" w:pos="153" w:val="left"/>
        </w:tabs>
        <w:numPr>
          <w:ilvl w:val="0"/>
          <w:numId w:val="3"/>
        </w:numPr>
        <w:rPr>
          <w:rFonts w:ascii="Arial" w:cs="Arial" w:eastAsia="Arial" w:hAnsi="Arial"/>
          <w:sz w:val="9"/>
          <w:szCs w:val="9"/>
          <w:color w:val="auto"/>
        </w:rPr>
      </w:pPr>
      <w:r>
        <w:rPr>
          <w:rFonts w:ascii="Arial" w:cs="Arial" w:eastAsia="Arial" w:hAnsi="Arial"/>
          <w:sz w:val="13"/>
          <w:szCs w:val="13"/>
          <w:color w:val="auto"/>
        </w:rPr>
        <w:t>For the six months ended June 30, 2019, other comprehensive income related to discontinued operations consisted of $45.8 million of accumulated other comprehensive income attributable to controlling interest and $11.0 million of accumulated other comprehensive income attributable to noncontrolling interest.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2,290.2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7,320.7</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7)</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77.7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$23.7 (2019)</w:t>
            </w:r>
            <w:r>
              <w:rPr>
                <w:rFonts w:ascii="Arial" w:cs="Arial" w:eastAsia="Arial" w:hAnsi="Arial"/>
                <w:sz w:val="18"/>
                <w:szCs w:val="18"/>
                <w:color w:val="auto"/>
              </w:rPr>
              <w:t xml:space="preserve"> and $24.1 (2018)</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4,612.5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4,593.9</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977.5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1,182.9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3,181.1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3,098.1</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2,315.5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assets of discontinued operations (Note 5)</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2,229.1</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13,454.5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20,549.6</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(Note 7)</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1,852.7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2,005.4</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3,820.1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1,366.6</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6,586.6</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2,507.4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2,613.7</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Sundry</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2,052.1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1,824.9</w:t>
            </w:r>
          </w:p>
        </w:tc>
        <w:tc>
          <w:tcPr>
            <w:tcW w:w="0" w:type="dxa"/>
            <w:vAlign w:val="bottom"/>
          </w:tcPr>
          <w:p>
            <w:pPr>
              <w:spacing w:after="0"/>
              <w:rPr>
                <w:sz w:val="1"/>
                <w:szCs w:val="1"/>
                <w:color w:val="auto"/>
              </w:rPr>
            </w:pPr>
          </w:p>
        </w:tc>
      </w:tr>
      <w:tr>
        <w:trPr>
          <w:trHeight w:val="229"/>
        </w:trPr>
        <w:tc>
          <w:tcPr>
            <w:tcW w:w="7640" w:type="dxa"/>
            <w:vAlign w:val="bottom"/>
          </w:tcPr>
          <w:p>
            <w:pPr>
              <w:ind w:left="40"/>
              <w:spacing w:after="0"/>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$8,956.3 (2019)</w:t>
            </w:r>
            <w:r>
              <w:rPr>
                <w:rFonts w:ascii="Arial" w:cs="Arial" w:eastAsia="Arial" w:hAnsi="Arial"/>
                <w:sz w:val="18"/>
                <w:szCs w:val="18"/>
                <w:color w:val="auto"/>
              </w:rPr>
              <w:t xml:space="preserve"> and $8,666.9</w:t>
            </w:r>
          </w:p>
        </w:tc>
        <w:tc>
          <w:tcPr>
            <w:tcW w:w="280" w:type="dxa"/>
            <w:vAlign w:val="bottom"/>
          </w:tcPr>
          <w:p>
            <w:pPr>
              <w:spacing w:after="0"/>
              <w:rPr>
                <w:sz w:val="19"/>
                <w:szCs w:val="19"/>
                <w:color w:val="auto"/>
              </w:rPr>
            </w:pPr>
          </w:p>
        </w:tc>
        <w:tc>
          <w:tcPr>
            <w:tcW w:w="16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7,847.5</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7,996.1</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assets (Note 8)</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545.5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Noncurrent assets of discontinued operations (Note 5)</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6,484.1</w:t>
            </w:r>
          </w:p>
        </w:tc>
        <w:tc>
          <w:tcPr>
            <w:tcW w:w="0" w:type="dxa"/>
            <w:vAlign w:val="bottom"/>
          </w:tcPr>
          <w:p>
            <w:pPr>
              <w:spacing w:after="0"/>
              <w:rPr>
                <w:sz w:val="1"/>
                <w:szCs w:val="1"/>
                <w:color w:val="auto"/>
              </w:rPr>
            </w:pPr>
          </w:p>
        </w:tc>
      </w:tr>
      <w:tr>
        <w:trPr>
          <w:trHeight w:val="27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38,666.4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43,908.4</w:t>
            </w:r>
          </w:p>
        </w:tc>
        <w:tc>
          <w:tcPr>
            <w:tcW w:w="0" w:type="dxa"/>
            <w:vAlign w:val="bottom"/>
          </w:tcPr>
          <w:p>
            <w:pPr>
              <w:spacing w:after="0"/>
              <w:rPr>
                <w:sz w:val="1"/>
                <w:szCs w:val="1"/>
                <w:color w:val="auto"/>
              </w:rPr>
            </w:pP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2,068.6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1,102.2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1,198.9</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1,207.1</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Employee compensation</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588.2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rebates and discounts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4,993.7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4,849.5</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593.9</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222.9</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2,189.2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 (Note 5)</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11,855.4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11,888.1</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13,717.6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9,196.4</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operating lease liabilities (Note 8)</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503.3</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Accrued retirement benefits (Note 10)</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2,723.4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2,802.2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income taxes payable</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3,485.7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2,380.9</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1,312.7</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1,142.8</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1,357.6</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Noncurrent liabilities of discontinued operations (Note 5)</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2,742.3</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liabilities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23,953.7</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21,111.2</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Commitments and Contingencies (Note 11)</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Eli Lilly and Company Shareholders’ Equity</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603.7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6,534.5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6,583.6</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4,318.1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11,395.9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 trust</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Accumulated other comprehensive loss (Note 12)</w:t>
            </w:r>
          </w:p>
        </w:tc>
        <w:tc>
          <w:tcPr>
            <w:tcW w:w="280" w:type="dxa"/>
            <w:vAlign w:val="bottom"/>
          </w:tcPr>
          <w:p>
            <w:pPr>
              <w:spacing w:after="0"/>
              <w:rPr>
                <w:sz w:val="22"/>
                <w:szCs w:val="22"/>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b w:val="1"/>
                <w:bCs w:val="1"/>
                <w:color w:val="auto"/>
              </w:rPr>
              <w:t>(5,600.5)</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(5,729.2)</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common stock in treasury</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(62.1)</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2,780.5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9,828.7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76.8</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2,857.3</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10,909.1</w:t>
            </w:r>
          </w:p>
        </w:tc>
        <w:tc>
          <w:tcPr>
            <w:tcW w:w="0" w:type="dxa"/>
            <w:vAlign w:val="bottom"/>
          </w:tcPr>
          <w:p>
            <w:pPr>
              <w:spacing w:after="0"/>
              <w:rPr>
                <w:sz w:val="1"/>
                <w:szCs w:val="1"/>
                <w:color w:val="auto"/>
              </w:rPr>
            </w:pPr>
          </w:p>
        </w:tc>
      </w:tr>
      <w:tr>
        <w:trPr>
          <w:trHeight w:val="27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38,666.4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43,908.4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89" w:orient="portrait"/>
          <w:cols w:equalWidth="0" w:num="1">
            <w:col w:w="11420"/>
          </w:cols>
          <w:pgMar w:left="240" w:top="576"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89" w:orient="portrait"/>
          <w:cols w:equalWidth="0" w:num="1">
            <w:col w:w="11420"/>
          </w:cols>
          <w:pgMar w:left="240" w:top="576"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60" w:type="dxa"/>
            <w:vAlign w:val="bottom"/>
            <w:gridSpan w:val="6"/>
          </w:tcPr>
          <w:p>
            <w:pPr>
              <w:jc w:val="right"/>
              <w:ind w:right="959"/>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40" w:type="dxa"/>
            <w:vAlign w:val="bottom"/>
          </w:tcPr>
          <w:p>
            <w:pPr>
              <w:ind w:left="40"/>
              <w:spacing w:after="0"/>
              <w:rPr>
                <w:sz w:val="20"/>
                <w:szCs w:val="20"/>
                <w:color w:val="auto"/>
              </w:rPr>
            </w:pPr>
            <w:r>
              <w:rPr>
                <w:rFonts w:ascii="Arial" w:cs="Arial" w:eastAsia="Arial" w:hAnsi="Arial"/>
                <w:sz w:val="11"/>
                <w:szCs w:val="11"/>
                <w:b w:val="1"/>
                <w:bCs w:val="1"/>
                <w:color w:val="auto"/>
              </w:rPr>
              <w:t>ELI LILLY AND COMPANY AND SUBSIDIARIES</w:t>
            </w:r>
          </w:p>
        </w:tc>
        <w:tc>
          <w:tcPr>
            <w:tcW w:w="176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Additional</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58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64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(Dollars in millions, except per-share data, and</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jc w:val="right"/>
              <w:ind w:right="79"/>
              <w:spacing w:after="0" w:line="100" w:lineRule="exact"/>
              <w:rPr>
                <w:sz w:val="20"/>
                <w:szCs w:val="20"/>
                <w:color w:val="auto"/>
              </w:rPr>
            </w:pPr>
            <w:r>
              <w:rPr>
                <w:rFonts w:ascii="Arial" w:cs="Arial" w:eastAsia="Arial" w:hAnsi="Arial"/>
                <w:sz w:val="11"/>
                <w:szCs w:val="11"/>
                <w:b w:val="1"/>
                <w:bCs w:val="1"/>
                <w:color w:val="auto"/>
              </w:rPr>
              <w:t>Paid-in</w:t>
            </w:r>
          </w:p>
        </w:tc>
        <w:tc>
          <w:tcPr>
            <w:tcW w:w="340" w:type="dxa"/>
            <w:vAlign w:val="bottom"/>
          </w:tcPr>
          <w:p>
            <w:pPr>
              <w:spacing w:after="0"/>
              <w:rPr>
                <w:sz w:val="8"/>
                <w:szCs w:val="8"/>
                <w:color w:val="auto"/>
              </w:rPr>
            </w:pPr>
          </w:p>
        </w:tc>
        <w:tc>
          <w:tcPr>
            <w:tcW w:w="720" w:type="dxa"/>
            <w:vAlign w:val="bottom"/>
          </w:tcPr>
          <w:p>
            <w:pPr>
              <w:jc w:val="right"/>
              <w:ind w:right="158"/>
              <w:spacing w:after="0" w:line="100" w:lineRule="exact"/>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8"/>
                <w:szCs w:val="8"/>
                <w:color w:val="auto"/>
              </w:rPr>
            </w:pPr>
          </w:p>
        </w:tc>
        <w:tc>
          <w:tcPr>
            <w:tcW w:w="820" w:type="dxa"/>
            <w:vAlign w:val="bottom"/>
          </w:tcPr>
          <w:p>
            <w:pPr>
              <w:jc w:val="right"/>
              <w:ind w:right="160"/>
              <w:spacing w:after="0" w:line="100" w:lineRule="exact"/>
              <w:rPr>
                <w:sz w:val="20"/>
                <w:szCs w:val="20"/>
                <w:color w:val="auto"/>
              </w:rPr>
            </w:pPr>
            <w:r>
              <w:rPr>
                <w:rFonts w:ascii="Arial" w:cs="Arial" w:eastAsia="Arial" w:hAnsi="Arial"/>
                <w:sz w:val="11"/>
                <w:szCs w:val="11"/>
                <w:b w:val="1"/>
                <w:bCs w:val="1"/>
                <w:color w:val="auto"/>
              </w:rPr>
              <w:t>Employee</w:t>
            </w:r>
          </w:p>
        </w:tc>
        <w:tc>
          <w:tcPr>
            <w:tcW w:w="200" w:type="dxa"/>
            <w:vAlign w:val="bottom"/>
          </w:tcPr>
          <w:p>
            <w:pPr>
              <w:spacing w:after="0"/>
              <w:rPr>
                <w:sz w:val="8"/>
                <w:szCs w:val="8"/>
                <w:color w:val="auto"/>
              </w:rPr>
            </w:pPr>
          </w:p>
        </w:tc>
        <w:tc>
          <w:tcPr>
            <w:tcW w:w="1100" w:type="dxa"/>
            <w:vAlign w:val="bottom"/>
          </w:tcPr>
          <w:p>
            <w:pPr>
              <w:jc w:val="center"/>
              <w:ind w:right="159"/>
              <w:spacing w:after="0" w:line="100" w:lineRule="exact"/>
              <w:rPr>
                <w:sz w:val="20"/>
                <w:szCs w:val="20"/>
                <w:color w:val="auto"/>
              </w:rPr>
            </w:pPr>
            <w:r>
              <w:rPr>
                <w:rFonts w:ascii="Arial" w:cs="Arial" w:eastAsia="Arial" w:hAnsi="Arial"/>
                <w:sz w:val="11"/>
                <w:szCs w:val="11"/>
                <w:b w:val="1"/>
                <w:bCs w:val="1"/>
                <w:color w:val="auto"/>
                <w:w w:val="96"/>
              </w:rPr>
              <w:t>Comprehensive</w:t>
            </w: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right"/>
              <w:ind w:right="119"/>
              <w:spacing w:after="0" w:line="100" w:lineRule="exact"/>
              <w:rPr>
                <w:sz w:val="20"/>
                <w:szCs w:val="20"/>
                <w:color w:val="auto"/>
              </w:rPr>
            </w:pPr>
            <w:r>
              <w:rPr>
                <w:rFonts w:ascii="Arial" w:cs="Arial" w:eastAsia="Arial" w:hAnsi="Arial"/>
                <w:sz w:val="11"/>
                <w:szCs w:val="11"/>
                <w:b w:val="1"/>
                <w:bCs w:val="1"/>
                <w:color w:val="auto"/>
                <w:w w:val="99"/>
              </w:rPr>
              <w:t>Noncontrolling</w:t>
            </w:r>
          </w:p>
        </w:tc>
        <w:tc>
          <w:tcPr>
            <w:tcW w:w="0" w:type="dxa"/>
            <w:vAlign w:val="bottom"/>
          </w:tcPr>
          <w:p>
            <w:pPr>
              <w:spacing w:after="0"/>
              <w:rPr>
                <w:sz w:val="1"/>
                <w:szCs w:val="1"/>
                <w:color w:val="auto"/>
              </w:rPr>
            </w:pPr>
          </w:p>
        </w:tc>
      </w:tr>
      <w:tr>
        <w:trPr>
          <w:trHeight w:val="142"/>
        </w:trPr>
        <w:tc>
          <w:tcPr>
            <w:tcW w:w="2640" w:type="dxa"/>
            <w:vAlign w:val="bottom"/>
          </w:tcPr>
          <w:p>
            <w:pPr>
              <w:ind w:left="40"/>
              <w:spacing w:after="0"/>
              <w:rPr>
                <w:sz w:val="20"/>
                <w:szCs w:val="20"/>
                <w:color w:val="auto"/>
              </w:rPr>
            </w:pPr>
            <w:r>
              <w:rPr>
                <w:rFonts w:ascii="Arial" w:cs="Arial" w:eastAsia="Arial" w:hAnsi="Arial"/>
                <w:sz w:val="11"/>
                <w:szCs w:val="11"/>
                <w:b w:val="1"/>
                <w:bCs w:val="1"/>
                <w:color w:val="auto"/>
              </w:rPr>
              <w:t>shares in thousands)</w:t>
            </w:r>
          </w:p>
        </w:tc>
        <w:tc>
          <w:tcPr>
            <w:tcW w:w="960" w:type="dxa"/>
            <w:vAlign w:val="bottom"/>
          </w:tcPr>
          <w:p>
            <w:pPr>
              <w:jc w:val="right"/>
              <w:ind w:right="259"/>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580" w:type="dxa"/>
            <w:vAlign w:val="bottom"/>
          </w:tcPr>
          <w:p>
            <w:pPr>
              <w:jc w:val="right"/>
              <w:ind w:right="7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620" w:type="dxa"/>
            <w:vAlign w:val="bottom"/>
          </w:tcPr>
          <w:p>
            <w:pPr>
              <w:jc w:val="right"/>
              <w:ind w:right="79"/>
              <w:spacing w:after="0"/>
              <w:rPr>
                <w:sz w:val="20"/>
                <w:szCs w:val="20"/>
                <w:color w:val="auto"/>
              </w:rPr>
            </w:pPr>
            <w:r>
              <w:rPr>
                <w:rFonts w:ascii="Arial" w:cs="Arial" w:eastAsia="Arial" w:hAnsi="Arial"/>
                <w:sz w:val="11"/>
                <w:szCs w:val="11"/>
                <w:b w:val="1"/>
                <w:bCs w:val="1"/>
                <w:color w:val="auto"/>
              </w:rPr>
              <w:t>Capital</w:t>
            </w:r>
          </w:p>
        </w:tc>
        <w:tc>
          <w:tcPr>
            <w:tcW w:w="340" w:type="dxa"/>
            <w:vAlign w:val="bottom"/>
          </w:tcPr>
          <w:p>
            <w:pPr>
              <w:spacing w:after="0"/>
              <w:rPr>
                <w:sz w:val="12"/>
                <w:szCs w:val="12"/>
                <w:color w:val="auto"/>
              </w:rPr>
            </w:pPr>
          </w:p>
        </w:tc>
        <w:tc>
          <w:tcPr>
            <w:tcW w:w="720" w:type="dxa"/>
            <w:vAlign w:val="bottom"/>
          </w:tcPr>
          <w:p>
            <w:pPr>
              <w:jc w:val="right"/>
              <w:ind w:right="158"/>
              <w:spacing w:after="0"/>
              <w:rPr>
                <w:sz w:val="20"/>
                <w:szCs w:val="20"/>
                <w:color w:val="auto"/>
              </w:rPr>
            </w:pPr>
            <w:r>
              <w:rPr>
                <w:rFonts w:ascii="Arial" w:cs="Arial" w:eastAsia="Arial" w:hAnsi="Arial"/>
                <w:sz w:val="11"/>
                <w:szCs w:val="11"/>
                <w:b w:val="1"/>
                <w:bCs w:val="1"/>
                <w:color w:val="auto"/>
              </w:rPr>
              <w:t>Earnings</w:t>
            </w:r>
          </w:p>
        </w:tc>
        <w:tc>
          <w:tcPr>
            <w:tcW w:w="180" w:type="dxa"/>
            <w:vAlign w:val="bottom"/>
          </w:tcPr>
          <w:p>
            <w:pPr>
              <w:spacing w:after="0"/>
              <w:rPr>
                <w:sz w:val="12"/>
                <w:szCs w:val="12"/>
                <w:color w:val="auto"/>
              </w:rPr>
            </w:pPr>
          </w:p>
        </w:tc>
        <w:tc>
          <w:tcPr>
            <w:tcW w:w="820" w:type="dxa"/>
            <w:vAlign w:val="bottom"/>
          </w:tcPr>
          <w:p>
            <w:pPr>
              <w:jc w:val="right"/>
              <w:ind w:right="80"/>
              <w:spacing w:after="0"/>
              <w:rPr>
                <w:sz w:val="20"/>
                <w:szCs w:val="20"/>
                <w:color w:val="auto"/>
              </w:rPr>
            </w:pPr>
            <w:r>
              <w:rPr>
                <w:rFonts w:ascii="Arial" w:cs="Arial" w:eastAsia="Arial" w:hAnsi="Arial"/>
                <w:sz w:val="11"/>
                <w:szCs w:val="11"/>
                <w:b w:val="1"/>
                <w:bCs w:val="1"/>
                <w:color w:val="auto"/>
                <w:w w:val="97"/>
              </w:rPr>
              <w:t>Benefit Trust</w:t>
            </w:r>
          </w:p>
        </w:tc>
        <w:tc>
          <w:tcPr>
            <w:tcW w:w="200" w:type="dxa"/>
            <w:vAlign w:val="bottom"/>
          </w:tcPr>
          <w:p>
            <w:pPr>
              <w:spacing w:after="0"/>
              <w:rPr>
                <w:sz w:val="12"/>
                <w:szCs w:val="12"/>
                <w:color w:val="auto"/>
              </w:rPr>
            </w:pPr>
          </w:p>
        </w:tc>
        <w:tc>
          <w:tcPr>
            <w:tcW w:w="1100" w:type="dxa"/>
            <w:vAlign w:val="bottom"/>
          </w:tcPr>
          <w:p>
            <w:pPr>
              <w:jc w:val="center"/>
              <w:ind w:right="179"/>
              <w:spacing w:after="0"/>
              <w:rPr>
                <w:sz w:val="20"/>
                <w:szCs w:val="20"/>
                <w:color w:val="auto"/>
              </w:rPr>
            </w:pPr>
            <w:r>
              <w:rPr>
                <w:rFonts w:ascii="Arial" w:cs="Arial" w:eastAsia="Arial" w:hAnsi="Arial"/>
                <w:sz w:val="11"/>
                <w:szCs w:val="11"/>
                <w:b w:val="1"/>
                <w:bCs w:val="1"/>
                <w:color w:val="auto"/>
              </w:rPr>
              <w:t>Loss</w:t>
            </w:r>
          </w:p>
        </w:tc>
        <w:tc>
          <w:tcPr>
            <w:tcW w:w="720" w:type="dxa"/>
            <w:vAlign w:val="bottom"/>
          </w:tcPr>
          <w:p>
            <w:pPr>
              <w:jc w:val="right"/>
              <w:ind w:right="139"/>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640" w:type="dxa"/>
            <w:vAlign w:val="bottom"/>
          </w:tcPr>
          <w:p>
            <w:pPr>
              <w:jc w:val="right"/>
              <w:ind w:right="13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980" w:type="dxa"/>
            <w:vAlign w:val="bottom"/>
          </w:tcPr>
          <w:p>
            <w:pPr>
              <w:jc w:val="right"/>
              <w:ind w:right="299"/>
              <w:spacing w:after="0"/>
              <w:rPr>
                <w:sz w:val="20"/>
                <w:szCs w:val="20"/>
                <w:color w:val="auto"/>
              </w:rPr>
            </w:pPr>
            <w:r>
              <w:rPr>
                <w:rFonts w:ascii="Arial" w:cs="Arial" w:eastAsia="Arial" w:hAnsi="Arial"/>
                <w:sz w:val="11"/>
                <w:szCs w:val="11"/>
                <w:b w:val="1"/>
                <w:bCs w:val="1"/>
                <w:color w:val="auto"/>
              </w:rPr>
              <w:t>Interest</w:t>
            </w:r>
          </w:p>
        </w:tc>
        <w:tc>
          <w:tcPr>
            <w:tcW w:w="0" w:type="dxa"/>
            <w:vAlign w:val="bottom"/>
          </w:tcPr>
          <w:p>
            <w:pPr>
              <w:spacing w:after="0"/>
              <w:rPr>
                <w:sz w:val="1"/>
                <w:szCs w:val="1"/>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April 1, 2018</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1,089,234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680.8</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5,758.0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16,608.2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(3,013.2)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(5,437.5)</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604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(69.3)</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60.8</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(259.9)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 net of tax</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(671.2)</w:t>
            </w: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Cash dividends declared per share: $1.13</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(1,148.6)</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(11,735)</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(7.3)</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(943.3)</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(11,735)</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950.7</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Purchase of treasury shares</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jc w:val="right"/>
              <w:ind w:right="79"/>
              <w:spacing w:after="0"/>
              <w:rPr>
                <w:sz w:val="20"/>
                <w:szCs w:val="20"/>
                <w:color w:val="auto"/>
              </w:rPr>
            </w:pPr>
            <w:r>
              <w:rPr>
                <w:rFonts w:ascii="Arial" w:cs="Arial" w:eastAsia="Arial" w:hAnsi="Arial"/>
                <w:sz w:val="13"/>
                <w:szCs w:val="13"/>
                <w:color w:val="auto"/>
              </w:rPr>
              <w:t>11,735</w:t>
            </w:r>
          </w:p>
        </w:tc>
        <w:tc>
          <w:tcPr>
            <w:tcW w:w="220" w:type="dxa"/>
            <w:vAlign w:val="bottom"/>
          </w:tcPr>
          <w:p>
            <w:pPr>
              <w:spacing w:after="0"/>
              <w:rPr>
                <w:sz w:val="22"/>
                <w:szCs w:val="22"/>
                <w:color w:val="auto"/>
              </w:rPr>
            </w:pPr>
          </w:p>
        </w:tc>
        <w:tc>
          <w:tcPr>
            <w:tcW w:w="640" w:type="dxa"/>
            <w:vAlign w:val="bottom"/>
          </w:tcPr>
          <w:p>
            <w:pPr>
              <w:jc w:val="right"/>
              <w:ind w:right="18"/>
              <w:spacing w:after="0"/>
              <w:rPr>
                <w:sz w:val="20"/>
                <w:szCs w:val="20"/>
                <w:color w:val="auto"/>
              </w:rPr>
            </w:pPr>
            <w:r>
              <w:rPr>
                <w:rFonts w:ascii="Arial" w:cs="Arial" w:eastAsia="Arial" w:hAnsi="Arial"/>
                <w:sz w:val="13"/>
                <w:szCs w:val="13"/>
                <w:color w:val="auto"/>
              </w:rPr>
              <w:t>(950.7)</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plans, net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49</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(0.1)</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70.2</w:t>
            </w: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(9.1)</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7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Balance at June 30, 2018</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rPr>
              <w:t>1,077,548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673.5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5,825.7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14,247.3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(3,013.2)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(6,108.7)</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rPr>
              <w:t>604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(69.4)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324"/>
        </w:trPr>
        <w:tc>
          <w:tcPr>
            <w:tcW w:w="2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Balance at April 1, 2019</w:t>
            </w:r>
          </w:p>
        </w:tc>
        <w:tc>
          <w:tcPr>
            <w:tcW w:w="960" w:type="dxa"/>
            <w:vAlign w:val="bottom"/>
          </w:tcPr>
          <w:p>
            <w:pPr>
              <w:jc w:val="right"/>
              <w:ind w:right="79"/>
              <w:spacing w:after="0"/>
              <w:rPr>
                <w:sz w:val="20"/>
                <w:szCs w:val="20"/>
                <w:color w:val="auto"/>
              </w:rPr>
            </w:pPr>
            <w:r>
              <w:rPr>
                <w:rFonts w:ascii="Arial" w:cs="Arial" w:eastAsia="Arial" w:hAnsi="Arial"/>
                <w:sz w:val="13"/>
                <w:szCs w:val="13"/>
                <w:color w:val="auto"/>
              </w:rPr>
              <w:t>971,363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607.1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5,756.6</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4,879.4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40"/>
              <w:spacing w:after="0"/>
              <w:rPr>
                <w:sz w:val="20"/>
                <w:szCs w:val="20"/>
                <w:color w:val="auto"/>
              </w:rPr>
            </w:pPr>
            <w:r>
              <w:rPr>
                <w:rFonts w:ascii="Arial" w:cs="Arial" w:eastAsia="Arial" w:hAnsi="Arial"/>
                <w:sz w:val="13"/>
                <w:szCs w:val="13"/>
                <w:color w:val="auto"/>
              </w:rPr>
              <w:t>(3,013.2)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9"/>
              <w:spacing w:after="0"/>
              <w:rPr>
                <w:sz w:val="20"/>
                <w:szCs w:val="20"/>
                <w:color w:val="auto"/>
              </w:rPr>
            </w:pPr>
            <w:r>
              <w:rPr>
                <w:rFonts w:ascii="Arial" w:cs="Arial" w:eastAsia="Arial" w:hAnsi="Arial"/>
                <w:sz w:val="13"/>
                <w:szCs w:val="13"/>
                <w:color w:val="auto"/>
              </w:rPr>
              <w:t>(5,687.5)</w:t>
            </w:r>
          </w:p>
        </w:tc>
        <w:tc>
          <w:tcPr>
            <w:tcW w:w="720" w:type="dxa"/>
            <w:vAlign w:val="bottom"/>
          </w:tcPr>
          <w:p>
            <w:pPr>
              <w:jc w:val="right"/>
              <w:ind w:right="79"/>
              <w:spacing w:after="0"/>
              <w:rPr>
                <w:sz w:val="20"/>
                <w:szCs w:val="20"/>
                <w:color w:val="auto"/>
              </w:rPr>
            </w:pPr>
            <w:r>
              <w:rPr>
                <w:rFonts w:ascii="Arial" w:cs="Arial" w:eastAsia="Arial" w:hAnsi="Arial"/>
                <w:sz w:val="13"/>
                <w:szCs w:val="13"/>
                <w:color w:val="auto"/>
              </w:rPr>
              <w:t>541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8"/>
              <w:spacing w:after="0"/>
              <w:rPr>
                <w:sz w:val="20"/>
                <w:szCs w:val="20"/>
                <w:color w:val="auto"/>
              </w:rPr>
            </w:pPr>
            <w:r>
              <w:rPr>
                <w:rFonts w:ascii="Arial" w:cs="Arial" w:eastAsia="Arial" w:hAnsi="Arial"/>
                <w:sz w:val="13"/>
                <w:szCs w:val="13"/>
                <w:color w:val="auto"/>
              </w:rPr>
              <w:t>(62.1)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84.7</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1,327.2</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3"/>
                <w:szCs w:val="13"/>
                <w:b w:val="1"/>
                <w:bCs w:val="1"/>
                <w:color w:val="auto"/>
              </w:rPr>
              <w:t>87.0</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declared per share: $1.29</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(1,178.1)</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tcPr>
          <w:p>
            <w:pPr>
              <w:jc w:val="right"/>
              <w:ind w:right="39"/>
              <w:spacing w:after="0"/>
              <w:rPr>
                <w:sz w:val="20"/>
                <w:szCs w:val="20"/>
                <w:color w:val="auto"/>
              </w:rPr>
            </w:pPr>
            <w:r>
              <w:rPr>
                <w:rFonts w:ascii="Arial" w:cs="Arial" w:eastAsia="Arial" w:hAnsi="Arial"/>
                <w:sz w:val="13"/>
                <w:szCs w:val="13"/>
                <w:b w:val="1"/>
                <w:bCs w:val="1"/>
                <w:color w:val="auto"/>
              </w:rPr>
              <w:t>(5,430)</w:t>
            </w:r>
          </w:p>
        </w:tc>
        <w:tc>
          <w:tcPr>
            <w:tcW w:w="22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b w:val="1"/>
                <w:bCs w:val="1"/>
                <w:color w:val="auto"/>
              </w:rPr>
              <w:t>(3.4)</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b w:val="1"/>
                <w:bCs w:val="1"/>
                <w:color w:val="auto"/>
              </w:rPr>
              <w:t>(696.6)</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3"/>
                <w:szCs w:val="13"/>
                <w:b w:val="1"/>
                <w:bCs w:val="1"/>
                <w:color w:val="auto"/>
              </w:rPr>
              <w:t>(5,430)</w:t>
            </w:r>
          </w:p>
        </w:tc>
        <w:tc>
          <w:tcPr>
            <w:tcW w:w="220" w:type="dxa"/>
            <w:vAlign w:val="bottom"/>
          </w:tcPr>
          <w:p>
            <w:pPr>
              <w:spacing w:after="0"/>
              <w:rPr>
                <w:sz w:val="22"/>
                <w:szCs w:val="22"/>
                <w:color w:val="auto"/>
              </w:rPr>
            </w:pPr>
          </w:p>
        </w:tc>
        <w:tc>
          <w:tcPr>
            <w:tcW w:w="640" w:type="dxa"/>
            <w:vAlign w:val="bottom"/>
          </w:tcPr>
          <w:p>
            <w:pPr>
              <w:jc w:val="right"/>
              <w:ind w:right="58"/>
              <w:spacing w:after="0"/>
              <w:rPr>
                <w:sz w:val="20"/>
                <w:szCs w:val="20"/>
                <w:color w:val="auto"/>
              </w:rPr>
            </w:pPr>
            <w:r>
              <w:rPr>
                <w:rFonts w:ascii="Arial" w:cs="Arial" w:eastAsia="Arial" w:hAnsi="Arial"/>
                <w:sz w:val="13"/>
                <w:szCs w:val="13"/>
                <w:b w:val="1"/>
                <w:bCs w:val="1"/>
                <w:color w:val="auto"/>
              </w:rPr>
              <w:t>700.0</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Purchase of treasury shares </w:t>
            </w:r>
            <w:r>
              <w:rPr>
                <w:rFonts w:ascii="Arial" w:cs="Arial" w:eastAsia="Arial" w:hAnsi="Arial"/>
                <w:sz w:val="8"/>
                <w:szCs w:val="8"/>
                <w:color w:val="auto"/>
              </w:rPr>
              <w:t>(1)</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700.0</w:t>
            </w: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3"/>
                <w:szCs w:val="13"/>
                <w:b w:val="1"/>
                <w:bCs w:val="1"/>
                <w:color w:val="auto"/>
              </w:rPr>
              <w:t>5,430</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(700.0)</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60" w:type="dxa"/>
            <w:vAlign w:val="bottom"/>
            <w:vMerge w:val="restart"/>
          </w:tcPr>
          <w:p>
            <w:pPr>
              <w:jc w:val="right"/>
              <w:ind w:right="79"/>
              <w:spacing w:after="0"/>
              <w:rPr>
                <w:sz w:val="20"/>
                <w:szCs w:val="20"/>
                <w:color w:val="auto"/>
              </w:rPr>
            </w:pPr>
            <w:r>
              <w:rPr>
                <w:rFonts w:ascii="Arial" w:cs="Arial" w:eastAsia="Arial" w:hAnsi="Arial"/>
                <w:sz w:val="13"/>
                <w:szCs w:val="13"/>
                <w:b w:val="1"/>
                <w:bCs w:val="1"/>
                <w:color w:val="auto"/>
              </w:rPr>
              <w:t>24</w:t>
            </w:r>
          </w:p>
        </w:tc>
        <w:tc>
          <w:tcPr>
            <w:tcW w:w="220" w:type="dxa"/>
            <w:vAlign w:val="bottom"/>
          </w:tcPr>
          <w:p>
            <w:pPr>
              <w:spacing w:after="0"/>
              <w:rPr>
                <w:sz w:val="13"/>
                <w:szCs w:val="13"/>
                <w:color w:val="auto"/>
              </w:rPr>
            </w:pPr>
          </w:p>
        </w:tc>
        <w:tc>
          <w:tcPr>
            <w:tcW w:w="58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40" w:type="dxa"/>
            <w:vAlign w:val="bottom"/>
          </w:tcPr>
          <w:p>
            <w:pPr>
              <w:ind w:left="40"/>
              <w:spacing w:after="0"/>
              <w:rPr>
                <w:sz w:val="20"/>
                <w:szCs w:val="20"/>
                <w:color w:val="auto"/>
              </w:rPr>
            </w:pPr>
            <w:r>
              <w:rPr>
                <w:rFonts w:ascii="Arial" w:cs="Arial" w:eastAsia="Arial" w:hAnsi="Arial"/>
                <w:sz w:val="13"/>
                <w:szCs w:val="13"/>
                <w:color w:val="auto"/>
              </w:rPr>
              <w:t>plans, net</w:t>
            </w:r>
          </w:p>
        </w:tc>
        <w:tc>
          <w:tcPr>
            <w:tcW w:w="9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79.5</w:t>
            </w: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(13.8)</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(6.8)</w:t>
            </w:r>
          </w:p>
        </w:tc>
        <w:tc>
          <w:tcPr>
            <w:tcW w:w="0" w:type="dxa"/>
            <w:vAlign w:val="bottom"/>
          </w:tcPr>
          <w:p>
            <w:pPr>
              <w:spacing w:after="0"/>
              <w:rPr>
                <w:sz w:val="1"/>
                <w:szCs w:val="1"/>
                <w:color w:val="auto"/>
              </w:rPr>
            </w:pPr>
          </w:p>
        </w:tc>
      </w:tr>
      <w:tr>
        <w:trPr>
          <w:trHeight w:val="27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at June 30, 2019</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b w:val="1"/>
                <w:bCs w:val="1"/>
                <w:color w:val="auto"/>
              </w:rPr>
              <w:t>965,957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603.7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6,534.5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4,318.1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(3,013.2)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(5,600.5)</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b w:val="1"/>
                <w:bCs w:val="1"/>
                <w:color w:val="auto"/>
              </w:rPr>
              <w:t>541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(62.1)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76.8</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60" w:hanging="152"/>
        <w:spacing w:after="0"/>
        <w:tabs>
          <w:tab w:leader="none" w:pos="160" w:val="left"/>
        </w:tabs>
        <w:numPr>
          <w:ilvl w:val="0"/>
          <w:numId w:val="4"/>
        </w:numPr>
        <w:rPr>
          <w:rFonts w:ascii="Arial" w:cs="Arial" w:eastAsia="Arial" w:hAnsi="Arial"/>
          <w:sz w:val="9"/>
          <w:szCs w:val="9"/>
          <w:color w:val="auto"/>
        </w:rPr>
      </w:pPr>
      <w:r>
        <w:rPr>
          <w:rFonts w:ascii="Arial" w:cs="Arial" w:eastAsia="Arial" w:hAnsi="Arial"/>
          <w:sz w:val="13"/>
          <w:szCs w:val="13"/>
          <w:color w:val="auto"/>
        </w:rPr>
        <w:t>As of June 30, 2019, there was $2.40 billion remaining under our $8.00 billion share repurchase program authorized in June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2"/>
        </w:trPr>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60" w:type="dxa"/>
            <w:vAlign w:val="bottom"/>
            <w:gridSpan w:val="6"/>
          </w:tcPr>
          <w:p>
            <w:pPr>
              <w:jc w:val="right"/>
              <w:ind w:right="960"/>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
        </w:trPr>
        <w:tc>
          <w:tcPr>
            <w:tcW w:w="2640" w:type="dxa"/>
            <w:vAlign w:val="bottom"/>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69"/>
        </w:trPr>
        <w:tc>
          <w:tcPr>
            <w:tcW w:w="264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620" w:type="dxa"/>
            <w:vAlign w:val="bottom"/>
          </w:tcPr>
          <w:p>
            <w:pPr>
              <w:jc w:val="right"/>
              <w:ind w:right="1"/>
              <w:spacing w:after="0"/>
              <w:rPr>
                <w:sz w:val="20"/>
                <w:szCs w:val="20"/>
                <w:color w:val="auto"/>
              </w:rPr>
            </w:pPr>
            <w:r>
              <w:rPr>
                <w:rFonts w:ascii="Arial" w:cs="Arial" w:eastAsia="Arial" w:hAnsi="Arial"/>
                <w:sz w:val="11"/>
                <w:szCs w:val="11"/>
                <w:b w:val="1"/>
                <w:bCs w:val="1"/>
                <w:color w:val="auto"/>
              </w:rPr>
              <w:t>Additional</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58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00"/>
        </w:trPr>
        <w:tc>
          <w:tcPr>
            <w:tcW w:w="2640" w:type="dxa"/>
            <w:vAlign w:val="bottom"/>
          </w:tcPr>
          <w:p>
            <w:pPr>
              <w:ind w:left="40"/>
              <w:spacing w:after="0" w:line="100" w:lineRule="exact"/>
              <w:rPr>
                <w:sz w:val="20"/>
                <w:szCs w:val="20"/>
                <w:color w:val="auto"/>
              </w:rPr>
            </w:pPr>
            <w:r>
              <w:rPr>
                <w:rFonts w:ascii="Arial" w:cs="Arial" w:eastAsia="Arial" w:hAnsi="Arial"/>
                <w:sz w:val="11"/>
                <w:szCs w:val="11"/>
                <w:b w:val="1"/>
                <w:bCs w:val="1"/>
                <w:color w:val="auto"/>
                <w:w w:val="99"/>
              </w:rPr>
              <w:t>(Dollars in millions, except per-share data, shares</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jc w:val="right"/>
              <w:ind w:right="81"/>
              <w:spacing w:after="0" w:line="100" w:lineRule="exact"/>
              <w:rPr>
                <w:sz w:val="20"/>
                <w:szCs w:val="20"/>
                <w:color w:val="auto"/>
              </w:rPr>
            </w:pPr>
            <w:r>
              <w:rPr>
                <w:rFonts w:ascii="Arial" w:cs="Arial" w:eastAsia="Arial" w:hAnsi="Arial"/>
                <w:sz w:val="11"/>
                <w:szCs w:val="11"/>
                <w:b w:val="1"/>
                <w:bCs w:val="1"/>
                <w:color w:val="auto"/>
              </w:rPr>
              <w:t>Paid-in</w:t>
            </w:r>
          </w:p>
        </w:tc>
        <w:tc>
          <w:tcPr>
            <w:tcW w:w="340" w:type="dxa"/>
            <w:vAlign w:val="bottom"/>
          </w:tcPr>
          <w:p>
            <w:pPr>
              <w:spacing w:after="0"/>
              <w:rPr>
                <w:sz w:val="8"/>
                <w:szCs w:val="8"/>
                <w:color w:val="auto"/>
              </w:rPr>
            </w:pPr>
          </w:p>
        </w:tc>
        <w:tc>
          <w:tcPr>
            <w:tcW w:w="720" w:type="dxa"/>
            <w:vAlign w:val="bottom"/>
          </w:tcPr>
          <w:p>
            <w:pPr>
              <w:jc w:val="right"/>
              <w:ind w:right="159"/>
              <w:spacing w:after="0" w:line="100" w:lineRule="exact"/>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8"/>
                <w:szCs w:val="8"/>
                <w:color w:val="auto"/>
              </w:rPr>
            </w:pPr>
          </w:p>
        </w:tc>
        <w:tc>
          <w:tcPr>
            <w:tcW w:w="820" w:type="dxa"/>
            <w:vAlign w:val="bottom"/>
          </w:tcPr>
          <w:p>
            <w:pPr>
              <w:jc w:val="right"/>
              <w:ind w:right="161"/>
              <w:spacing w:after="0" w:line="100" w:lineRule="exact"/>
              <w:rPr>
                <w:sz w:val="20"/>
                <w:szCs w:val="20"/>
                <w:color w:val="auto"/>
              </w:rPr>
            </w:pPr>
            <w:r>
              <w:rPr>
                <w:rFonts w:ascii="Arial" w:cs="Arial" w:eastAsia="Arial" w:hAnsi="Arial"/>
                <w:sz w:val="11"/>
                <w:szCs w:val="11"/>
                <w:b w:val="1"/>
                <w:bCs w:val="1"/>
                <w:color w:val="auto"/>
              </w:rPr>
              <w:t>Employee</w:t>
            </w:r>
          </w:p>
        </w:tc>
        <w:tc>
          <w:tcPr>
            <w:tcW w:w="200" w:type="dxa"/>
            <w:vAlign w:val="bottom"/>
          </w:tcPr>
          <w:p>
            <w:pPr>
              <w:spacing w:after="0"/>
              <w:rPr>
                <w:sz w:val="8"/>
                <w:szCs w:val="8"/>
                <w:color w:val="auto"/>
              </w:rPr>
            </w:pPr>
          </w:p>
        </w:tc>
        <w:tc>
          <w:tcPr>
            <w:tcW w:w="1100" w:type="dxa"/>
            <w:vAlign w:val="bottom"/>
          </w:tcPr>
          <w:p>
            <w:pPr>
              <w:jc w:val="center"/>
              <w:ind w:right="160"/>
              <w:spacing w:after="0" w:line="100" w:lineRule="exact"/>
              <w:rPr>
                <w:sz w:val="20"/>
                <w:szCs w:val="20"/>
                <w:color w:val="auto"/>
              </w:rPr>
            </w:pPr>
            <w:r>
              <w:rPr>
                <w:rFonts w:ascii="Arial" w:cs="Arial" w:eastAsia="Arial" w:hAnsi="Arial"/>
                <w:sz w:val="11"/>
                <w:szCs w:val="11"/>
                <w:b w:val="1"/>
                <w:bCs w:val="1"/>
                <w:color w:val="auto"/>
                <w:w w:val="96"/>
              </w:rPr>
              <w:t>Comprehensive</w:t>
            </w: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right"/>
              <w:ind w:right="120"/>
              <w:spacing w:after="0" w:line="100" w:lineRule="exact"/>
              <w:rPr>
                <w:sz w:val="20"/>
                <w:szCs w:val="20"/>
                <w:color w:val="auto"/>
              </w:rPr>
            </w:pPr>
            <w:r>
              <w:rPr>
                <w:rFonts w:ascii="Arial" w:cs="Arial" w:eastAsia="Arial" w:hAnsi="Arial"/>
                <w:sz w:val="11"/>
                <w:szCs w:val="11"/>
                <w:b w:val="1"/>
                <w:bCs w:val="1"/>
                <w:color w:val="auto"/>
                <w:w w:val="99"/>
              </w:rPr>
              <w:t>Noncontrolling</w:t>
            </w:r>
          </w:p>
        </w:tc>
      </w:tr>
      <w:tr>
        <w:trPr>
          <w:trHeight w:val="142"/>
        </w:trPr>
        <w:tc>
          <w:tcPr>
            <w:tcW w:w="2640" w:type="dxa"/>
            <w:vAlign w:val="bottom"/>
          </w:tcPr>
          <w:p>
            <w:pPr>
              <w:ind w:left="40"/>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580" w:type="dxa"/>
            <w:vAlign w:val="bottom"/>
          </w:tcPr>
          <w:p>
            <w:pPr>
              <w:jc w:val="right"/>
              <w:ind w:right="79"/>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620" w:type="dxa"/>
            <w:vAlign w:val="bottom"/>
          </w:tcPr>
          <w:p>
            <w:pPr>
              <w:jc w:val="right"/>
              <w:ind w:right="81"/>
              <w:spacing w:after="0"/>
              <w:rPr>
                <w:sz w:val="20"/>
                <w:szCs w:val="20"/>
                <w:color w:val="auto"/>
              </w:rPr>
            </w:pPr>
            <w:r>
              <w:rPr>
                <w:rFonts w:ascii="Arial" w:cs="Arial" w:eastAsia="Arial" w:hAnsi="Arial"/>
                <w:sz w:val="11"/>
                <w:szCs w:val="11"/>
                <w:b w:val="1"/>
                <w:bCs w:val="1"/>
                <w:color w:val="auto"/>
              </w:rPr>
              <w:t>Capital</w:t>
            </w:r>
          </w:p>
        </w:tc>
        <w:tc>
          <w:tcPr>
            <w:tcW w:w="340" w:type="dxa"/>
            <w:vAlign w:val="bottom"/>
          </w:tcPr>
          <w:p>
            <w:pPr>
              <w:spacing w:after="0"/>
              <w:rPr>
                <w:sz w:val="12"/>
                <w:szCs w:val="12"/>
                <w:color w:val="auto"/>
              </w:rPr>
            </w:pPr>
          </w:p>
        </w:tc>
        <w:tc>
          <w:tcPr>
            <w:tcW w:w="720" w:type="dxa"/>
            <w:vAlign w:val="bottom"/>
          </w:tcPr>
          <w:p>
            <w:pPr>
              <w:jc w:val="right"/>
              <w:ind w:right="159"/>
              <w:spacing w:after="0"/>
              <w:rPr>
                <w:sz w:val="20"/>
                <w:szCs w:val="20"/>
                <w:color w:val="auto"/>
              </w:rPr>
            </w:pPr>
            <w:r>
              <w:rPr>
                <w:rFonts w:ascii="Arial" w:cs="Arial" w:eastAsia="Arial" w:hAnsi="Arial"/>
                <w:sz w:val="11"/>
                <w:szCs w:val="11"/>
                <w:b w:val="1"/>
                <w:bCs w:val="1"/>
                <w:color w:val="auto"/>
              </w:rPr>
              <w:t>Earnings</w:t>
            </w:r>
          </w:p>
        </w:tc>
        <w:tc>
          <w:tcPr>
            <w:tcW w:w="180" w:type="dxa"/>
            <w:vAlign w:val="bottom"/>
          </w:tcPr>
          <w:p>
            <w:pPr>
              <w:spacing w:after="0"/>
              <w:rPr>
                <w:sz w:val="12"/>
                <w:szCs w:val="12"/>
                <w:color w:val="auto"/>
              </w:rPr>
            </w:pPr>
          </w:p>
        </w:tc>
        <w:tc>
          <w:tcPr>
            <w:tcW w:w="820" w:type="dxa"/>
            <w:vAlign w:val="bottom"/>
          </w:tcPr>
          <w:p>
            <w:pPr>
              <w:jc w:val="right"/>
              <w:ind w:right="81"/>
              <w:spacing w:after="0"/>
              <w:rPr>
                <w:sz w:val="20"/>
                <w:szCs w:val="20"/>
                <w:color w:val="auto"/>
              </w:rPr>
            </w:pPr>
            <w:r>
              <w:rPr>
                <w:rFonts w:ascii="Arial" w:cs="Arial" w:eastAsia="Arial" w:hAnsi="Arial"/>
                <w:sz w:val="11"/>
                <w:szCs w:val="11"/>
                <w:b w:val="1"/>
                <w:bCs w:val="1"/>
                <w:color w:val="auto"/>
                <w:w w:val="97"/>
              </w:rPr>
              <w:t>Benefit Trust</w:t>
            </w:r>
          </w:p>
        </w:tc>
        <w:tc>
          <w:tcPr>
            <w:tcW w:w="200" w:type="dxa"/>
            <w:vAlign w:val="bottom"/>
          </w:tcPr>
          <w:p>
            <w:pPr>
              <w:spacing w:after="0"/>
              <w:rPr>
                <w:sz w:val="12"/>
                <w:szCs w:val="12"/>
                <w:color w:val="auto"/>
              </w:rPr>
            </w:pPr>
          </w:p>
        </w:tc>
        <w:tc>
          <w:tcPr>
            <w:tcW w:w="1100" w:type="dxa"/>
            <w:vAlign w:val="bottom"/>
          </w:tcPr>
          <w:p>
            <w:pPr>
              <w:jc w:val="center"/>
              <w:ind w:right="180"/>
              <w:spacing w:after="0"/>
              <w:rPr>
                <w:sz w:val="20"/>
                <w:szCs w:val="20"/>
                <w:color w:val="auto"/>
              </w:rPr>
            </w:pPr>
            <w:r>
              <w:rPr>
                <w:rFonts w:ascii="Arial" w:cs="Arial" w:eastAsia="Arial" w:hAnsi="Arial"/>
                <w:sz w:val="11"/>
                <w:szCs w:val="11"/>
                <w:b w:val="1"/>
                <w:bCs w:val="1"/>
                <w:color w:val="auto"/>
              </w:rPr>
              <w:t>Loss</w:t>
            </w:r>
          </w:p>
        </w:tc>
        <w:tc>
          <w:tcPr>
            <w:tcW w:w="720" w:type="dxa"/>
            <w:vAlign w:val="bottom"/>
          </w:tcPr>
          <w:p>
            <w:pPr>
              <w:jc w:val="right"/>
              <w:ind w:right="14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640" w:type="dxa"/>
            <w:vAlign w:val="bottom"/>
          </w:tcPr>
          <w:p>
            <w:pPr>
              <w:jc w:val="right"/>
              <w:ind w:right="13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980" w:type="dxa"/>
            <w:vAlign w:val="bottom"/>
          </w:tcPr>
          <w:p>
            <w:pPr>
              <w:jc w:val="right"/>
              <w:ind w:right="280"/>
              <w:spacing w:after="0"/>
              <w:rPr>
                <w:sz w:val="20"/>
                <w:szCs w:val="20"/>
                <w:color w:val="auto"/>
              </w:rPr>
            </w:pPr>
            <w:r>
              <w:rPr>
                <w:rFonts w:ascii="Arial" w:cs="Arial" w:eastAsia="Arial" w:hAnsi="Arial"/>
                <w:sz w:val="11"/>
                <w:szCs w:val="11"/>
                <w:b w:val="1"/>
                <w:bCs w:val="1"/>
                <w:color w:val="auto"/>
              </w:rPr>
              <w:t>Interests</w:t>
            </w: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January 1, 2018</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1,100,672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687.9</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5,817.8</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13,894.1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(3,013.2)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(5,718.6)</w:t>
            </w: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664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(75.8)</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75.7</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99"/>
              <w:spacing w:after="0"/>
              <w:rPr>
                <w:sz w:val="20"/>
                <w:szCs w:val="20"/>
                <w:color w:val="auto"/>
              </w:rPr>
            </w:pPr>
            <w:r>
              <w:rPr>
                <w:rFonts w:ascii="Arial" w:cs="Arial" w:eastAsia="Arial" w:hAnsi="Arial"/>
                <w:sz w:val="13"/>
                <w:szCs w:val="13"/>
                <w:color w:val="auto"/>
              </w:rPr>
              <w:t>957.5</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3"/>
                <w:szCs w:val="13"/>
                <w:color w:val="auto"/>
              </w:rPr>
              <w:t>4.6</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 net of tax</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(284.9)</w:t>
            </w: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Cash dividends declared per share: $1.13</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59"/>
              <w:spacing w:after="0"/>
              <w:rPr>
                <w:sz w:val="20"/>
                <w:szCs w:val="20"/>
                <w:color w:val="auto"/>
              </w:rPr>
            </w:pPr>
            <w:r>
              <w:rPr>
                <w:rFonts w:ascii="Arial" w:cs="Arial" w:eastAsia="Arial" w:hAnsi="Arial"/>
                <w:sz w:val="13"/>
                <w:szCs w:val="13"/>
                <w:color w:val="auto"/>
              </w:rPr>
              <w:t>(1,148.6)</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(25,823)</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(16.1)</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(2,034.5)</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(25,823)</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2,050.7</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Purchase of treasury shares</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jc w:val="right"/>
              <w:ind w:right="80"/>
              <w:spacing w:after="0"/>
              <w:rPr>
                <w:sz w:val="20"/>
                <w:szCs w:val="20"/>
                <w:color w:val="auto"/>
              </w:rPr>
            </w:pPr>
            <w:r>
              <w:rPr>
                <w:rFonts w:ascii="Arial" w:cs="Arial" w:eastAsia="Arial" w:hAnsi="Arial"/>
                <w:sz w:val="13"/>
                <w:szCs w:val="13"/>
                <w:color w:val="auto"/>
              </w:rPr>
              <w:t>25,823</w:t>
            </w:r>
          </w:p>
        </w:tc>
        <w:tc>
          <w:tcPr>
            <w:tcW w:w="220" w:type="dxa"/>
            <w:vAlign w:val="bottom"/>
          </w:tcPr>
          <w:p>
            <w:pPr>
              <w:spacing w:after="0"/>
              <w:rPr>
                <w:sz w:val="22"/>
                <w:szCs w:val="22"/>
                <w:color w:val="auto"/>
              </w:rPr>
            </w:pPr>
          </w:p>
        </w:tc>
        <w:tc>
          <w:tcPr>
            <w:tcW w:w="640" w:type="dxa"/>
            <w:vAlign w:val="bottom"/>
          </w:tcPr>
          <w:p>
            <w:pPr>
              <w:jc w:val="right"/>
              <w:ind w:right="18"/>
              <w:spacing w:after="0"/>
              <w:rPr>
                <w:sz w:val="20"/>
                <w:szCs w:val="20"/>
                <w:color w:val="auto"/>
              </w:rPr>
            </w:pPr>
            <w:r>
              <w:rPr>
                <w:rFonts w:ascii="Arial" w:cs="Arial" w:eastAsia="Arial" w:hAnsi="Arial"/>
                <w:sz w:val="13"/>
                <w:szCs w:val="13"/>
                <w:color w:val="auto"/>
              </w:rPr>
              <w:t>(2,050.7)</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6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plans, net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2,699</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1.7</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(130.3)</w:t>
            </w: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(60)</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6.4</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138.2</w:t>
            </w: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Adoption of new accounting standards</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2,584.4</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(105.2)</w:t>
            </w: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(5.6)</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r>
      <w:tr>
        <w:trPr>
          <w:trHeight w:val="27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at June 30, 2018</w:t>
            </w: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1,077,548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673.5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5,825.7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3"/>
                <w:szCs w:val="13"/>
                <w:color w:val="auto"/>
              </w:rPr>
              <w:t>14,247.3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(3,013.2)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3"/>
                <w:szCs w:val="13"/>
                <w:color w:val="auto"/>
              </w:rPr>
              <w:t>(6,108.7)</w:t>
            </w: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604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(69.4)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65.6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840"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January 1, 2019</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per share: $1.29</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Purchase of treasury shares </w:t>
      </w:r>
      <w:r>
        <w:rPr>
          <w:rFonts w:ascii="Arial" w:cs="Arial" w:eastAsia="Arial" w:hAnsi="Arial"/>
          <w:sz w:val="8"/>
          <w:szCs w:val="8"/>
          <w:color w:val="auto"/>
        </w:rPr>
        <w:t>(1)</w:t>
      </w:r>
    </w:p>
    <w:p>
      <w:pPr>
        <w:spacing w:after="0" w:line="40" w:lineRule="exact"/>
        <w:rPr>
          <w:sz w:val="20"/>
          <w:szCs w:val="20"/>
          <w:color w:val="auto"/>
        </w:rPr>
      </w:pPr>
    </w:p>
    <w:p>
      <w:pPr>
        <w:ind w:left="40" w:right="80"/>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40" w:lineRule="exact"/>
        <w:rPr>
          <w:sz w:val="20"/>
          <w:szCs w:val="20"/>
          <w:color w:val="auto"/>
        </w:rPr>
      </w:pPr>
    </w:p>
    <w:p>
      <w:pPr>
        <w:ind w:left="40" w:right="20"/>
        <w:spacing w:after="0" w:line="230" w:lineRule="auto"/>
        <w:rPr>
          <w:sz w:val="20"/>
          <w:szCs w:val="20"/>
          <w:color w:val="auto"/>
        </w:rPr>
      </w:pPr>
      <w:r>
        <w:rPr>
          <w:rFonts w:ascii="Arial" w:cs="Arial" w:eastAsia="Arial" w:hAnsi="Arial"/>
          <w:sz w:val="13"/>
          <w:szCs w:val="13"/>
          <w:color w:val="auto"/>
        </w:rPr>
        <w:t>Acquisition of common stock in exchange offer</w:t>
      </w:r>
    </w:p>
    <w:p>
      <w:pPr>
        <w:spacing w:after="0" w:line="119" w:lineRule="exact"/>
        <w:rPr>
          <w:sz w:val="20"/>
          <w:szCs w:val="20"/>
          <w:color w:val="auto"/>
        </w:rPr>
      </w:pPr>
    </w:p>
    <w:p>
      <w:pPr>
        <w:ind w:left="40" w:right="860"/>
        <w:spacing w:after="0" w:line="437" w:lineRule="auto"/>
        <w:rPr>
          <w:sz w:val="20"/>
          <w:szCs w:val="20"/>
          <w:color w:val="auto"/>
        </w:rPr>
      </w:pPr>
      <w:r>
        <w:rPr>
          <w:rFonts w:ascii="Arial" w:cs="Arial" w:eastAsia="Arial" w:hAnsi="Arial"/>
          <w:sz w:val="13"/>
          <w:szCs w:val="13"/>
          <w:color w:val="auto"/>
        </w:rPr>
        <w:t>Deconsolidation of Elanco Other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June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960" w:type="dxa"/>
            <w:vAlign w:val="bottom"/>
          </w:tcPr>
          <w:p>
            <w:pPr>
              <w:jc w:val="right"/>
              <w:ind w:right="77"/>
              <w:spacing w:after="0"/>
              <w:rPr>
                <w:sz w:val="20"/>
                <w:szCs w:val="20"/>
                <w:color w:val="auto"/>
              </w:rPr>
            </w:pPr>
            <w:r>
              <w:rPr>
                <w:rFonts w:ascii="Arial" w:cs="Arial" w:eastAsia="Arial" w:hAnsi="Arial"/>
                <w:sz w:val="13"/>
                <w:szCs w:val="13"/>
                <w:color w:val="auto"/>
              </w:rPr>
              <w:t>1,057,639</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661.0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6,583.6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11,395.9</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(3,013.2)</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(5,729.2)</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604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(69.4)</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1,080.4</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b w:val="1"/>
                <w:bCs w:val="1"/>
                <w:color w:val="auto"/>
              </w:rPr>
              <w:t>5,568.8</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b w:val="1"/>
                <w:bCs w:val="1"/>
                <w:color w:val="auto"/>
              </w:rPr>
              <w:t>21.1</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auto"/>
              </w:rPr>
              <w:t>128.7</w:t>
            </w: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b w:val="1"/>
                <w:bCs w:val="1"/>
                <w:color w:val="auto"/>
              </w:rPr>
              <w:t>11.0</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(1,178.1)</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rPr>
              <w:t>(94,627)</w:t>
            </w:r>
          </w:p>
        </w:tc>
        <w:tc>
          <w:tcPr>
            <w:tcW w:w="28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(59.1)</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w w:val="97"/>
              </w:rPr>
              <w:t>(11,468.5)</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(94,627)</w:t>
            </w:r>
          </w:p>
        </w:tc>
        <w:tc>
          <w:tcPr>
            <w:tcW w:w="200" w:type="dxa"/>
            <w:vAlign w:val="bottom"/>
          </w:tcPr>
          <w:p>
            <w:pPr>
              <w:spacing w:after="0"/>
              <w:rPr>
                <w:sz w:val="23"/>
                <w:szCs w:val="23"/>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auto"/>
              </w:rPr>
              <w:t>11,527.5</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b w:val="1"/>
                <w:bCs w:val="1"/>
                <w:color w:val="auto"/>
              </w:rPr>
              <w:t>29,626</w:t>
            </w:r>
          </w:p>
        </w:tc>
        <w:tc>
          <w:tcPr>
            <w:tcW w:w="2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(3,500.0)</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24"/>
        </w:trPr>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auto"/>
              </w:rPr>
              <w:t>2,945</w:t>
            </w:r>
          </w:p>
        </w:tc>
        <w:tc>
          <w:tcPr>
            <w:tcW w:w="280" w:type="dxa"/>
            <w:vAlign w:val="bottom"/>
          </w:tcPr>
          <w:p>
            <w:pPr>
              <w:spacing w:after="0"/>
              <w:rPr>
                <w:sz w:val="24"/>
                <w:szCs w:val="2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1.8</w:t>
            </w:r>
          </w:p>
        </w:tc>
        <w:tc>
          <w:tcPr>
            <w:tcW w:w="26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(204.4)</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(63)</w:t>
            </w:r>
          </w:p>
        </w:tc>
        <w:tc>
          <w:tcPr>
            <w:tcW w:w="200" w:type="dxa"/>
            <w:vAlign w:val="bottom"/>
          </w:tcPr>
          <w:p>
            <w:pPr>
              <w:spacing w:after="0"/>
              <w:rPr>
                <w:sz w:val="24"/>
                <w:szCs w:val="2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auto"/>
              </w:rPr>
              <w:t>7.3</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155.3</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24"/>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b w:val="1"/>
                <w:bCs w:val="1"/>
                <w:color w:val="auto"/>
              </w:rPr>
              <w:t>65,001</w:t>
            </w:r>
          </w:p>
        </w:tc>
        <w:tc>
          <w:tcPr>
            <w:tcW w:w="2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(8,027.5)</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(1,028.9)</w:t>
            </w:r>
          </w:p>
        </w:tc>
      </w:tr>
      <w:tr>
        <w:trPr>
          <w:trHeight w:val="280"/>
        </w:trPr>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(6.8)</w:t>
            </w:r>
          </w:p>
        </w:tc>
      </w:tr>
      <w:tr>
        <w:trPr>
          <w:trHeight w:val="277"/>
        </w:trPr>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965,957</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603.7</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6,534.5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4,318.1</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(3,013.2)</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(5,600.5)</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(62.1)</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-1809115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-1465580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-1122680</wp:posOffset>
            </wp:positionV>
            <wp:extent cx="72466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-745490</wp:posOffset>
            </wp:positionV>
            <wp:extent cx="72466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-368300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2360" w:space="280"/>
            <w:col w:w="8780"/>
          </w:cols>
          <w:pgMar w:left="240" w:top="840" w:right="239" w:bottom="1440" w:gutter="0" w:footer="0" w:header="0"/>
          <w:type w:val="continuous"/>
        </w:sectPr>
      </w:pPr>
    </w:p>
    <w:p>
      <w:pPr>
        <w:ind w:left="160" w:hanging="152"/>
        <w:spacing w:after="0"/>
        <w:tabs>
          <w:tab w:leader="none" w:pos="160" w:val="left"/>
        </w:tabs>
        <w:numPr>
          <w:ilvl w:val="0"/>
          <w:numId w:val="5"/>
        </w:numPr>
        <w:rPr>
          <w:rFonts w:ascii="Arial" w:cs="Arial" w:eastAsia="Arial" w:hAnsi="Arial"/>
          <w:sz w:val="9"/>
          <w:szCs w:val="9"/>
          <w:color w:val="auto"/>
        </w:rPr>
      </w:pPr>
      <w:r>
        <w:rPr>
          <w:rFonts w:ascii="Arial" w:cs="Arial" w:eastAsia="Arial" w:hAnsi="Arial"/>
          <w:sz w:val="13"/>
          <w:szCs w:val="13"/>
          <w:color w:val="auto"/>
        </w:rPr>
        <w:t>As of June 30, 2019, there was $2.40 billion remaining under our $8.00 billion share repurchase program authorized in June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40" w:right="2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14605</wp:posOffset>
            </wp:positionV>
            <wp:extent cx="24009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p>
      <w:pPr>
        <w:ind w:left="8360"/>
        <w:spacing w:after="0"/>
        <w:tabs>
          <w:tab w:leader="none" w:pos="10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26035</wp:posOffset>
            </wp:positionV>
            <wp:extent cx="24009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620" w:val="left"/>
          <w:tab w:leader="none" w:pos="8720" w:val="left"/>
          <w:tab w:leader="none" w:pos="9560" w:val="left"/>
          <w:tab w:leader="none" w:pos="1082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5,568.8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957.5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Gain related to disposition of Elanco (Note 5)</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deferred income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77" w:lineRule="exact"/>
        <w:rPr>
          <w:sz w:val="20"/>
          <w:szCs w:val="20"/>
          <w:color w:val="auto"/>
        </w:rPr>
      </w:pPr>
    </w:p>
    <w:p>
      <w:pPr>
        <w:ind w:left="180" w:right="60"/>
        <w:spacing w:after="0" w:line="308" w:lineRule="auto"/>
        <w:rPr>
          <w:sz w:val="20"/>
          <w:szCs w:val="20"/>
          <w:color w:val="auto"/>
        </w:rPr>
      </w:pPr>
      <w:r>
        <w:rPr>
          <w:rFonts w:ascii="Arial" w:cs="Arial" w:eastAsia="Arial" w:hAnsi="Arial"/>
          <w:sz w:val="18"/>
          <w:szCs w:val="18"/>
          <w:color w:val="auto"/>
        </w:rPr>
        <w:t>Other changes in operating assets and liabilities, net of acquisitions and divestitures 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of noncurrent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acquisitions, net of cash acquired (Note 3)</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investing activities, net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short-term borrowings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Repayments of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financing activities, net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(3,680.5)</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603.9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848.0</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(11.3)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134.8</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155.3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138.2</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161.9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1,624.5</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(1,516.4)</w:t>
            </w:r>
          </w:p>
        </w:tc>
        <w:tc>
          <w:tcPr>
            <w:tcW w:w="1380" w:type="dxa"/>
            <w:vAlign w:val="bottom"/>
          </w:tcPr>
          <w:p>
            <w:pPr>
              <w:jc w:val="right"/>
              <w:spacing w:after="0"/>
              <w:rPr>
                <w:sz w:val="20"/>
                <w:szCs w:val="20"/>
                <w:color w:val="auto"/>
              </w:rPr>
            </w:pPr>
            <w:r>
              <w:rPr>
                <w:rFonts w:ascii="Arial" w:cs="Arial" w:eastAsia="Arial" w:hAnsi="Arial"/>
                <w:sz w:val="18"/>
                <w:szCs w:val="18"/>
                <w:color w:val="auto"/>
              </w:rPr>
              <w:t>(1,932.1)</w:t>
            </w:r>
          </w:p>
        </w:tc>
      </w:tr>
      <w:tr>
        <w:trPr>
          <w:trHeight w:val="277"/>
        </w:trPr>
        <w:tc>
          <w:tcPr>
            <w:tcW w:w="2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81.1</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183.1</w:t>
            </w:r>
          </w:p>
        </w:tc>
      </w:tr>
      <w:tr>
        <w:trPr>
          <w:trHeight w:val="243"/>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1,362.8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1,954.0</w:t>
            </w:r>
          </w:p>
        </w:tc>
      </w:tr>
      <w:tr>
        <w:trPr>
          <w:trHeight w:val="554"/>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(444.0)</w:t>
            </w:r>
          </w:p>
        </w:tc>
        <w:tc>
          <w:tcPr>
            <w:tcW w:w="1380" w:type="dxa"/>
            <w:vAlign w:val="bottom"/>
          </w:tcPr>
          <w:p>
            <w:pPr>
              <w:jc w:val="right"/>
              <w:spacing w:after="0"/>
              <w:rPr>
                <w:sz w:val="20"/>
                <w:szCs w:val="20"/>
                <w:color w:val="auto"/>
              </w:rPr>
            </w:pPr>
            <w:r>
              <w:rPr>
                <w:rFonts w:ascii="Arial" w:cs="Arial" w:eastAsia="Arial" w:hAnsi="Arial"/>
                <w:sz w:val="18"/>
                <w:szCs w:val="18"/>
                <w:color w:val="auto"/>
              </w:rPr>
              <w:t>(546.5)</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89.4</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2,496.7</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(34.1)</w:t>
            </w:r>
          </w:p>
        </w:tc>
        <w:tc>
          <w:tcPr>
            <w:tcW w:w="138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416.4</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3,395.1</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(146.6)</w:t>
            </w:r>
          </w:p>
        </w:tc>
        <w:tc>
          <w:tcPr>
            <w:tcW w:w="1380" w:type="dxa"/>
            <w:vAlign w:val="bottom"/>
          </w:tcPr>
          <w:p>
            <w:pPr>
              <w:jc w:val="right"/>
              <w:spacing w:after="0"/>
              <w:rPr>
                <w:sz w:val="20"/>
                <w:szCs w:val="20"/>
                <w:color w:val="auto"/>
              </w:rPr>
            </w:pPr>
            <w:r>
              <w:rPr>
                <w:rFonts w:ascii="Arial" w:cs="Arial" w:eastAsia="Arial" w:hAnsi="Arial"/>
                <w:sz w:val="18"/>
                <w:szCs w:val="18"/>
                <w:color w:val="auto"/>
              </w:rPr>
              <w:t>(676.5)</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(6,917.7)</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(241.9)</w:t>
            </w:r>
          </w:p>
        </w:tc>
        <w:tc>
          <w:tcPr>
            <w:tcW w:w="1380" w:type="dxa"/>
            <w:vAlign w:val="bottom"/>
          </w:tcPr>
          <w:p>
            <w:pPr>
              <w:jc w:val="right"/>
              <w:spacing w:after="0"/>
              <w:rPr>
                <w:sz w:val="20"/>
                <w:szCs w:val="20"/>
                <w:color w:val="auto"/>
              </w:rPr>
            </w:pPr>
            <w:r>
              <w:rPr>
                <w:rFonts w:ascii="Arial" w:cs="Arial" w:eastAsia="Arial" w:hAnsi="Arial"/>
                <w:sz w:val="18"/>
                <w:szCs w:val="18"/>
                <w:color w:val="auto"/>
              </w:rPr>
              <w:t>(1,548.2)</w:t>
            </w:r>
          </w:p>
        </w:tc>
      </w:tr>
      <w:tr>
        <w:trPr>
          <w:trHeight w:val="257"/>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(339.2)</w:t>
            </w:r>
          </w:p>
        </w:tc>
        <w:tc>
          <w:tcPr>
            <w:tcW w:w="138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7"/>
        </w:trPr>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(7,617.7)</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2,963.1</w:t>
            </w:r>
          </w:p>
        </w:tc>
      </w:tr>
      <w:tr>
        <w:trPr>
          <w:trHeight w:val="554"/>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(1,235.2)</w:t>
            </w:r>
          </w:p>
        </w:tc>
        <w:tc>
          <w:tcPr>
            <w:tcW w:w="1380" w:type="dxa"/>
            <w:vAlign w:val="bottom"/>
          </w:tcPr>
          <w:p>
            <w:pPr>
              <w:jc w:val="right"/>
              <w:spacing w:after="0"/>
              <w:rPr>
                <w:sz w:val="20"/>
                <w:szCs w:val="20"/>
                <w:color w:val="auto"/>
              </w:rPr>
            </w:pPr>
            <w:r>
              <w:rPr>
                <w:rFonts w:ascii="Arial" w:cs="Arial" w:eastAsia="Arial" w:hAnsi="Arial"/>
                <w:sz w:val="18"/>
                <w:szCs w:val="18"/>
                <w:color w:val="auto"/>
              </w:rPr>
              <w:t>(1,166.6)</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1,564.3</w:t>
            </w:r>
          </w:p>
        </w:tc>
        <w:tc>
          <w:tcPr>
            <w:tcW w:w="138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4,448.3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(600.2)</w:t>
            </w:r>
          </w:p>
        </w:tc>
        <w:tc>
          <w:tcPr>
            <w:tcW w:w="1380" w:type="dxa"/>
            <w:vAlign w:val="bottom"/>
          </w:tcPr>
          <w:p>
            <w:pPr>
              <w:jc w:val="right"/>
              <w:spacing w:after="0"/>
              <w:rPr>
                <w:sz w:val="20"/>
                <w:szCs w:val="20"/>
                <w:color w:val="auto"/>
              </w:rPr>
            </w:pPr>
            <w:r>
              <w:rPr>
                <w:rFonts w:ascii="Arial" w:cs="Arial" w:eastAsia="Arial" w:hAnsi="Arial"/>
                <w:sz w:val="18"/>
                <w:szCs w:val="18"/>
                <w:color w:val="auto"/>
              </w:rPr>
              <w:t>(1,001.5)</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(3,500.0)</w:t>
            </w:r>
          </w:p>
        </w:tc>
        <w:tc>
          <w:tcPr>
            <w:tcW w:w="1380" w:type="dxa"/>
            <w:vAlign w:val="bottom"/>
          </w:tcPr>
          <w:p>
            <w:pPr>
              <w:jc w:val="right"/>
              <w:spacing w:after="0"/>
              <w:rPr>
                <w:sz w:val="20"/>
                <w:szCs w:val="20"/>
                <w:color w:val="auto"/>
              </w:rPr>
            </w:pPr>
            <w:r>
              <w:rPr>
                <w:rFonts w:ascii="Arial" w:cs="Arial" w:eastAsia="Arial" w:hAnsi="Arial"/>
                <w:sz w:val="18"/>
                <w:szCs w:val="18"/>
                <w:color w:val="auto"/>
              </w:rPr>
              <w:t>(2,050.7)</w:t>
            </w:r>
          </w:p>
        </w:tc>
      </w:tr>
      <w:tr>
        <w:trPr>
          <w:trHeight w:val="277"/>
        </w:trPr>
        <w:tc>
          <w:tcPr>
            <w:tcW w:w="2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(195.2)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w:t>
            </w:r>
          </w:p>
        </w:tc>
      </w:tr>
      <w:tr>
        <w:trPr>
          <w:trHeight w:val="243"/>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482.0</w:t>
            </w:r>
          </w:p>
        </w:tc>
        <w:tc>
          <w:tcPr>
            <w:tcW w:w="1380" w:type="dxa"/>
            <w:vAlign w:val="bottom"/>
          </w:tcPr>
          <w:p>
            <w:pPr>
              <w:jc w:val="right"/>
              <w:spacing w:after="0"/>
              <w:rPr>
                <w:sz w:val="20"/>
                <w:szCs w:val="20"/>
                <w:color w:val="auto"/>
              </w:rPr>
            </w:pPr>
            <w:r>
              <w:rPr>
                <w:rFonts w:ascii="Arial" w:cs="Arial" w:eastAsia="Arial" w:hAnsi="Arial"/>
                <w:sz w:val="18"/>
                <w:szCs w:val="18"/>
                <w:color w:val="auto"/>
              </w:rPr>
              <w:t>(4,697.9)</w:t>
            </w:r>
          </w:p>
        </w:tc>
      </w:tr>
      <w:tr>
        <w:trPr>
          <w:trHeight w:val="291"/>
        </w:trPr>
        <w:tc>
          <w:tcPr>
            <w:tcW w:w="2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64.9</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61.9</w:t>
            </w:r>
          </w:p>
        </w:tc>
      </w:tr>
    </w:tbl>
    <w:p>
      <w:pPr>
        <w:spacing w:after="0" w:line="200" w:lineRule="exact"/>
        <w:rPr>
          <w:sz w:val="20"/>
          <w:szCs w:val="20"/>
          <w:color w:val="auto"/>
        </w:rPr>
      </w:pPr>
    </w:p>
    <w:p>
      <w:pPr>
        <w:sectPr>
          <w:pgSz w:w="11900" w:h="16838" w:orient="portrait"/>
          <w:cols w:equalWidth="0" w:num="2">
            <w:col w:w="6900" w:space="720"/>
            <w:col w:w="3780"/>
          </w:cols>
          <w:pgMar w:left="240" w:top="576" w:right="25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(5,708.0)</w:t>
            </w:r>
          </w:p>
        </w:tc>
        <w:tc>
          <w:tcPr>
            <w:tcW w:w="6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29"/>
        </w:trPr>
        <w:tc>
          <w:tcPr>
            <w:tcW w:w="7620" w:type="dxa"/>
            <w:vAlign w:val="bottom"/>
          </w:tcPr>
          <w:p>
            <w:pPr>
              <w:ind w:left="40"/>
              <w:spacing w:after="0"/>
              <w:rPr>
                <w:sz w:val="20"/>
                <w:szCs w:val="20"/>
                <w:color w:val="auto"/>
              </w:rPr>
            </w:pPr>
            <w:r>
              <w:rPr>
                <w:rFonts w:ascii="Arial" w:cs="Arial" w:eastAsia="Arial" w:hAnsi="Arial"/>
                <w:sz w:val="18"/>
                <w:szCs w:val="18"/>
                <w:color w:val="auto"/>
              </w:rPr>
              <w:t>Cash and cash equivalents at January 1 (includes $677.5 (2019) and $324.4 (2018) of</w:t>
            </w:r>
          </w:p>
        </w:tc>
        <w:tc>
          <w:tcPr>
            <w:tcW w:w="580" w:type="dxa"/>
            <w:vAlign w:val="bottom"/>
          </w:tcPr>
          <w:p>
            <w:pPr>
              <w:spacing w:after="0"/>
              <w:rPr>
                <w:sz w:val="19"/>
                <w:szCs w:val="19"/>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7,998.2</w:t>
            </w:r>
          </w:p>
        </w:tc>
        <w:tc>
          <w:tcPr>
            <w:tcW w:w="680" w:type="dxa"/>
            <w:vAlign w:val="bottom"/>
          </w:tcPr>
          <w:p>
            <w:pPr>
              <w:spacing w:after="0"/>
              <w:rPr>
                <w:sz w:val="19"/>
                <w:szCs w:val="19"/>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6,536.2</w:t>
            </w:r>
          </w:p>
        </w:tc>
        <w:tc>
          <w:tcPr>
            <w:tcW w:w="0" w:type="dxa"/>
            <w:vAlign w:val="bottom"/>
          </w:tcPr>
          <w:p>
            <w:pPr>
              <w:spacing w:after="0"/>
              <w:rPr>
                <w:sz w:val="1"/>
                <w:szCs w:val="1"/>
                <w:color w:val="auto"/>
              </w:rPr>
            </w:pPr>
          </w:p>
        </w:tc>
      </w:tr>
      <w:tr>
        <w:trPr>
          <w:trHeight w:val="109"/>
        </w:trPr>
        <w:tc>
          <w:tcPr>
            <w:tcW w:w="7620" w:type="dxa"/>
            <w:vAlign w:val="bottom"/>
            <w:vMerge w:val="restart"/>
          </w:tcPr>
          <w:p>
            <w:pPr>
              <w:ind w:left="40"/>
              <w:spacing w:after="0"/>
              <w:rPr>
                <w:sz w:val="20"/>
                <w:szCs w:val="20"/>
                <w:color w:val="auto"/>
              </w:rPr>
            </w:pPr>
            <w:r>
              <w:rPr>
                <w:rFonts w:ascii="Arial" w:cs="Arial" w:eastAsia="Arial" w:hAnsi="Arial"/>
                <w:sz w:val="18"/>
                <w:szCs w:val="18"/>
                <w:color w:val="auto"/>
              </w:rPr>
              <w:t>discontinued operations)</w:t>
            </w:r>
          </w:p>
        </w:tc>
        <w:tc>
          <w:tcPr>
            <w:tcW w:w="5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62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762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Cash and Cash Equivalents at June 30 (includes $322.1 (2018) of discontinued</w:t>
            </w: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2,290.2</w:t>
            </w:r>
          </w:p>
        </w:tc>
        <w:tc>
          <w:tcPr>
            <w:tcW w:w="68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6,817.3</w:t>
            </w:r>
          </w:p>
        </w:tc>
        <w:tc>
          <w:tcPr>
            <w:tcW w:w="0" w:type="dxa"/>
            <w:vAlign w:val="bottom"/>
          </w:tcPr>
          <w:p>
            <w:pPr>
              <w:spacing w:after="0"/>
              <w:rPr>
                <w:sz w:val="1"/>
                <w:szCs w:val="1"/>
                <w:color w:val="auto"/>
              </w:rPr>
            </w:pPr>
          </w:p>
        </w:tc>
      </w:tr>
      <w:tr>
        <w:trPr>
          <w:trHeight w:val="131"/>
        </w:trPr>
        <w:tc>
          <w:tcPr>
            <w:tcW w:w="76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operations)</w:t>
            </w:r>
          </w:p>
        </w:tc>
        <w:tc>
          <w:tcPr>
            <w:tcW w:w="58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62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00"/>
          </w:cols>
          <w:pgMar w:left="240" w:top="57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576" w:right="25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Implementation of New Financial Accounting Standards</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Animal Health (Elanco) common stock through a tax-free exchange offer. As a result, Elanco has been presented as discontinued operations in our consolidated condensed financial statements for all periods presented.</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207" w:lineRule="exact"/>
        <w:rPr>
          <w:sz w:val="20"/>
          <w:szCs w:val="20"/>
          <w:color w:val="auto"/>
        </w:rPr>
      </w:pPr>
    </w:p>
    <w:p>
      <w:pPr>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We issue our financial statements by filing them with the Securities and Exchange Commission and have evaluated subsequent events up to the time of the filing.</w:t>
      </w:r>
    </w:p>
    <w:p>
      <w:pPr>
        <w:spacing w:after="0" w:line="94"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8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Following the completion of the disposition of Elanco, we now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13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On January 1, 2019 we adopted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approach, applied at the beginning of the period of adoption, and we elected the package of transitional practical expedients. The adoption of this standard resulted in recording of operating lease assets of approximately $530 million, which included reclassifying approximately $65 million of deferred rent and lease incentives, net of prepaid rent, as a component of the operating lease assets as of January 1, 2019. The adoption also resulted in recording operating lease liabilities of approximately $595 million as of January 1, 2019. Our accounting for finance leases remained substantially unchanged. The standard did not have an impact on our consolidated condensed statements of operations.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76"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Revenue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6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5,168.7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5,129.4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9,861.0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9,735.3</w:t>
            </w:r>
          </w:p>
        </w:tc>
      </w:tr>
      <w:tr>
        <w:trPr>
          <w:trHeight w:val="270"/>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468.0</w:t>
            </w: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455.6</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867.9</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813.5</w:t>
            </w:r>
          </w:p>
        </w:tc>
      </w:tr>
      <w:tr>
        <w:trPr>
          <w:trHeight w:val="271"/>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5,636.7</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5,585.0</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10,728.9</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10,548.8</w:t>
            </w:r>
          </w:p>
        </w:tc>
      </w:tr>
    </w:tbl>
    <w:p>
      <w:pPr>
        <w:spacing w:after="0" w:line="113" w:lineRule="exact"/>
        <w:rPr>
          <w:sz w:val="20"/>
          <w:szCs w:val="20"/>
          <w:color w:val="auto"/>
        </w:rPr>
      </w:pPr>
    </w:p>
    <w:p>
      <w:pPr>
        <w:ind w:left="180" w:right="20" w:hanging="172"/>
        <w:spacing w:after="0" w:line="225" w:lineRule="auto"/>
        <w:tabs>
          <w:tab w:leader="none" w:pos="153" w:val="left"/>
        </w:tabs>
        <w:numPr>
          <w:ilvl w:val="0"/>
          <w:numId w:val="6"/>
        </w:numPr>
        <w:rPr>
          <w:rFonts w:ascii="Arial" w:cs="Arial" w:eastAsia="Arial" w:hAnsi="Arial"/>
          <w:sz w:val="17"/>
          <w:szCs w:val="17"/>
          <w:color w:val="auto"/>
          <w:vertAlign w:val="superscript"/>
        </w:rPr>
      </w:pPr>
      <w:r>
        <w:rPr>
          <w:rFonts w:ascii="Arial" w:cs="Arial" w:eastAsia="Arial" w:hAnsi="Arial"/>
          <w:sz w:val="14"/>
          <w:szCs w:val="14"/>
          <w:color w:val="auto"/>
        </w:rPr>
        <w:t>Collaboration and other revenue associated with prior period transfers of intellectual property was $59.6 million and $95.1 million during the three and six months ended June 30, 2019, respectively, and $133.6 million and $183.7 million during the three and six months ended June 30, 2018, respectively.</w:t>
      </w:r>
    </w:p>
    <w:p>
      <w:pPr>
        <w:spacing w:after="0" w:line="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will include our share of profits from the collaboration, as well as royalties, upfront and milestone payments we receive under these types of contracts. See Note 4 for additional information related to our collaborations and other arrangements. Collaboration and other revenue disclosed above includes the revenue from the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Jardiance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families of products resulting from our collaboration with Boehringer Ingelheim discussed in Note 4. Substantially all of the remainder of collaboration and other revenue is related to contracts accounted for as contracts with customers.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3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70"/>
        </w:trPr>
        <w:tc>
          <w:tcPr>
            <w:tcW w:w="35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 xml:space="preserve">United States (U.S.) </w:t>
            </w:r>
            <w:r>
              <w:rPr>
                <w:rFonts w:ascii="Arial" w:cs="Arial" w:eastAsia="Arial" w:hAnsi="Arial"/>
                <w:sz w:val="8"/>
                <w:szCs w:val="8"/>
                <w:b w:val="1"/>
                <w:bCs w:val="1"/>
                <w:color w:val="auto"/>
              </w:rPr>
              <w:t>(1)</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3"/>
              </w:rPr>
              <w:t xml:space="preserve">U.S. </w:t>
            </w:r>
            <w:r>
              <w:rPr>
                <w:rFonts w:ascii="Arial" w:cs="Arial" w:eastAsia="Arial" w:hAnsi="Arial"/>
                <w:sz w:val="17"/>
                <w:szCs w:val="17"/>
                <w:b w:val="1"/>
                <w:bCs w:val="1"/>
                <w:color w:val="auto"/>
                <w:w w:val="93"/>
                <w:vertAlign w:val="superscript"/>
              </w:rPr>
              <w:t>(1)</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Revenue—to unaffiliated customers:</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63"/>
        </w:trPr>
        <w:tc>
          <w:tcPr>
            <w:tcW w:w="3500" w:type="dxa"/>
            <w:vAlign w:val="bottom"/>
          </w:tcPr>
          <w:p>
            <w:pPr>
              <w:ind w:left="280"/>
              <w:spacing w:after="0"/>
              <w:rPr>
                <w:sz w:val="20"/>
                <w:szCs w:val="20"/>
                <w:color w:val="auto"/>
              </w:rPr>
            </w:pPr>
            <w:r>
              <w:rPr>
                <w:rFonts w:ascii="Arial" w:cs="Arial" w:eastAsia="Arial" w:hAnsi="Arial"/>
                <w:sz w:val="18"/>
                <w:szCs w:val="18"/>
                <w:color w:val="auto"/>
              </w:rPr>
              <w:t>Endocrinology:</w:t>
            </w: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color w:val="auto"/>
                <w:vertAlign w:val="super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1,028.5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779.8</w:t>
            </w: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color w:val="auto"/>
                <w:vertAlign w:val="superscript"/>
              </w:rPr>
              <w:t>® (2)</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396.1</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281.5</w:t>
            </w:r>
          </w:p>
        </w:tc>
        <w:tc>
          <w:tcPr>
            <w:tcW w:w="18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677.6</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464.5</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305.2</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769.8</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172.8</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188.0</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360.8</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434.5</w:t>
            </w: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220.1</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102.6</w:t>
            </w:r>
          </w:p>
        </w:tc>
        <w:tc>
          <w:tcPr>
            <w:tcW w:w="18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322.6</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238.8</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107.2</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346.0</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Basaglar</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232.2</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290.7</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201.8</w:t>
            </w: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1"/>
                <w:szCs w:val="21"/>
                <w:color w:val="auto"/>
                <w:vertAlign w:val="superscript"/>
              </w:rPr>
              <w:t>(3)</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142.6</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89.3</w:t>
            </w:r>
          </w:p>
        </w:tc>
        <w:tc>
          <w:tcPr>
            <w:tcW w:w="18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231.9</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147.2</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 xml:space="preserve">Trajenta </w:t>
            </w:r>
            <w:r>
              <w:rPr>
                <w:rFonts w:ascii="Arial" w:cs="Arial" w:eastAsia="Arial" w:hAnsi="Arial"/>
                <w:sz w:val="21"/>
                <w:szCs w:val="21"/>
                <w:color w:val="auto"/>
                <w:vertAlign w:val="superscript"/>
              </w:rPr>
              <w:t>(4)</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64.5</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89.5</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153.9</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141.7</w:t>
            </w:r>
          </w:p>
        </w:tc>
      </w:tr>
      <w:tr>
        <w:trPr>
          <w:trHeight w:val="264"/>
        </w:trPr>
        <w:tc>
          <w:tcPr>
            <w:tcW w:w="3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141.2</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134.1</w:t>
            </w:r>
          </w:p>
        </w:tc>
      </w:tr>
      <w:tr>
        <w:trPr>
          <w:trHeight w:val="270"/>
        </w:trPr>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Endocrinology</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2,102.0</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1,105.2</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3,207.2</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2,954.9</w:t>
            </w:r>
          </w:p>
        </w:tc>
      </w:tr>
      <w:tr>
        <w:trPr>
          <w:trHeight w:val="122"/>
        </w:trPr>
        <w:tc>
          <w:tcPr>
            <w:tcW w:w="3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70"/>
        </w:trPr>
        <w:tc>
          <w:tcPr>
            <w:tcW w:w="3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Oncology:</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Alimta</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341.7</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236.1</w:t>
            </w:r>
          </w:p>
        </w:tc>
        <w:tc>
          <w:tcPr>
            <w:tcW w:w="18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577.8</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281.3</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274.6</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555.9</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152.0</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241.8</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218.8</w:t>
            </w: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Erbitux</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136.9</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18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159.3</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140.0</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166.4</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Verzenio</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105.2</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133.9</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r>
      <w:tr>
        <w:trPr>
          <w:trHeight w:val="264"/>
        </w:trPr>
        <w:tc>
          <w:tcPr>
            <w:tcW w:w="3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Oncology</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84.4</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111.3</w:t>
            </w:r>
          </w:p>
        </w:tc>
      </w:tr>
      <w:tr>
        <w:trPr>
          <w:trHeight w:val="270"/>
        </w:trPr>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Oncology</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689.8</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507.4</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1,197.2</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1,110.1</w:t>
            </w:r>
          </w:p>
        </w:tc>
      </w:tr>
      <w:tr>
        <w:trPr>
          <w:trHeight w:val="122"/>
        </w:trPr>
        <w:tc>
          <w:tcPr>
            <w:tcW w:w="3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70"/>
        </w:trPr>
        <w:tc>
          <w:tcPr>
            <w:tcW w:w="3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Neuroscience:</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Cymbalta</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169.0</w:t>
            </w:r>
          </w:p>
        </w:tc>
        <w:tc>
          <w:tcPr>
            <w:tcW w:w="18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187.2</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169.4</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181.9</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95.1</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104.3</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128.0</w:t>
            </w: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61.4</w:t>
            </w:r>
          </w:p>
        </w:tc>
        <w:tc>
          <w:tcPr>
            <w:tcW w:w="18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82.6</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114.2</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Emgality</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34.3</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3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44.3</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46.9</w:t>
            </w:r>
          </w:p>
        </w:tc>
      </w:tr>
      <w:tr>
        <w:trPr>
          <w:trHeight w:val="270"/>
        </w:trPr>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104.4</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348.3</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452.7</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471.0</w:t>
            </w:r>
          </w:p>
        </w:tc>
      </w:tr>
      <w:tr>
        <w:trPr>
          <w:trHeight w:val="122"/>
        </w:trPr>
        <w:tc>
          <w:tcPr>
            <w:tcW w:w="3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70"/>
        </w:trPr>
        <w:tc>
          <w:tcPr>
            <w:tcW w:w="3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Immunology:</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Taltz</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268.1</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85.7</w:t>
            </w:r>
          </w:p>
        </w:tc>
        <w:tc>
          <w:tcPr>
            <w:tcW w:w="18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353.8</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220.1</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Olumiant</w:t>
            </w:r>
            <w:r>
              <w:rPr>
                <w:rFonts w:ascii="Arial" w:cs="Arial" w:eastAsia="Arial" w:hAnsi="Arial"/>
                <w:sz w:val="21"/>
                <w:szCs w:val="21"/>
                <w:color w:val="auto"/>
                <w:vertAlign w:val="superscript"/>
              </w:rPr>
              <w:t>®</w:t>
            </w: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91.7</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102.4</w:t>
            </w: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r>
      <w:tr>
        <w:trPr>
          <w:trHeight w:val="257"/>
        </w:trPr>
        <w:tc>
          <w:tcPr>
            <w:tcW w:w="3500" w:type="dxa"/>
            <w:vAlign w:val="bottom"/>
          </w:tcPr>
          <w:p>
            <w:pPr>
              <w:ind w:left="500"/>
              <w:spacing w:after="0"/>
              <w:rPr>
                <w:sz w:val="20"/>
                <w:szCs w:val="20"/>
                <w:color w:val="auto"/>
              </w:rPr>
            </w:pPr>
            <w:r>
              <w:rPr>
                <w:rFonts w:ascii="Arial" w:cs="Arial" w:eastAsia="Arial" w:hAnsi="Arial"/>
                <w:sz w:val="18"/>
                <w:szCs w:val="18"/>
                <w:color w:val="auto"/>
              </w:rPr>
              <w:t>Total Immunology</w:t>
            </w:r>
          </w:p>
        </w:tc>
        <w:tc>
          <w:tcPr>
            <w:tcW w:w="2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278.8</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177.3</w:t>
            </w:r>
          </w:p>
        </w:tc>
        <w:tc>
          <w:tcPr>
            <w:tcW w:w="180" w:type="dxa"/>
            <w:vAlign w:val="bottom"/>
          </w:tcPr>
          <w:p>
            <w:pPr>
              <w:spacing w:after="0"/>
              <w:rPr>
                <w:sz w:val="22"/>
                <w:szCs w:val="22"/>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456.1</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264.7</w:t>
            </w:r>
          </w:p>
        </w:tc>
      </w:tr>
      <w:tr>
        <w:trPr>
          <w:trHeight w:val="128"/>
        </w:trPr>
        <w:tc>
          <w:tcPr>
            <w:tcW w:w="3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63"/>
        </w:trPr>
        <w:tc>
          <w:tcPr>
            <w:tcW w:w="3500" w:type="dxa"/>
            <w:vAlign w:val="bottom"/>
          </w:tcPr>
          <w:p>
            <w:pPr>
              <w:ind w:left="5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165.1</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200.2</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538.7</w:t>
            </w:r>
          </w:p>
        </w:tc>
      </w:tr>
      <w:tr>
        <w:trPr>
          <w:trHeight w:val="264"/>
        </w:trPr>
        <w:tc>
          <w:tcPr>
            <w:tcW w:w="3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80.8</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123.3</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245.6</w:t>
            </w:r>
          </w:p>
        </w:tc>
      </w:tr>
      <w:tr>
        <w:trPr>
          <w:trHeight w:val="264"/>
        </w:trPr>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w:t>
            </w: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77.5</w:t>
            </w: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245.9</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323.5</w:t>
            </w: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784.3</w:t>
            </w:r>
          </w:p>
        </w:tc>
      </w:tr>
      <w:tr>
        <w:trPr>
          <w:trHeight w:val="277"/>
        </w:trPr>
        <w:tc>
          <w:tcPr>
            <w:tcW w:w="350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5,636.7</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5,585.0</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Humalog revenue includes Insulin Lispro.</w:t>
      </w:r>
    </w:p>
    <w:p>
      <w:pPr>
        <w:spacing w:after="0" w:line="9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3"/>
          <w:szCs w:val="13"/>
          <w:color w:val="auto"/>
        </w:rPr>
        <w:t xml:space="preserve"> and Synjardy</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ectPr>
          <w:pgSz w:w="11900" w:h="16838" w:orient="portrait"/>
          <w:cols w:equalWidth="0" w:num="1">
            <w:col w:w="11420"/>
          </w:cols>
          <w:pgMar w:left="240" w:top="706" w:right="2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706" w:right="239" w:bottom="1440" w:gutter="0" w:footer="0" w:header="0"/>
          <w:type w:val="continuous"/>
        </w:sectPr>
      </w:pPr>
    </w:p>
    <w:bookmarkStart w:id="12" w:name="page13"/>
    <w:bookmarkEnd w:id="12"/>
    <w:p>
      <w:pPr>
        <w:ind w:left="71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14605</wp:posOffset>
            </wp:positionV>
            <wp:extent cx="4596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70"/>
        </w:trPr>
        <w:tc>
          <w:tcPr>
            <w:tcW w:w="4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Revenue—to unaffiliated customers: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3"/>
        </w:trPr>
        <w:tc>
          <w:tcPr>
            <w:tcW w:w="4180" w:type="dxa"/>
            <w:vAlign w:val="bottom"/>
          </w:tcPr>
          <w:p>
            <w:pPr>
              <w:ind w:left="280"/>
              <w:spacing w:after="0"/>
              <w:rPr>
                <w:sz w:val="20"/>
                <w:szCs w:val="20"/>
                <w:color w:val="auto"/>
              </w:rPr>
            </w:pPr>
            <w:r>
              <w:rPr>
                <w:rFonts w:ascii="Arial" w:cs="Arial" w:eastAsia="Arial" w:hAnsi="Arial"/>
                <w:sz w:val="18"/>
                <w:szCs w:val="18"/>
                <w:color w:val="auto"/>
              </w:rPr>
              <w:t>Endocrinology:</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1,908.3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1,458.1</w:t>
            </w:r>
          </w:p>
        </w:tc>
      </w:tr>
      <w:tr>
        <w:trPr>
          <w:trHeight w:val="270"/>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 xml:space="preserve">Humalog </w:t>
            </w:r>
            <w:r>
              <w:rPr>
                <w:rFonts w:ascii="Arial" w:cs="Arial" w:eastAsia="Arial" w:hAnsi="Arial"/>
                <w:sz w:val="21"/>
                <w:szCs w:val="21"/>
                <w:i w:val="1"/>
                <w:iCs w:val="1"/>
                <w:color w:val="auto"/>
                <w:vertAlign w:val="superscript"/>
              </w:rPr>
              <w:t>(2)</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844.8</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563.7</w:t>
            </w:r>
          </w:p>
        </w:tc>
        <w:tc>
          <w:tcPr>
            <w:tcW w:w="28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1,408.4</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968.7</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592.8</w:t>
            </w:r>
          </w:p>
        </w:tc>
        <w:tc>
          <w:tcPr>
            <w:tcW w:w="2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1,561.5</w:t>
            </w:r>
          </w:p>
        </w:tc>
      </w:tr>
      <w:tr>
        <w:trPr>
          <w:trHeight w:val="270"/>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Forteo</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298.7</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375.0</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673.7</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747.8</w:t>
            </w:r>
          </w:p>
        </w:tc>
      </w:tr>
      <w:tr>
        <w:trPr>
          <w:trHeight w:val="263"/>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Humulin</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421.3</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199.0</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620.3</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460.4</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211.5</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671.9</w:t>
            </w: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Basaglar</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430.3</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111.8</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542.1</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367.8</w:t>
            </w:r>
          </w:p>
        </w:tc>
      </w:tr>
      <w:tr>
        <w:trPr>
          <w:trHeight w:val="270"/>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1"/>
                <w:szCs w:val="21"/>
                <w:i w:val="1"/>
                <w:iCs w:val="1"/>
                <w:color w:val="auto"/>
                <w:vertAlign w:val="superscript"/>
              </w:rPr>
              <w:t>(3)</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267.8</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167.7</w:t>
            </w:r>
          </w:p>
        </w:tc>
        <w:tc>
          <w:tcPr>
            <w:tcW w:w="28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435.5</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180.6</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117.6</w:t>
            </w:r>
          </w:p>
        </w:tc>
        <w:tc>
          <w:tcPr>
            <w:tcW w:w="2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298.2</w:t>
            </w:r>
          </w:p>
        </w:tc>
      </w:tr>
      <w:tr>
        <w:trPr>
          <w:trHeight w:val="270"/>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 xml:space="preserve">Trajenta </w:t>
            </w:r>
            <w:r>
              <w:rPr>
                <w:rFonts w:ascii="Arial" w:cs="Arial" w:eastAsia="Arial" w:hAnsi="Arial"/>
                <w:sz w:val="21"/>
                <w:szCs w:val="21"/>
                <w:i w:val="1"/>
                <w:iCs w:val="1"/>
                <w:color w:val="auto"/>
                <w:vertAlign w:val="superscript"/>
              </w:rPr>
              <w:t>(4)</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111.8</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174.0</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285.9</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282.8</w:t>
            </w:r>
          </w:p>
        </w:tc>
      </w:tr>
      <w:tr>
        <w:trPr>
          <w:trHeight w:val="264"/>
        </w:trPr>
        <w:tc>
          <w:tcPr>
            <w:tcW w:w="418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143.5</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263.1</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265.6</w:t>
            </w:r>
          </w:p>
        </w:tc>
      </w:tr>
      <w:tr>
        <w:trPr>
          <w:trHeight w:val="270"/>
        </w:trPr>
        <w:tc>
          <w:tcPr>
            <w:tcW w:w="4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Endocrinology</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3,975.9</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2,161.4</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6,137.3</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3,617.0</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2,036.6</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5,653.7</w:t>
            </w:r>
          </w:p>
        </w:tc>
      </w:tr>
      <w:tr>
        <w:trPr>
          <w:trHeight w:val="122"/>
        </w:trPr>
        <w:tc>
          <w:tcPr>
            <w:tcW w:w="4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0"/>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Oncology:</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Alimta</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623.5</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453.5</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1,076.9</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528.9</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1,055.5</w:t>
            </w: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Cyramza</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164.9</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275.2</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440.0</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402.4</w:t>
            </w:r>
          </w:p>
        </w:tc>
      </w:tr>
      <w:tr>
        <w:trPr>
          <w:trHeight w:val="263"/>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Erbitux</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250.3</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277.7</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54.7</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316.1</w:t>
            </w: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Verzenio</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198.7</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243.3</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87.4</w:t>
            </w:r>
          </w:p>
        </w:tc>
      </w:tr>
      <w:tr>
        <w:trPr>
          <w:trHeight w:val="264"/>
        </w:trPr>
        <w:tc>
          <w:tcPr>
            <w:tcW w:w="418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Oncology</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125.5</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172.1</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205.3</w:t>
            </w:r>
          </w:p>
        </w:tc>
      </w:tr>
      <w:tr>
        <w:trPr>
          <w:trHeight w:val="270"/>
        </w:trPr>
        <w:tc>
          <w:tcPr>
            <w:tcW w:w="4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Oncology</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1,283.7</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926.3</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2,210.0</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2,066.7</w:t>
            </w:r>
          </w:p>
        </w:tc>
      </w:tr>
      <w:tr>
        <w:trPr>
          <w:trHeight w:val="122"/>
        </w:trPr>
        <w:tc>
          <w:tcPr>
            <w:tcW w:w="4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0"/>
        </w:trPr>
        <w:tc>
          <w:tcPr>
            <w:tcW w:w="4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Neuroscience:</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Cymbalta</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322.9</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351.3</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326.7</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351.5</w:t>
            </w: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Zyprexa</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193.0</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211.5</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250.6</w:t>
            </w:r>
          </w:p>
        </w:tc>
      </w:tr>
      <w:tr>
        <w:trPr>
          <w:trHeight w:val="263"/>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Strattera</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126.1</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148.8</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181.0</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244.9</w:t>
            </w: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Emgality</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48.5</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418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85.8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96.7</w:t>
            </w:r>
          </w:p>
        </w:tc>
      </w:tr>
      <w:tr>
        <w:trPr>
          <w:trHeight w:val="270"/>
        </w:trPr>
        <w:tc>
          <w:tcPr>
            <w:tcW w:w="4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690.3</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845.9</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943.7</w:t>
            </w:r>
          </w:p>
        </w:tc>
      </w:tr>
      <w:tr>
        <w:trPr>
          <w:trHeight w:val="122"/>
        </w:trPr>
        <w:tc>
          <w:tcPr>
            <w:tcW w:w="4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0"/>
        </w:trPr>
        <w:tc>
          <w:tcPr>
            <w:tcW w:w="4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Immunology:</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Taltz</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449.0</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157.4</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606.3</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284.7</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366.5</w:t>
            </w:r>
          </w:p>
        </w:tc>
      </w:tr>
      <w:tr>
        <w:trPr>
          <w:trHeight w:val="270"/>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Olumiant</w:t>
            </w: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167.4</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184.5</w:t>
            </w:r>
          </w:p>
        </w:tc>
        <w:tc>
          <w:tcPr>
            <w:tcW w:w="3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76.9</w:t>
            </w:r>
          </w:p>
        </w:tc>
      </w:tr>
      <w:tr>
        <w:trPr>
          <w:trHeight w:val="263"/>
        </w:trPr>
        <w:tc>
          <w:tcPr>
            <w:tcW w:w="4180" w:type="dxa"/>
            <w:vAlign w:val="bottom"/>
          </w:tcPr>
          <w:p>
            <w:pPr>
              <w:ind w:left="500"/>
              <w:spacing w:after="0"/>
              <w:rPr>
                <w:sz w:val="20"/>
                <w:szCs w:val="20"/>
                <w:color w:val="auto"/>
              </w:rPr>
            </w:pPr>
            <w:r>
              <w:rPr>
                <w:rFonts w:ascii="Arial" w:cs="Arial" w:eastAsia="Arial" w:hAnsi="Arial"/>
                <w:sz w:val="18"/>
                <w:szCs w:val="18"/>
                <w:color w:val="auto"/>
              </w:rPr>
              <w:t>Total Immunology</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466.0</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324.8</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790.8</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286.5</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157.0</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443.4</w:t>
            </w:r>
          </w:p>
        </w:tc>
      </w:tr>
      <w:tr>
        <w:trPr>
          <w:trHeight w:val="128"/>
        </w:trPr>
        <w:tc>
          <w:tcPr>
            <w:tcW w:w="4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63"/>
        </w:trPr>
        <w:tc>
          <w:tcPr>
            <w:tcW w:w="4180" w:type="dxa"/>
            <w:vAlign w:val="bottom"/>
          </w:tcPr>
          <w:p>
            <w:pPr>
              <w:ind w:left="5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178.4</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330.0</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508.4</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1,034.1</w:t>
            </w:r>
          </w:p>
        </w:tc>
      </w:tr>
      <w:tr>
        <w:trPr>
          <w:trHeight w:val="264"/>
        </w:trPr>
        <w:tc>
          <w:tcPr>
            <w:tcW w:w="418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152.8</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236.5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407.2</w:t>
            </w:r>
          </w:p>
        </w:tc>
      </w:tr>
      <w:tr>
        <w:trPr>
          <w:trHeight w:val="264"/>
        </w:trPr>
        <w:tc>
          <w:tcPr>
            <w:tcW w:w="4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262.2</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482.9</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744.9</w:t>
            </w: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1,441.3</w:t>
            </w:r>
          </w:p>
        </w:tc>
      </w:tr>
      <w:tr>
        <w:trPr>
          <w:trHeight w:val="277"/>
        </w:trPr>
        <w:tc>
          <w:tcPr>
            <w:tcW w:w="418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4,585.6</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10,728.9</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4,510.9</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10,548.8</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Humalog revenue includes Insulin Lispro.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 and Synjardy.</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p>
    <w:p>
      <w:pPr>
        <w:sectPr>
          <w:pgSz w:w="11900" w:h="16838" w:orient="portrait"/>
          <w:cols w:equalWidth="0" w:num="1">
            <w:col w:w="11420"/>
          </w:cols>
          <w:pgMar w:left="240" w:top="1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3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6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Revenue—to unaffiliated customers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 xml:space="preserve">United States </w:t>
            </w:r>
            <w:r>
              <w:rPr>
                <w:rFonts w:ascii="Arial" w:cs="Arial" w:eastAsia="Arial" w:hAnsi="Arial"/>
                <w:sz w:val="21"/>
                <w:szCs w:val="21"/>
                <w:color w:val="auto"/>
                <w:vertAlign w:val="superscript"/>
              </w:rPr>
              <w:t>(2)</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3,252.5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3,242.3</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6,143.3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6,037.9</w:t>
            </w: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928.2</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941.0</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1,828.5</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1,834.8</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653.2</w:t>
            </w:r>
          </w:p>
        </w:tc>
        <w:tc>
          <w:tcPr>
            <w:tcW w:w="46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640.4</w:t>
            </w:r>
          </w:p>
        </w:tc>
        <w:tc>
          <w:tcPr>
            <w:tcW w:w="38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1,196.9</w:t>
            </w:r>
          </w:p>
        </w:tc>
        <w:tc>
          <w:tcPr>
            <w:tcW w:w="4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1,177.2</w:t>
            </w: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foreign countries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802.8</w:t>
            </w:r>
          </w:p>
        </w:tc>
        <w:tc>
          <w:tcPr>
            <w:tcW w:w="4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761.2</w:t>
            </w: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1,560.2</w:t>
            </w:r>
          </w:p>
        </w:tc>
        <w:tc>
          <w:tcPr>
            <w:tcW w:w="4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1,498.8</w:t>
            </w:r>
          </w:p>
        </w:tc>
      </w:tr>
      <w:tr>
        <w:trPr>
          <w:trHeight w:val="271"/>
        </w:trPr>
        <w:tc>
          <w:tcPr>
            <w:tcW w:w="602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5,636.7</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5,585.0</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10,728.9</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10,548.8</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Revenue is attributed to the countries based on the location of the customer.</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Adjustments to revenue recognized as a result of changes in estimates for our most significant U.S. sales returns, rebates, and discounts liability balances for products shipped in previous periods were approximately 4 percent and 3 percent of U.S. revenue during the three and six months ended June 30, 2019, respectively, and approximately 1 percent and 2 percent of U.S. revenue during the three and six months ended June 30, 2018,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3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277.6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294.9</w:t>
            </w:r>
          </w:p>
        </w:tc>
      </w:tr>
    </w:tbl>
    <w:p>
      <w:pPr>
        <w:spacing w:after="0" w:line="323" w:lineRule="exact"/>
        <w:rPr>
          <w:sz w:val="20"/>
          <w:szCs w:val="20"/>
          <w:color w:val="auto"/>
        </w:rPr>
      </w:pPr>
    </w:p>
    <w:p>
      <w:pPr>
        <w:jc w:val="both"/>
        <w:ind w:right="620"/>
        <w:spacing w:after="0" w:line="256" w:lineRule="auto"/>
        <w:rPr>
          <w:sz w:val="20"/>
          <w:szCs w:val="20"/>
          <w:color w:val="auto"/>
        </w:rPr>
      </w:pPr>
      <w:r>
        <w:rPr>
          <w:rFonts w:ascii="Arial" w:cs="Arial" w:eastAsia="Arial" w:hAnsi="Arial"/>
          <w:sz w:val="18"/>
          <w:szCs w:val="18"/>
          <w:color w:val="auto"/>
        </w:rPr>
        <w:t>Revenue recognized from contract liabilities during the three and six months ended June 30, 2019 and 2018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0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Acquisitions and Divestiture</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February 2019, we completed the acquisition of Loxo Oncology, Inc. (Loxo). This transaction, as further discussed in this note below in Acquisition of a Business, was accounted for as a business combination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have been included in our consolidated condensed financial statements from the date of acquisition.</w:t>
      </w:r>
    </w:p>
    <w:p>
      <w:pPr>
        <w:spacing w:after="0" w:line="10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Additionally, we acquired assets in development which are further discussed in this note below in Asset Acquisitions. Upon acquisition, the acquired in-process research and development (IPR&amp;D) charges related to these products were immediately expensed because the products had no alternative future use. We incurred acquired IPR&amp;D charges of $25.0 million and $161.9 million for the three and six months ended June 30, 2019, respectively, and $1.62 billion for the three and six months ended June 30, 2018.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Loxo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February 2019, we acquired all shares of Loxo for a purchase price $6.92 billion, net of cash acquired. The accelerated vesting of Loxo employee equity awards was recognized as transaction expense included in asset impairment, restructuring, and other special charges during the six months ended June 30, 2019.</w:t>
      </w:r>
    </w:p>
    <w:p>
      <w:pPr>
        <w:spacing w:after="0" w:line="94"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Under the terms of the agreement, we acquired a pipeline of investigational medicines, including LOXO-292, an oral RET inhibitor that has been granted Breakthrough Therapy designation by the U.S. Food and Drug Administration, and LOXO-305, an oral BTK inhibitor.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access to Loxo information was limited prior to the acquisition. As a consequence, we are in the process of determining fair values and tax bases of a significant portion of the assets acquired and liabilities assumed, including the identification and valuation of intangible assets, accrued expenses,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February 15,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8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4,670.0</w:t>
            </w:r>
          </w:p>
        </w:tc>
      </w:tr>
      <w:tr>
        <w:trPr>
          <w:trHeight w:val="257"/>
        </w:trPr>
        <w:tc>
          <w:tcPr>
            <w:tcW w:w="9880" w:type="dxa"/>
            <w:vAlign w:val="bottom"/>
          </w:tcPr>
          <w:p>
            <w:pPr>
              <w:ind w:left="40"/>
              <w:spacing w:after="0"/>
              <w:rPr>
                <w:sz w:val="20"/>
                <w:szCs w:val="20"/>
                <w:color w:val="auto"/>
              </w:rPr>
            </w:pPr>
            <w:r>
              <w:rPr>
                <w:rFonts w:ascii="Arial" w:cs="Arial" w:eastAsia="Arial" w:hAnsi="Arial"/>
                <w:sz w:val="18"/>
                <w:szCs w:val="18"/>
                <w:color w:val="auto"/>
              </w:rPr>
              <w:t xml:space="preserve">Definite-lived intangibles </w:t>
            </w:r>
            <w:r>
              <w:rPr>
                <w:rFonts w:ascii="Arial" w:cs="Arial" w:eastAsia="Arial" w:hAnsi="Arial"/>
                <w:sz w:val="21"/>
                <w:szCs w:val="21"/>
                <w:color w:val="auto"/>
                <w:vertAlign w:val="superscript"/>
              </w:rPr>
              <w:t>(1)</w:t>
            </w:r>
          </w:p>
        </w:tc>
        <w:tc>
          <w:tcPr>
            <w:tcW w:w="4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960.0</w:t>
            </w:r>
          </w:p>
        </w:tc>
      </w:tr>
      <w:tr>
        <w:trPr>
          <w:trHeight w:val="257"/>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r>
      <w:tr>
        <w:trPr>
          <w:trHeight w:val="250"/>
        </w:trPr>
        <w:tc>
          <w:tcPr>
            <w:tcW w:w="9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57"/>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4,464.3</w:t>
            </w:r>
          </w:p>
        </w:tc>
      </w:tr>
      <w:tr>
        <w:trPr>
          <w:trHeight w:val="257"/>
        </w:trPr>
        <w:tc>
          <w:tcPr>
            <w:tcW w:w="9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2,453.4</w:t>
            </w:r>
          </w:p>
        </w:tc>
      </w:tr>
      <w:tr>
        <w:trPr>
          <w:trHeight w:val="257"/>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6,917.7</w:t>
            </w:r>
          </w:p>
        </w:tc>
      </w:tr>
    </w:tbl>
    <w:p>
      <w:pPr>
        <w:spacing w:after="0" w:line="248" w:lineRule="exact"/>
        <w:rPr>
          <w:sz w:val="20"/>
          <w:szCs w:val="20"/>
          <w:color w:val="auto"/>
        </w:rPr>
      </w:pPr>
    </w:p>
    <w:p>
      <w:pPr>
        <w:ind w:left="180" w:hanging="172"/>
        <w:spacing w:after="0" w:line="270" w:lineRule="auto"/>
        <w:tabs>
          <w:tab w:leader="none" w:pos="15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Contract-based intangibles, which are being amortized to cost of sales on a straight-line basis over their estimated useful lives, were expected to have a weighted average useful life of approximately 12 years from the acquisition date.</w:t>
      </w:r>
    </w:p>
    <w:p>
      <w:pPr>
        <w:spacing w:after="0" w:line="126" w:lineRule="exact"/>
        <w:rPr>
          <w:rFonts w:ascii="Arial" w:cs="Arial" w:eastAsia="Arial" w:hAnsi="Arial"/>
          <w:sz w:val="18"/>
          <w:szCs w:val="18"/>
          <w:color w:val="auto"/>
          <w:vertAlign w:val="superscript"/>
        </w:rPr>
      </w:pPr>
    </w:p>
    <w:p>
      <w:pPr>
        <w:ind w:left="180" w:right="100" w:hanging="172"/>
        <w:spacing w:after="0" w:line="270" w:lineRule="auto"/>
        <w:tabs>
          <w:tab w:leader="none" w:pos="15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attributable primarily to future unidentified projects and products and the assembled workforce for Loxo and is not deductible for tax purposes.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76"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 acquisitions during the six months ended June 30, 2019 and June 30,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20" w:type="dxa"/>
            <w:vAlign w:val="bottom"/>
          </w:tcPr>
          <w:p>
            <w:pPr>
              <w:jc w:val="right"/>
              <w:ind w:right="154"/>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2"/>
        </w:trPr>
        <w:tc>
          <w:tcPr>
            <w:tcW w:w="264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Counterparty</w:t>
            </w:r>
          </w:p>
        </w:tc>
        <w:tc>
          <w:tcPr>
            <w:tcW w:w="382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Compound(s) or Therapy</w:t>
            </w:r>
          </w:p>
        </w:tc>
        <w:tc>
          <w:tcPr>
            <w:tcW w:w="16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Development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2"/>
        </w:trPr>
        <w:tc>
          <w:tcPr>
            <w:tcW w:w="2640" w:type="dxa"/>
            <w:vAlign w:val="bottom"/>
            <w:shd w:val="clear" w:color="auto" w:fill="CCEEFF"/>
          </w:tcPr>
          <w:p>
            <w:pPr>
              <w:spacing w:after="0"/>
              <w:rPr>
                <w:sz w:val="19"/>
                <w:szCs w:val="19"/>
                <w:color w:val="auto"/>
              </w:rPr>
            </w:pPr>
          </w:p>
        </w:tc>
        <w:tc>
          <w:tcPr>
            <w:tcW w:w="3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Tau aggregation inhibitor small</w:t>
            </w:r>
          </w:p>
        </w:tc>
        <w:tc>
          <w:tcPr>
            <w:tcW w:w="16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AC Immune SA</w:t>
            </w:r>
          </w:p>
        </w:tc>
        <w:tc>
          <w:tcPr>
            <w:tcW w:w="38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molecules for the potential treatment of</w:t>
            </w:r>
          </w:p>
        </w:tc>
        <w:tc>
          <w:tcPr>
            <w:tcW w:w="1640" w:type="dxa"/>
            <w:vAlign w:val="bottom"/>
            <w:vMerge w:val="restart"/>
            <w:shd w:val="clear" w:color="auto" w:fill="CCEEFF"/>
          </w:tcPr>
          <w:p>
            <w:pPr>
              <w:jc w:val="center"/>
              <w:ind w:right="53"/>
              <w:spacing w:after="0"/>
              <w:rPr>
                <w:sz w:val="20"/>
                <w:szCs w:val="20"/>
                <w:color w:val="auto"/>
              </w:rPr>
            </w:pPr>
            <w:r>
              <w:rPr>
                <w:rFonts w:ascii="Arial" w:cs="Arial" w:eastAsia="Arial" w:hAnsi="Arial"/>
                <w:sz w:val="18"/>
                <w:szCs w:val="18"/>
                <w:color w:val="auto"/>
              </w:rPr>
              <w:t>January 2019</w:t>
            </w: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96.9</w:t>
            </w:r>
          </w:p>
        </w:tc>
        <w:tc>
          <w:tcPr>
            <w:tcW w:w="0" w:type="dxa"/>
            <w:vAlign w:val="bottom"/>
          </w:tcPr>
          <w:p>
            <w:pPr>
              <w:spacing w:after="0"/>
              <w:rPr>
                <w:sz w:val="1"/>
                <w:szCs w:val="1"/>
                <w:color w:val="auto"/>
              </w:rPr>
            </w:pPr>
          </w:p>
        </w:tc>
      </w:tr>
      <w:tr>
        <w:trPr>
          <w:trHeight w:val="109"/>
        </w:trPr>
        <w:tc>
          <w:tcPr>
            <w:tcW w:w="2640" w:type="dxa"/>
            <w:vAlign w:val="bottom"/>
            <w:vMerge w:val="continue"/>
            <w:shd w:val="clear" w:color="auto" w:fill="CCEEFF"/>
          </w:tcPr>
          <w:p>
            <w:pPr>
              <w:spacing w:after="0"/>
              <w:rPr>
                <w:sz w:val="9"/>
                <w:szCs w:val="9"/>
                <w:color w:val="auto"/>
              </w:rPr>
            </w:pPr>
          </w:p>
        </w:tc>
        <w:tc>
          <w:tcPr>
            <w:tcW w:w="3820" w:type="dxa"/>
            <w:vAlign w:val="bottom"/>
            <w:vMerge w:val="restart"/>
            <w:shd w:val="clear" w:color="auto" w:fill="CCEEFF"/>
          </w:tcPr>
          <w:p>
            <w:pPr>
              <w:ind w:left="600"/>
              <w:spacing w:after="0" w:line="202" w:lineRule="exact"/>
              <w:rPr>
                <w:sz w:val="20"/>
                <w:szCs w:val="20"/>
                <w:color w:val="auto"/>
              </w:rPr>
            </w:pPr>
            <w:r>
              <w:rPr>
                <w:rFonts w:ascii="Arial" w:cs="Arial" w:eastAsia="Arial" w:hAnsi="Arial"/>
                <w:sz w:val="18"/>
                <w:szCs w:val="18"/>
                <w:color w:val="auto"/>
              </w:rPr>
              <w:t>Alzheimer's disease and other</w:t>
            </w:r>
          </w:p>
        </w:tc>
        <w:tc>
          <w:tcPr>
            <w:tcW w:w="1640" w:type="dxa"/>
            <w:vAlign w:val="bottom"/>
            <w:vMerge w:val="continue"/>
            <w:shd w:val="clear" w:color="auto" w:fill="CCEEFF"/>
          </w:tcPr>
          <w:p>
            <w:pPr>
              <w:spacing w:after="0"/>
              <w:rPr>
                <w:sz w:val="9"/>
                <w:szCs w:val="9"/>
                <w:color w:val="auto"/>
              </w:rPr>
            </w:pPr>
          </w:p>
        </w:tc>
        <w:tc>
          <w:tcPr>
            <w:tcW w:w="1540" w:type="dxa"/>
            <w:vAlign w:val="bottom"/>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640" w:type="dxa"/>
            <w:vAlign w:val="bottom"/>
            <w:shd w:val="clear" w:color="auto" w:fill="CCEEFF"/>
          </w:tcPr>
          <w:p>
            <w:pPr>
              <w:spacing w:after="0"/>
              <w:rPr>
                <w:sz w:val="8"/>
                <w:szCs w:val="8"/>
                <w:color w:val="auto"/>
              </w:rPr>
            </w:pPr>
          </w:p>
        </w:tc>
        <w:tc>
          <w:tcPr>
            <w:tcW w:w="3820" w:type="dxa"/>
            <w:vAlign w:val="bottom"/>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640" w:type="dxa"/>
            <w:vAlign w:val="bottom"/>
            <w:tcBorders>
              <w:bottom w:val="single" w:sz="8" w:color="auto"/>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neurodegenerative diseases</w:t>
            </w:r>
          </w:p>
        </w:tc>
        <w:tc>
          <w:tcPr>
            <w:tcW w:w="16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ImmuNext, Inc.</w:t>
            </w:r>
          </w:p>
        </w:tc>
        <w:tc>
          <w:tcPr>
            <w:tcW w:w="3820" w:type="dxa"/>
            <w:vAlign w:val="bottom"/>
          </w:tcPr>
          <w:p>
            <w:pPr>
              <w:ind w:left="600"/>
              <w:spacing w:after="0"/>
              <w:rPr>
                <w:sz w:val="20"/>
                <w:szCs w:val="20"/>
                <w:color w:val="auto"/>
              </w:rPr>
            </w:pPr>
            <w:r>
              <w:rPr>
                <w:rFonts w:ascii="Arial" w:cs="Arial" w:eastAsia="Arial" w:hAnsi="Arial"/>
                <w:sz w:val="18"/>
                <w:szCs w:val="18"/>
                <w:color w:val="auto"/>
              </w:rPr>
              <w:t>Novel immunometabolism target</w:t>
            </w: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98"/>
              </w:rPr>
              <w:t>March 2019</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40" w:type="dxa"/>
            <w:vAlign w:val="bottom"/>
            <w:shd w:val="clear" w:color="auto" w:fill="CCEEFF"/>
          </w:tcPr>
          <w:p>
            <w:pPr>
              <w:spacing w:after="0"/>
              <w:rPr>
                <w:sz w:val="19"/>
                <w:szCs w:val="19"/>
                <w:color w:val="auto"/>
              </w:rPr>
            </w:pPr>
          </w:p>
        </w:tc>
        <w:tc>
          <w:tcPr>
            <w:tcW w:w="3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Potential new medicines in</w:t>
            </w:r>
          </w:p>
        </w:tc>
        <w:tc>
          <w:tcPr>
            <w:tcW w:w="16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Avidity Biosciences, Inc.</w:t>
            </w:r>
          </w:p>
        </w:tc>
        <w:tc>
          <w:tcPr>
            <w:tcW w:w="38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immunology and other select</w:t>
            </w:r>
          </w:p>
        </w:tc>
        <w:tc>
          <w:tcPr>
            <w:tcW w:w="1640" w:type="dxa"/>
            <w:vAlign w:val="bottom"/>
            <w:shd w:val="clear" w:color="auto" w:fill="CCEEFF"/>
          </w:tcPr>
          <w:p>
            <w:pPr>
              <w:jc w:val="center"/>
              <w:ind w:right="53"/>
              <w:spacing w:after="0" w:line="202" w:lineRule="exact"/>
              <w:rPr>
                <w:sz w:val="20"/>
                <w:szCs w:val="20"/>
                <w:color w:val="auto"/>
              </w:rPr>
            </w:pPr>
            <w:r>
              <w:rPr>
                <w:rFonts w:ascii="Arial" w:cs="Arial" w:eastAsia="Arial" w:hAnsi="Arial"/>
                <w:sz w:val="18"/>
                <w:szCs w:val="18"/>
                <w:color w:val="auto"/>
              </w:rPr>
              <w:t>April 2019</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Pre-clinical</w:t>
            </w:r>
          </w:p>
        </w:tc>
        <w:tc>
          <w:tcPr>
            <w:tcW w:w="36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auto"/>
            </w:tcBorders>
            <w:shd w:val="clear" w:color="auto" w:fill="CCEEFF"/>
          </w:tcPr>
          <w:p>
            <w:pPr>
              <w:spacing w:after="0"/>
              <w:rPr>
                <w:sz w:val="20"/>
                <w:szCs w:val="20"/>
                <w:color w:val="auto"/>
              </w:rPr>
            </w:pPr>
          </w:p>
        </w:tc>
        <w:tc>
          <w:tcPr>
            <w:tcW w:w="3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indications</w:t>
            </w:r>
          </w:p>
        </w:tc>
        <w:tc>
          <w:tcPr>
            <w:tcW w:w="16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26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Sigilon Therapeutics</w:t>
            </w:r>
          </w:p>
        </w:tc>
        <w:tc>
          <w:tcPr>
            <w:tcW w:w="3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Encapsulated cell therapies for the</w:t>
            </w:r>
          </w:p>
        </w:tc>
        <w:tc>
          <w:tcPr>
            <w:tcW w:w="1640" w:type="dxa"/>
            <w:vAlign w:val="bottom"/>
            <w:vMerge w:val="restart"/>
            <w:shd w:val="clear" w:color="auto" w:fill="CCEEFF"/>
          </w:tcPr>
          <w:p>
            <w:pPr>
              <w:jc w:val="center"/>
              <w:ind w:right="53"/>
              <w:spacing w:after="0"/>
              <w:rPr>
                <w:sz w:val="20"/>
                <w:szCs w:val="20"/>
                <w:color w:val="auto"/>
              </w:rPr>
            </w:pPr>
            <w:r>
              <w:rPr>
                <w:rFonts w:ascii="Arial" w:cs="Arial" w:eastAsia="Arial" w:hAnsi="Arial"/>
                <w:sz w:val="18"/>
                <w:szCs w:val="18"/>
                <w:color w:val="auto"/>
              </w:rPr>
              <w:t>April 2018</w:t>
            </w: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109"/>
        </w:trPr>
        <w:tc>
          <w:tcPr>
            <w:tcW w:w="2640" w:type="dxa"/>
            <w:vAlign w:val="bottom"/>
            <w:vMerge w:val="continue"/>
            <w:shd w:val="clear" w:color="auto" w:fill="CCEEFF"/>
          </w:tcPr>
          <w:p>
            <w:pPr>
              <w:spacing w:after="0"/>
              <w:rPr>
                <w:sz w:val="9"/>
                <w:szCs w:val="9"/>
                <w:color w:val="auto"/>
              </w:rPr>
            </w:pPr>
          </w:p>
        </w:tc>
        <w:tc>
          <w:tcPr>
            <w:tcW w:w="38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potential treatment of type 1 diabetes</w:t>
            </w:r>
          </w:p>
        </w:tc>
        <w:tc>
          <w:tcPr>
            <w:tcW w:w="1640" w:type="dxa"/>
            <w:vAlign w:val="bottom"/>
            <w:vMerge w:val="continue"/>
            <w:shd w:val="clear" w:color="auto" w:fill="CCEEFF"/>
          </w:tcPr>
          <w:p>
            <w:pPr>
              <w:spacing w:after="0"/>
              <w:rPr>
                <w:sz w:val="9"/>
                <w:szCs w:val="9"/>
                <w:color w:val="auto"/>
              </w:rPr>
            </w:pPr>
          </w:p>
        </w:tc>
        <w:tc>
          <w:tcPr>
            <w:tcW w:w="154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640" w:type="dxa"/>
            <w:vAlign w:val="bottom"/>
            <w:tcBorders>
              <w:bottom w:val="single" w:sz="8" w:color="auto"/>
            </w:tcBorders>
            <w:shd w:val="clear" w:color="auto" w:fill="CCEEFF"/>
          </w:tcPr>
          <w:p>
            <w:pPr>
              <w:spacing w:after="0"/>
              <w:rPr>
                <w:sz w:val="10"/>
                <w:szCs w:val="10"/>
                <w:color w:val="auto"/>
              </w:rPr>
            </w:pPr>
          </w:p>
        </w:tc>
        <w:tc>
          <w:tcPr>
            <w:tcW w:w="3820" w:type="dxa"/>
            <w:vAlign w:val="bottom"/>
            <w:tcBorders>
              <w:bottom w:val="single" w:sz="8" w:color="auto"/>
            </w:tcBorders>
            <w:vMerge w:val="continue"/>
            <w:shd w:val="clear" w:color="auto" w:fill="CCEEFF"/>
          </w:tcPr>
          <w:p>
            <w:pPr>
              <w:spacing w:after="0"/>
              <w:rPr>
                <w:sz w:val="10"/>
                <w:szCs w:val="10"/>
                <w:color w:val="auto"/>
              </w:rPr>
            </w:pPr>
          </w:p>
        </w:tc>
        <w:tc>
          <w:tcPr>
            <w:tcW w:w="1640" w:type="dxa"/>
            <w:vAlign w:val="bottom"/>
            <w:tcBorders>
              <w:bottom w:val="single" w:sz="8" w:color="auto"/>
            </w:tcBorders>
            <w:shd w:val="clear" w:color="auto" w:fill="CCEEFF"/>
          </w:tcPr>
          <w:p>
            <w:pPr>
              <w:spacing w:after="0"/>
              <w:rPr>
                <w:sz w:val="10"/>
                <w:szCs w:val="10"/>
                <w:color w:val="auto"/>
              </w:rPr>
            </w:pPr>
          </w:p>
        </w:tc>
        <w:tc>
          <w:tcPr>
            <w:tcW w:w="154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4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AurKa Pharma, Inc.</w:t>
            </w:r>
          </w:p>
        </w:tc>
        <w:tc>
          <w:tcPr>
            <w:tcW w:w="3820" w:type="dxa"/>
            <w:vAlign w:val="bottom"/>
          </w:tcPr>
          <w:p>
            <w:pPr>
              <w:ind w:left="600"/>
              <w:spacing w:after="0"/>
              <w:rPr>
                <w:sz w:val="20"/>
                <w:szCs w:val="20"/>
                <w:color w:val="auto"/>
              </w:rPr>
            </w:pPr>
            <w:r>
              <w:rPr>
                <w:rFonts w:ascii="Arial" w:cs="Arial" w:eastAsia="Arial" w:hAnsi="Arial"/>
                <w:sz w:val="18"/>
                <w:szCs w:val="18"/>
                <w:color w:val="auto"/>
              </w:rPr>
              <w:t>AK-01, an Aurora kinase A inhibitor</w:t>
            </w:r>
          </w:p>
        </w:tc>
        <w:tc>
          <w:tcPr>
            <w:tcW w:w="1640" w:type="dxa"/>
            <w:vAlign w:val="bottom"/>
          </w:tcPr>
          <w:p>
            <w:pPr>
              <w:jc w:val="center"/>
              <w:ind w:right="73"/>
              <w:spacing w:after="0"/>
              <w:rPr>
                <w:sz w:val="20"/>
                <w:szCs w:val="20"/>
                <w:color w:val="auto"/>
              </w:rPr>
            </w:pPr>
            <w:r>
              <w:rPr>
                <w:rFonts w:ascii="Arial" w:cs="Arial" w:eastAsia="Arial" w:hAnsi="Arial"/>
                <w:sz w:val="18"/>
                <w:szCs w:val="18"/>
                <w:color w:val="auto"/>
                <w:w w:val="99"/>
              </w:rPr>
              <w:t>June 2018</w:t>
            </w:r>
          </w:p>
        </w:tc>
        <w:tc>
          <w:tcPr>
            <w:tcW w:w="1540" w:type="dxa"/>
            <w:vAlign w:val="bottom"/>
          </w:tcPr>
          <w:p>
            <w:pPr>
              <w:jc w:val="center"/>
              <w:spacing w:after="0"/>
              <w:rPr>
                <w:sz w:val="20"/>
                <w:szCs w:val="20"/>
                <w:color w:val="auto"/>
              </w:rPr>
            </w:pPr>
            <w:r>
              <w:rPr>
                <w:rFonts w:ascii="Arial" w:cs="Arial" w:eastAsia="Arial" w:hAnsi="Arial"/>
                <w:sz w:val="18"/>
                <w:szCs w:val="18"/>
                <w:color w:val="auto"/>
              </w:rPr>
              <w:t>Phase I</w:t>
            </w:r>
          </w:p>
        </w:tc>
        <w:tc>
          <w:tcPr>
            <w:tcW w:w="3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ARMO Biosciences, Inc.</w:t>
            </w:r>
          </w:p>
        </w:tc>
        <w:tc>
          <w:tcPr>
            <w:tcW w:w="3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Cancer therapy - pegilodecakin</w:t>
            </w:r>
          </w:p>
        </w:tc>
        <w:tc>
          <w:tcPr>
            <w:tcW w:w="164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99"/>
              </w:rPr>
              <w:t>June 2018</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Phase III</w:t>
            </w: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 and represents the phase of development of the most advanced asset acquired, where applicable.</w:t>
      </w:r>
    </w:p>
    <w:p>
      <w:pPr>
        <w:spacing w:after="0" w:line="11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April 2019, we announced an agreement to sell the rights in China for two legacy antibiotic medicines, as well as a manufacturing facility in Suzhou, China to Eddingpharm, a China-based specialty pharmaceutical company. Under terms of the agreement, we received a deposit of $75.0 million, and will receive a payment of $300.0 million upon successful closing of the transaction. The transaction is subject to customary closing conditions and regulatory approval.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July 2019, we entered into a license agreement with Centrexion Therapeutics Corporation for CNTX-0290, a novel, small molecule somatostatin receptor type 4 agonist. CNTX-0290 is being studied in phase I clinical testing as a potential non-opioid treatment for chronic pain conditions. Under the terms of the agreement, we acquired worldwide rights for CNTX-0290 for an upfront payment of $47.5 million and success-based milestones and royalties. As a result of the transaction, we will record an acquired IPR&amp;D charge of $47.5 million in the third quarter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3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See Note 2 for amounts of collaboration and other revenue recognized from these types of arrangements.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 Jentadueto, Jardiance, Glyxambi, and Synjardy, as well as our basal insulin, Basaglar.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significant milestones (deferred) capitalized for the compounds included in this collaboration: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40" w:type="dxa"/>
            <w:vAlign w:val="bottom"/>
          </w:tcPr>
          <w:p>
            <w:pPr>
              <w:jc w:val="right"/>
              <w:ind w:right="737"/>
              <w:spacing w:after="0"/>
              <w:rPr>
                <w:sz w:val="20"/>
                <w:szCs w:val="20"/>
                <w:color w:val="auto"/>
              </w:rPr>
            </w:pPr>
            <w:r>
              <w:rPr>
                <w:rFonts w:ascii="Arial" w:cs="Arial" w:eastAsia="Arial" w:hAnsi="Arial"/>
                <w:sz w:val="14"/>
                <w:szCs w:val="14"/>
                <w:b w:val="1"/>
                <w:bCs w:val="1"/>
                <w:color w:val="auto"/>
              </w:rPr>
              <w:t>Milestones</w:t>
            </w:r>
          </w:p>
        </w:tc>
      </w:tr>
      <w:tr>
        <w:trPr>
          <w:trHeight w:val="202"/>
        </w:trPr>
        <w:tc>
          <w:tcPr>
            <w:tcW w:w="612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Product Family</w:t>
            </w:r>
          </w:p>
        </w:tc>
        <w:tc>
          <w:tcPr>
            <w:tcW w:w="3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 xml:space="preserve">(Deferred) Capitalized </w:t>
            </w:r>
            <w:r>
              <w:rPr>
                <w:rFonts w:ascii="Arial" w:cs="Arial" w:eastAsia="Arial" w:hAnsi="Arial"/>
                <w:sz w:val="17"/>
                <w:szCs w:val="17"/>
                <w:b w:val="1"/>
                <w:bCs w:val="1"/>
                <w:color w:val="auto"/>
                <w:vertAlign w:val="superscript"/>
              </w:rPr>
              <w:t>(1)</w:t>
            </w:r>
          </w:p>
        </w:tc>
      </w:tr>
      <w:tr>
        <w:trPr>
          <w:trHeight w:val="264"/>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3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446.4</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3160" w:type="dxa"/>
            <w:vAlign w:val="bottom"/>
          </w:tcPr>
          <w:p>
            <w:pPr>
              <w:spacing w:after="0"/>
              <w:rPr>
                <w:sz w:val="23"/>
                <w:szCs w:val="23"/>
                <w:color w:val="auto"/>
              </w:rPr>
            </w:pPr>
          </w:p>
        </w:tc>
        <w:tc>
          <w:tcPr>
            <w:tcW w:w="2140" w:type="dxa"/>
            <w:vAlign w:val="bottom"/>
          </w:tcPr>
          <w:p>
            <w:pPr>
              <w:jc w:val="right"/>
              <w:ind w:right="17"/>
              <w:spacing w:after="0"/>
              <w:rPr>
                <w:sz w:val="20"/>
                <w:szCs w:val="20"/>
                <w:color w:val="auto"/>
              </w:rPr>
            </w:pPr>
            <w:r>
              <w:rPr>
                <w:rFonts w:ascii="Arial" w:cs="Arial" w:eastAsia="Arial" w:hAnsi="Arial"/>
                <w:sz w:val="18"/>
                <w:szCs w:val="18"/>
                <w:color w:val="auto"/>
              </w:rPr>
              <w:t>289.0</w:t>
            </w:r>
          </w:p>
        </w:tc>
      </w:t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160" w:type="dxa"/>
            <w:vAlign w:val="bottom"/>
            <w:shd w:val="clear" w:color="auto" w:fill="CCEEFF"/>
          </w:tcPr>
          <w:p>
            <w:pPr>
              <w:spacing w:after="0"/>
              <w:rPr>
                <w:sz w:val="23"/>
                <w:szCs w:val="2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329" w:lineRule="exact"/>
        <w:rPr>
          <w:sz w:val="20"/>
          <w:szCs w:val="20"/>
          <w:color w:val="auto"/>
        </w:rPr>
      </w:pPr>
    </w:p>
    <w:p>
      <w:pPr>
        <w:ind w:left="180" w:right="280" w:hanging="172"/>
        <w:spacing w:after="0" w:line="232" w:lineRule="auto"/>
        <w:tabs>
          <w:tab w:leader="none" w:pos="153"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Trajenta and Jardiance, milestone payments made were capitalized as intangible assets and are being amortized to cost of sales through the term of the collaboration. This represents the cumulative amounts that have been (deferred) or capitalized from the start of this collaboration through the end of the reporting period.</w:t>
      </w:r>
    </w:p>
    <w:p>
      <w:pPr>
        <w:spacing w:after="0" w:line="100" w:lineRule="exact"/>
        <w:rPr>
          <w:rFonts w:ascii="Arial" w:cs="Arial" w:eastAsia="Arial" w:hAnsi="Arial"/>
          <w:sz w:val="17"/>
          <w:szCs w:val="17"/>
          <w:color w:val="auto"/>
          <w:vertAlign w:val="superscript"/>
        </w:rPr>
      </w:pPr>
    </w:p>
    <w:p>
      <w:pPr>
        <w:ind w:left="180" w:right="100" w:hanging="172"/>
        <w:spacing w:after="0" w:line="225" w:lineRule="auto"/>
        <w:tabs>
          <w:tab w:leader="none" w:pos="153"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Jentadueto is included in the Trajenta product family. The collaboration agreement with Boehringer Ingelheim for Trajenta ends upon expiration of the compound patent and any supplementary protection certificates or extensions thereto.</w:t>
      </w:r>
    </w:p>
    <w:p>
      <w:pPr>
        <w:spacing w:after="0" w:line="97" w:lineRule="exact"/>
        <w:rPr>
          <w:rFonts w:ascii="Arial" w:cs="Arial" w:eastAsia="Arial" w:hAnsi="Arial"/>
          <w:sz w:val="17"/>
          <w:szCs w:val="17"/>
          <w:color w:val="auto"/>
          <w:vertAlign w:val="superscript"/>
        </w:rPr>
      </w:pPr>
    </w:p>
    <w:p>
      <w:pPr>
        <w:ind w:left="180" w:right="40" w:hanging="172"/>
        <w:spacing w:after="0" w:line="225" w:lineRule="auto"/>
        <w:tabs>
          <w:tab w:leader="none" w:pos="153"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Glyxambi and Synjardy are included in the Jardiance product family. The collaboration agreement with Boehringer Ingelheim for Jardiance ends upon expiration of the compound patent and any supplementary protection certificates or extensions thereto.</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products as collaboration and other revenue. We record our sales of Basaglar to third parties as net product revenue with the payments made to Boehringer Ingelheim for its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molecules it contributes to the collaboration. These performance payments result in the owner of the molecule retaining a greater share of the agreed upon gross margin of that product. Subject to achieving these thresholds, in a given period, our reported revenue for Trajenta and Jardiance may be reduced by any performance payments we make related to these products. Similarly, performance payments we may receive related to Basaglar effectively reduce Boehringer Ingelheim's share of the gross margin, which reduces our cost of sales.</w:t>
      </w:r>
    </w:p>
    <w:p>
      <w:pPr>
        <w:spacing w:after="0" w:line="10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summarizes our net product revenue recognized with respect to Basaglar and collaboration and other revenue recognized with respect to the Trajenta and Jardiance families of products: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center"/>
              <w:ind w:right="21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3"/>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32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322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70"/>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290.7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201.8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542.1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367.8</w:t>
            </w:r>
          </w:p>
        </w:tc>
      </w:tr>
      <w:tr>
        <w:trPr>
          <w:trHeight w:val="263"/>
        </w:trPr>
        <w:tc>
          <w:tcPr>
            <w:tcW w:w="3220" w:type="dxa"/>
            <w:vAlign w:val="bottom"/>
          </w:tcPr>
          <w:p>
            <w:pPr>
              <w:ind w:left="40"/>
              <w:spacing w:after="0"/>
              <w:rPr>
                <w:sz w:val="20"/>
                <w:szCs w:val="20"/>
                <w:color w:val="auto"/>
              </w:rPr>
            </w:pPr>
            <w:r>
              <w:rPr>
                <w:rFonts w:ascii="Arial" w:cs="Arial" w:eastAsia="Arial" w:hAnsi="Arial"/>
                <w:sz w:val="18"/>
                <w:szCs w:val="18"/>
                <w:color w:val="auto"/>
              </w:rPr>
              <w:t>Jardiance</w:t>
            </w:r>
          </w:p>
        </w:tc>
        <w:tc>
          <w:tcPr>
            <w:tcW w:w="2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b w:val="1"/>
                <w:bCs w:val="1"/>
                <w:color w:val="auto"/>
              </w:rPr>
              <w:t>231.9</w:t>
            </w:r>
          </w:p>
        </w:tc>
        <w:tc>
          <w:tcPr>
            <w:tcW w:w="460" w:type="dxa"/>
            <w:vAlign w:val="bottom"/>
          </w:tcPr>
          <w:p>
            <w:pPr>
              <w:spacing w:after="0"/>
              <w:rPr>
                <w:sz w:val="22"/>
                <w:szCs w:val="22"/>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147.2</w:t>
            </w:r>
          </w:p>
        </w:tc>
        <w:tc>
          <w:tcPr>
            <w:tcW w:w="400" w:type="dxa"/>
            <w:vAlign w:val="bottom"/>
          </w:tcPr>
          <w:p>
            <w:pPr>
              <w:spacing w:after="0"/>
              <w:rPr>
                <w:sz w:val="22"/>
                <w:szCs w:val="22"/>
                <w:color w:val="auto"/>
              </w:rPr>
            </w:pPr>
          </w:p>
        </w:tc>
        <w:tc>
          <w:tcPr>
            <w:tcW w:w="980" w:type="dxa"/>
            <w:vAlign w:val="bottom"/>
          </w:tcPr>
          <w:p>
            <w:pPr>
              <w:ind w:left="400"/>
              <w:spacing w:after="0"/>
              <w:rPr>
                <w:sz w:val="20"/>
                <w:szCs w:val="20"/>
                <w:color w:val="auto"/>
              </w:rPr>
            </w:pPr>
            <w:r>
              <w:rPr>
                <w:rFonts w:ascii="Arial" w:cs="Arial" w:eastAsia="Arial" w:hAnsi="Arial"/>
                <w:sz w:val="18"/>
                <w:szCs w:val="18"/>
                <w:b w:val="1"/>
                <w:bCs w:val="1"/>
                <w:color w:val="auto"/>
              </w:rPr>
              <w:t>435.5</w:t>
            </w:r>
          </w:p>
        </w:tc>
        <w:tc>
          <w:tcPr>
            <w:tcW w:w="46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298.2</w:t>
            </w:r>
          </w:p>
        </w:tc>
      </w:tr>
      <w:tr>
        <w:trPr>
          <w:trHeight w:val="27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2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153.9</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141.7</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285.9</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282.8</w:t>
            </w:r>
          </w:p>
        </w:tc>
      </w:tr>
      <w:tr>
        <w:trPr>
          <w:trHeight w:val="675"/>
        </w:trPr>
        <w:tc>
          <w:tcPr>
            <w:tcW w:w="3220" w:type="dxa"/>
            <w:vAlign w:val="bottom"/>
          </w:tcPr>
          <w:p>
            <w:pPr>
              <w:spacing w:after="0"/>
              <w:rPr>
                <w:sz w:val="24"/>
                <w:szCs w:val="24"/>
                <w:color w:val="auto"/>
              </w:rPr>
            </w:pPr>
          </w:p>
        </w:tc>
        <w:tc>
          <w:tcPr>
            <w:tcW w:w="280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Olumiant</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and certain follow-on compounds, for the treatment of inflammatory and autoimmune diseases. Incyte has the right to receive tiered, double-digit royalty payments on future global sales with rates ranging up to 20 percent. The agreement calls for payments by us to Incyte associated with certain development, success-based regulatory, and sales-based milestones.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milestones achieved: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Year</w:t>
            </w:r>
          </w:p>
        </w:tc>
        <w:tc>
          <w:tcPr>
            <w:tcW w:w="472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Event</w:t>
            </w:r>
          </w:p>
        </w:tc>
        <w:tc>
          <w:tcPr>
            <w:tcW w:w="23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Classification</w:t>
            </w:r>
          </w:p>
        </w:tc>
        <w:tc>
          <w:tcPr>
            <w:tcW w:w="10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10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approval in the U.S.</w:t>
            </w:r>
          </w:p>
        </w:tc>
        <w:tc>
          <w:tcPr>
            <w:tcW w:w="2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w:t>
            </w:r>
          </w:p>
        </w:tc>
        <w:tc>
          <w:tcPr>
            <w:tcW w:w="1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1160" w:type="dxa"/>
            <w:vAlign w:val="bottom"/>
          </w:tcPr>
          <w:p>
            <w:pPr>
              <w:jc w:val="right"/>
              <w:ind w:right="634"/>
              <w:spacing w:after="0"/>
              <w:rPr>
                <w:sz w:val="20"/>
                <w:szCs w:val="20"/>
                <w:color w:val="auto"/>
              </w:rPr>
            </w:pPr>
            <w:r>
              <w:rPr>
                <w:rFonts w:ascii="Arial" w:cs="Arial" w:eastAsia="Arial" w:hAnsi="Arial"/>
                <w:sz w:val="18"/>
                <w:szCs w:val="18"/>
                <w:color w:val="auto"/>
              </w:rPr>
              <w:t>2018</w:t>
            </w:r>
          </w:p>
        </w:tc>
        <w:tc>
          <w:tcPr>
            <w:tcW w:w="4720" w:type="dxa"/>
            <w:vAlign w:val="bottom"/>
          </w:tcPr>
          <w:p>
            <w:pPr>
              <w:ind w:left="20"/>
              <w:spacing w:after="0"/>
              <w:rPr>
                <w:sz w:val="20"/>
                <w:szCs w:val="20"/>
                <w:color w:val="auto"/>
              </w:rPr>
            </w:pPr>
            <w:r>
              <w:rPr>
                <w:rFonts w:ascii="Arial" w:cs="Arial" w:eastAsia="Arial" w:hAnsi="Arial"/>
                <w:sz w:val="18"/>
                <w:szCs w:val="18"/>
                <w:color w:val="auto"/>
              </w:rPr>
              <w:t>Began Phase III testing for systemic lupus erythematosus</w:t>
            </w:r>
          </w:p>
        </w:tc>
        <w:tc>
          <w:tcPr>
            <w:tcW w:w="2360" w:type="dxa"/>
            <w:vAlign w:val="bottom"/>
            <w:vMerge w:val="restart"/>
          </w:tcPr>
          <w:p>
            <w:pPr>
              <w:ind w:left="100"/>
              <w:spacing w:after="0"/>
              <w:rPr>
                <w:sz w:val="20"/>
                <w:szCs w:val="20"/>
                <w:color w:val="auto"/>
              </w:rPr>
            </w:pPr>
            <w:r>
              <w:rPr>
                <w:rFonts w:ascii="Arial" w:cs="Arial" w:eastAsia="Arial" w:hAnsi="Arial"/>
                <w:sz w:val="18"/>
                <w:szCs w:val="18"/>
                <w:color w:val="auto"/>
              </w:rPr>
              <w:t>R&amp;D Expense</w:t>
            </w:r>
          </w:p>
        </w:tc>
        <w:tc>
          <w:tcPr>
            <w:tcW w:w="1060" w:type="dxa"/>
            <w:vAlign w:val="bottom"/>
          </w:tcPr>
          <w:p>
            <w:pPr>
              <w:spacing w:after="0"/>
              <w:rPr>
                <w:sz w:val="19"/>
                <w:szCs w:val="19"/>
                <w:color w:val="auto"/>
              </w:rPr>
            </w:pPr>
          </w:p>
        </w:tc>
        <w:tc>
          <w:tcPr>
            <w:tcW w:w="2120" w:type="dxa"/>
            <w:vAlign w:val="bottom"/>
            <w:vMerge w:val="restart"/>
          </w:tcPr>
          <w:p>
            <w:pPr>
              <w:jc w:val="right"/>
              <w:ind w:right="13"/>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4720" w:type="dxa"/>
            <w:vAlign w:val="bottom"/>
            <w:vMerge w:val="restart"/>
          </w:tcPr>
          <w:p>
            <w:pPr>
              <w:ind w:left="20"/>
              <w:spacing w:after="0"/>
              <w:rPr>
                <w:sz w:val="20"/>
                <w:szCs w:val="20"/>
                <w:color w:val="auto"/>
              </w:rPr>
            </w:pPr>
            <w:r>
              <w:rPr>
                <w:rFonts w:ascii="Arial" w:cs="Arial" w:eastAsia="Arial" w:hAnsi="Arial"/>
                <w:sz w:val="18"/>
                <w:szCs w:val="18"/>
                <w:color w:val="auto"/>
              </w:rPr>
              <w:t>(SLE)</w:t>
            </w:r>
          </w:p>
        </w:tc>
        <w:tc>
          <w:tcPr>
            <w:tcW w:w="2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vMerge w:val="continue"/>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approval in Europe</w:t>
            </w:r>
          </w:p>
        </w:tc>
        <w:tc>
          <w:tcPr>
            <w:tcW w:w="2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w:t>
            </w:r>
          </w:p>
        </w:tc>
        <w:tc>
          <w:tcPr>
            <w:tcW w:w="106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50"/>
        </w:trPr>
        <w:tc>
          <w:tcPr>
            <w:tcW w:w="1160" w:type="dxa"/>
            <w:vAlign w:val="bottom"/>
          </w:tcPr>
          <w:p>
            <w:pPr>
              <w:jc w:val="right"/>
              <w:ind w:right="634"/>
              <w:spacing w:after="0"/>
              <w:rPr>
                <w:sz w:val="20"/>
                <w:szCs w:val="20"/>
                <w:color w:val="auto"/>
              </w:rPr>
            </w:pPr>
            <w:r>
              <w:rPr>
                <w:rFonts w:ascii="Arial" w:cs="Arial" w:eastAsia="Arial" w:hAnsi="Arial"/>
                <w:sz w:val="18"/>
                <w:szCs w:val="18"/>
                <w:color w:val="auto"/>
              </w:rPr>
              <w:t>2017</w:t>
            </w:r>
          </w:p>
        </w:tc>
        <w:tc>
          <w:tcPr>
            <w:tcW w:w="4720" w:type="dxa"/>
            <w:vAlign w:val="bottom"/>
          </w:tcPr>
          <w:p>
            <w:pPr>
              <w:ind w:left="20"/>
              <w:spacing w:after="0"/>
              <w:rPr>
                <w:sz w:val="20"/>
                <w:szCs w:val="20"/>
                <w:color w:val="auto"/>
              </w:rPr>
            </w:pPr>
            <w:r>
              <w:rPr>
                <w:rFonts w:ascii="Arial" w:cs="Arial" w:eastAsia="Arial" w:hAnsi="Arial"/>
                <w:sz w:val="18"/>
                <w:szCs w:val="18"/>
                <w:color w:val="auto"/>
              </w:rPr>
              <w:t>Regulatory approval in Japan</w:t>
            </w:r>
          </w:p>
        </w:tc>
        <w:tc>
          <w:tcPr>
            <w:tcW w:w="2360" w:type="dxa"/>
            <w:vAlign w:val="bottom"/>
          </w:tcPr>
          <w:p>
            <w:pPr>
              <w:ind w:left="100"/>
              <w:spacing w:after="0"/>
              <w:rPr>
                <w:sz w:val="20"/>
                <w:szCs w:val="20"/>
                <w:color w:val="auto"/>
              </w:rPr>
            </w:pPr>
            <w:r>
              <w:rPr>
                <w:rFonts w:ascii="Arial" w:cs="Arial" w:eastAsia="Arial" w:hAnsi="Arial"/>
                <w:sz w:val="18"/>
                <w:szCs w:val="18"/>
                <w:color w:val="auto"/>
              </w:rPr>
              <w:t>Intangible asset</w:t>
            </w:r>
          </w:p>
        </w:tc>
        <w:tc>
          <w:tcPr>
            <w:tcW w:w="1060" w:type="dxa"/>
            <w:vAlign w:val="bottom"/>
          </w:tcPr>
          <w:p>
            <w:pPr>
              <w:spacing w:after="0"/>
              <w:rPr>
                <w:sz w:val="21"/>
                <w:szCs w:val="21"/>
                <w:color w:val="auto"/>
              </w:rPr>
            </w:pP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1160" w:type="dxa"/>
            <w:vAlign w:val="bottom"/>
            <w:tcBorders>
              <w:bottom w:val="single" w:sz="8" w:color="auto"/>
            </w:tcBorders>
          </w:tcPr>
          <w:p>
            <w:pPr>
              <w:spacing w:after="0"/>
              <w:rPr>
                <w:sz w:val="23"/>
                <w:szCs w:val="23"/>
                <w:color w:val="auto"/>
              </w:rPr>
            </w:pPr>
          </w:p>
        </w:tc>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Began Phase III testing for atopic dermatitis</w:t>
            </w:r>
          </w:p>
        </w:tc>
        <w:tc>
          <w:tcPr>
            <w:tcW w:w="2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R&amp;D expense</w:t>
            </w:r>
          </w:p>
        </w:tc>
        <w:tc>
          <w:tcPr>
            <w:tcW w:w="106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64"/>
        </w:trPr>
        <w:tc>
          <w:tcPr>
            <w:tcW w:w="116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color w:val="auto"/>
              </w:rPr>
              <w:t>2016</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Regulatory submissions in the U.S. and Europe</w:t>
            </w: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R&amp;D expense</w:t>
            </w:r>
          </w:p>
        </w:tc>
        <w:tc>
          <w:tcPr>
            <w:tcW w:w="10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of June 30, 2019, Incyte is eligible to receive up to $130.0 million of additional payments from us contingent upon certain development and success-based regulatory milestones. Incyte is also eligible to receive up to $150.0 million of potential sales-based milestones.</w:t>
      </w:r>
    </w:p>
    <w:p>
      <w:pPr>
        <w:spacing w:after="0" w:line="8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agreement provided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Incyte previously exercised its option to co-develop Olumiant in rheumatoid arthritis, atopic dermatitis, alopecia areata, and SLE. Incyte opted-out of co-development of all indications as of January 1, 2019. As a result, we will solely fund all future development and pay a lower royalty rate to Incyte on future sales.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product revenue recognized with respect to Olumiant:</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tcPr>
          <w:p>
            <w:pPr>
              <w:jc w:val="center"/>
              <w:ind w:left="124"/>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3"/>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center"/>
              <w:ind w:left="124"/>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102.4</w:t>
            </w:r>
          </w:p>
        </w:tc>
        <w:tc>
          <w:tcPr>
            <w:tcW w:w="8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44.7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184.5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76.9</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As of June 30, 2019, Pfizer is eligible to receive up to $350.0 million in success-based regulatory milestones and up to $1.23 billion in a series of sales-based milestones, contingent upon the commercial success of tanezumab.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Discontinued Operations</w:t>
      </w:r>
    </w:p>
    <w:p>
      <w:pPr>
        <w:spacing w:after="0" w:line="193"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As a result, we have included the financial results of Elanco through March 11, 2019 and have presented Elanco as discontinued operations in our consolidated condensed financial statements for all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9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64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4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left="661"/>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r>
      <w:tr>
        <w:trPr>
          <w:trHeight w:val="264"/>
        </w:trPr>
        <w:tc>
          <w:tcPr>
            <w:tcW w:w="5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770.2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580.0</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1,506.4</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Net income (loss) from discontinued operations</w:t>
            </w:r>
          </w:p>
        </w:tc>
        <w:tc>
          <w:tcPr>
            <w:tcW w:w="960" w:type="dxa"/>
            <w:vAlign w:val="bottom"/>
          </w:tcPr>
          <w:p>
            <w:pPr>
              <w:spacing w:after="0"/>
              <w:rPr>
                <w:sz w:val="22"/>
                <w:szCs w:val="22"/>
                <w:color w:val="auto"/>
              </w:rPr>
            </w:pPr>
          </w:p>
        </w:tc>
        <w:tc>
          <w:tcPr>
            <w:tcW w:w="4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w:t>
            </w:r>
          </w:p>
        </w:tc>
        <w:tc>
          <w:tcPr>
            <w:tcW w:w="40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8"/>
                <w:szCs w:val="18"/>
                <w:b w:val="1"/>
                <w:bCs w:val="1"/>
                <w:color w:val="auto"/>
              </w:rPr>
              <w:t>3,680.5</w:t>
            </w:r>
          </w:p>
        </w:tc>
        <w:tc>
          <w:tcPr>
            <w:tcW w:w="5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21.9</w:t>
            </w: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738" w:right="239" w:bottom="1440" w:gutter="0" w:footer="0" w:header="0"/>
          <w:type w:val="continuous"/>
        </w:sectPr>
      </w:pPr>
    </w:p>
    <w:bookmarkStart w:id="18" w:name="page19"/>
    <w:bookmarkEnd w:id="18"/>
    <w:p>
      <w:pPr>
        <w:ind w:right="80"/>
        <w:spacing w:after="0" w:line="254" w:lineRule="auto"/>
        <w:rPr>
          <w:sz w:val="20"/>
          <w:szCs w:val="20"/>
          <w:color w:val="auto"/>
        </w:rPr>
      </w:pPr>
      <w:r>
        <w:rPr>
          <w:rFonts w:ascii="Arial" w:cs="Arial" w:eastAsia="Arial" w:hAnsi="Arial"/>
          <w:sz w:val="18"/>
          <w:szCs w:val="18"/>
          <w:color w:val="auto"/>
        </w:rPr>
        <w:t>The operating results of Elanco were reported as net income (loss) from discontinued operations in the consolidated condensed statements of operations through March 11, 2019, the date of disposition, and were not material for all periods presented. For the six months ended June 30, 2019, we recognized a gain related to the disposition of approximately $3.7 billion, which was also recorded in net income (loss) from discontinued operations in the consolidated condensed statement of operations.</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the consolidated condensed balance sheet as of December 31, 2018, the assets and liabilities associated with Elanco are classified as assets of discontinued operations and liabilities of discontinued operations, as appropriate. The following table presents the major classes of assets and liabilities from discontinued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1,013.7</w:t>
            </w:r>
          </w:p>
        </w:tc>
      </w:tr>
      <w:tr>
        <w:trPr>
          <w:trHeight w:val="250"/>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1,215.4</w:t>
            </w:r>
          </w:p>
        </w:tc>
      </w:tr>
      <w:tr>
        <w:trPr>
          <w:trHeight w:val="26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2,229.1</w:t>
            </w:r>
          </w:p>
        </w:tc>
      </w:tr>
      <w:tr>
        <w:trPr>
          <w:trHeight w:val="324"/>
        </w:trPr>
        <w:tc>
          <w:tcPr>
            <w:tcW w:w="9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7"/>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2,980.9</w:t>
            </w:r>
          </w:p>
        </w:tc>
      </w:tr>
      <w:tr>
        <w:trPr>
          <w:trHeight w:val="250"/>
        </w:trPr>
        <w:tc>
          <w:tcPr>
            <w:tcW w:w="912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32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2,453.0</w:t>
            </w:r>
          </w:p>
        </w:tc>
      </w:tr>
      <w:tr>
        <w:trPr>
          <w:trHeight w:val="263"/>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923.4</w:t>
            </w:r>
          </w:p>
        </w:tc>
      </w:tr>
      <w:tr>
        <w:trPr>
          <w:trHeight w:val="250"/>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126.8</w:t>
            </w:r>
          </w:p>
        </w:tc>
      </w:tr>
      <w:tr>
        <w:trPr>
          <w:trHeight w:val="26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6,484.1</w:t>
            </w:r>
          </w:p>
        </w:tc>
      </w:tr>
      <w:tr>
        <w:trPr>
          <w:trHeight w:val="324"/>
        </w:trPr>
        <w:tc>
          <w:tcPr>
            <w:tcW w:w="9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6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692.8</w:t>
            </w:r>
          </w:p>
        </w:tc>
      </w:tr>
      <w:tr>
        <w:trPr>
          <w:trHeight w:val="324"/>
        </w:trPr>
        <w:tc>
          <w:tcPr>
            <w:tcW w:w="9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7"/>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2,443.3</w:t>
            </w:r>
          </w:p>
        </w:tc>
      </w:tr>
      <w:tr>
        <w:trPr>
          <w:trHeight w:val="250"/>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299.0</w:t>
            </w:r>
          </w:p>
        </w:tc>
      </w:tr>
      <w:tr>
        <w:trPr>
          <w:trHeight w:val="26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2,742.3</w:t>
            </w:r>
          </w:p>
        </w:tc>
      </w:tr>
    </w:tbl>
    <w:p>
      <w:pPr>
        <w:spacing w:after="0" w:line="200" w:lineRule="exact"/>
        <w:rPr>
          <w:sz w:val="20"/>
          <w:szCs w:val="20"/>
          <w:color w:val="auto"/>
        </w:rPr>
      </w:pPr>
    </w:p>
    <w:p>
      <w:pPr>
        <w:spacing w:after="0" w:line="23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gain related to the disposition of Elanco in the consolidated condensed statement of cash flows includes the operating results of Elanco, which were not material. The net cash flows of our discontinued operations for operating and investing activities were not material for all periods presented.</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entered into a transitional services agreement (TSA) with Elanco that is designed to facilitate the orderly transfer of various services to Elanco. The TSA relates primarily to administrative services, which are generally to be provided over 24 months. This agreement is not material and does not confer upon us the ability to influence the operating and/or financial policies of Elanco subsequent to March 11, 2019, the full disposition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Asset Impairment, Restructuring, and Other Special Charges</w:t>
      </w:r>
    </w:p>
    <w:p>
      <w:pPr>
        <w:spacing w:after="0" w:line="193"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7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427.5</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48.6</w:t>
            </w:r>
          </w:p>
        </w:tc>
      </w:tr>
      <w:tr>
        <w:trPr>
          <w:trHeight w:val="27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423.9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31.3</w:t>
            </w:r>
          </w:p>
        </w:tc>
      </w:tr>
    </w:tbl>
    <w:p>
      <w:pPr>
        <w:spacing w:after="0" w:line="3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severance charges recognized in the second half of 2017 as part of planned restructuring activities were based upon estimates for the number of employees that either lost or were going to lose their then current roles and would ultimately leave the company. During the second quarter of 2018, we determined that more displaced employees than expected were able to find other roles within the company, resulting in a reduction in the actual severance costs incurred.</w:t>
      </w:r>
    </w:p>
    <w:p>
      <w:pPr>
        <w:spacing w:after="0" w:line="9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Asset impairment and other special charges recognized during the six months ended June 30, 2019 consisted of $400.7 million related to the acquisition of Loxo, substantially all of which is associated with the accelerated vesting of Loxo employee equity awards.</w:t>
      </w: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706"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71" w:lineRule="exact"/>
        <w:rPr>
          <w:sz w:val="20"/>
          <w:szCs w:val="20"/>
          <w:color w:val="auto"/>
        </w:rPr>
      </w:pPr>
    </w:p>
    <w:p>
      <w:pPr>
        <w:ind w:left="660" w:right="3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142"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147"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14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review equity investments other than public equity investments for indications of impairment and observable price changes on a regular basis.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9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June 30, 2019, we had outstanding foreign currency forward commitments to purchase 605.3 million U.S. dollars and sell 535.9 million euro, commitments to purchase 1.14 billion euro and sell 1.28 billion U.S. dollars, commitments to purchase 279.4 million U.S. dollars and sell 30.22 billion Japanese yen, and commitments to purchase 237.6 million British pounds and sell 299.7 million U.S. dollars, which will all settle within 30 days.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76" w:right="279" w:bottom="1440" w:gutter="0" w:footer="0" w:header="0"/>
        </w:sectPr>
      </w:pPr>
    </w:p>
    <w:bookmarkStart w:id="20" w:name="page21"/>
    <w:bookmarkEnd w:id="20"/>
    <w:p>
      <w:pPr>
        <w:ind w:right="6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$3.38 billion and $3.40 billion as of June 30, 2019 and December 31, 2018, respectively, of which $2.36 billion and $2.38 billion have been designated as, and are effective as, economic hedges of net investments in certain of our euro-denominated foreign operations as of June 30, 2019 and December 31, 2018, respectively. At June 30, 2019, we had outstanding cross currency swaps with notional amounts of $1.93 billion swapping U.S. dollars to euro, $1.00 billion swapping Swiss francs to U.S. dollars, and $143.0 million swapping U.S. dollars to British pounds, which have settlement dates ranging through 2028. Our cross-currency interest rate swaps, for which a majority convert a portion of our U.S. dollar-denominated floating rate debt to foreign-denominated floating rate debt, have also been designated as, and are effective as, economic hedges of net investments.</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20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June 30, 2019, substantially all of our total long-term debt is at a fixed rate. We have converted approximately 15 percent of our long-term fixed-rate notes to floating rates through the use of interest rate swaps.</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and upon completion of a debt issuance and termination of the swap, is amortized to interest expense over the life of the underlying debt.</w:t>
      </w:r>
    </w:p>
    <w:p>
      <w:pPr>
        <w:spacing w:after="0" w:line="20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February 2019, we issued $1.15 billion of 3.38 percent fixed-rate notes due in March 2029, $ 850.0 million of 3.88 percent fixed-rate notes due in March 2039, $1.50 billion of 3.95 percent fixed-rate notes due in March 2049, and $1.00 billion of 4.15 percent fixed-rate notes due in March 2059, with interest to be paid semi-annually. We used the net proceeds of $4.45 billion from the sale of these notes to fund the acquisition of Loxo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06"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7"/>
              <w:spacing w:after="0"/>
              <w:rPr>
                <w:sz w:val="20"/>
                <w:szCs w:val="20"/>
                <w:color w:val="auto"/>
              </w:rPr>
            </w:pPr>
            <w:r>
              <w:rPr>
                <w:rFonts w:ascii="Arial" w:cs="Arial" w:eastAsia="Arial" w:hAnsi="Arial"/>
                <w:sz w:val="18"/>
                <w:szCs w:val="18"/>
                <w:b w:val="1"/>
                <w:bCs w:val="1"/>
                <w:color w:val="auto"/>
              </w:rPr>
              <w:t>59.3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7"/>
              <w:spacing w:after="0"/>
              <w:rPr>
                <w:sz w:val="20"/>
                <w:szCs w:val="20"/>
                <w:color w:val="auto"/>
              </w:rPr>
            </w:pPr>
            <w:r>
              <w:rPr>
                <w:rFonts w:ascii="Arial" w:cs="Arial" w:eastAsia="Arial" w:hAnsi="Arial"/>
                <w:sz w:val="18"/>
                <w:szCs w:val="18"/>
                <w:b w:val="1"/>
                <w:bCs w:val="1"/>
                <w:color w:val="auto"/>
              </w:rPr>
              <w:t>98.5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7"/>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(59.3)</w:t>
            </w: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(98.5)</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24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4.0</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7.8</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6940" w:type="dxa"/>
            <w:vAlign w:val="bottom"/>
          </w:tcPr>
          <w:p>
            <w:pPr>
              <w:ind w:left="40"/>
              <w:spacing w:after="0"/>
              <w:rPr>
                <w:sz w:val="20"/>
                <w:szCs w:val="20"/>
                <w:color w:val="auto"/>
              </w:rPr>
            </w:pPr>
            <w:r>
              <w:rPr>
                <w:rFonts w:ascii="Arial" w:cs="Arial" w:eastAsia="Arial" w:hAnsi="Arial"/>
                <w:sz w:val="18"/>
                <w:szCs w:val="18"/>
                <w:color w:val="auto"/>
              </w:rPr>
              <w:t>Net (gains) losses on foreign currency exchange contracts not designated as hedging</w:t>
            </w:r>
          </w:p>
        </w:tc>
        <w:tc>
          <w:tcPr>
            <w:tcW w:w="240" w:type="dxa"/>
            <w:vAlign w:val="bottom"/>
          </w:tcPr>
          <w:p>
            <w:pPr>
              <w:spacing w:after="0"/>
              <w:rPr>
                <w:sz w:val="19"/>
                <w:szCs w:val="19"/>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(8.5)</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40.4</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instruments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59.1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62.8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48.2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540"/>
        <w:spacing w:after="0" w:line="262" w:lineRule="auto"/>
        <w:rPr>
          <w:sz w:val="20"/>
          <w:szCs w:val="20"/>
          <w:color w:val="auto"/>
        </w:rPr>
      </w:pPr>
      <w:r>
        <w:rPr>
          <w:rFonts w:ascii="Arial" w:cs="Arial" w:eastAsia="Arial" w:hAnsi="Arial"/>
          <w:sz w:val="18"/>
          <w:szCs w:val="18"/>
          <w:color w:val="auto"/>
        </w:rPr>
        <w:t>During the three and six months ended June 30, 2019 and 2018, the amortization of losses related to the portion of our risk management hedging instruments, fair value hedges, and cash flow hedges that was excluded from the assessment of effectiveness was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8"/>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3"/>
        </w:trPr>
        <w:tc>
          <w:tcPr>
            <w:tcW w:w="694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(30.4)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208.5</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23.3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100.8</w:t>
            </w:r>
          </w:p>
        </w:tc>
      </w:tr>
      <w:tr>
        <w:trPr>
          <w:trHeight w:val="277"/>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(4.3)</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69.1</w:t>
            </w: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34.0</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37.6</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(11.7)</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tcPr>
          <w:p>
            <w:pPr>
              <w:ind w:left="24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tcPr>
          <w:p>
            <w:pPr>
              <w:spacing w:after="0"/>
              <w:rPr>
                <w:sz w:val="22"/>
                <w:szCs w:val="22"/>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(7.4)</w:t>
            </w:r>
          </w:p>
        </w:tc>
        <w:tc>
          <w:tcPr>
            <w:tcW w:w="36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(37.5)</w:t>
            </w:r>
          </w:p>
        </w:tc>
        <w:tc>
          <w:tcPr>
            <w:tcW w:w="36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During the next 12 months, we expect to reclassify $16.2 million of pretax net losses on cash flow hedges from accumulated other comprehensive loss to other–net, (income) expense. During the three and six months ended June 30, 2019, the amounts excluded from the assessment of hedge effectiveness recognized in other comprehensive income (loss) were not material.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2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tables summarize certain fair value information at June 30, 2019 and December 31, 2018 for assets and liabilities measured at fair value on a recurring basis, as well as the carrying amount and amortized cost of certain other investments: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2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6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3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982.1</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982.1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982.1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982.1</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3.9</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3.9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72.4</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72.3</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72.4</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72.4</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1.4</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1.4</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77.7</w:t>
            </w:r>
          </w:p>
        </w:tc>
        <w:tc>
          <w:tcPr>
            <w:tcW w:w="3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82.3</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82.3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82.3</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411.2</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408.0</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411.2</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411.2</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95.1</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94.4</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95.1</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95.1</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33.3</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33.0</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33.3</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33.3</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82.1</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40.0</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82.1</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82.1</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466.5</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228.0</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466.5</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466.5</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398.6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283.6</w:t>
            </w:r>
          </w:p>
        </w:tc>
        <w:tc>
          <w:tcPr>
            <w:tcW w:w="3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1,852.7</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5,727.1</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5,727.1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5,727.1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5,727.1</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16.9</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62.2</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62.6</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62.2</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7.6</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w:t>
            </w:r>
          </w:p>
        </w:tc>
        <w:tc>
          <w:tcPr>
            <w:tcW w:w="3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88.2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149.1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153.6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149.1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568.0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587.8</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568.0</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568.0</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111.4</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114.5</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111.4</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27.7</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27.9</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27.7</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87.8</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29.7</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87.8</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357.5</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238.3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357.5</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Pr>
          <w:p>
            <w:pPr>
              <w:ind w:left="180"/>
              <w:spacing w:after="0" w:line="219"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414.7</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289.2</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780" w:type="dxa"/>
            <w:vAlign w:val="bottom"/>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2,005.4</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For available-for-sale debt securities, amounts disclosed represent the securities' amortized cost.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Fair value disclosures are not applicable for equity method investments and investments accounted for under the measurement alternative for equity investments.</w:t>
      </w:r>
    </w:p>
    <w:p>
      <w:pPr>
        <w:sectPr>
          <w:pgSz w:w="11900" w:h="16838" w:orient="portrait"/>
          <w:cols w:equalWidth="0" w:num="1">
            <w:col w:w="11420"/>
          </w:cols>
          <w:pgMar w:left="240" w:top="742"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742" w:right="2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75"/>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Unobservable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Inputs</w:t>
            </w:r>
          </w:p>
        </w:tc>
        <w:tc>
          <w:tcPr>
            <w:tcW w:w="38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Fair</w:t>
            </w:r>
          </w:p>
        </w:tc>
      </w:tr>
      <w:tr>
        <w:trPr>
          <w:trHeight w:val="196"/>
        </w:trPr>
        <w:tc>
          <w:tcPr>
            <w:tcW w:w="3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Value</w:t>
            </w: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June 30, 2019</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(2,058.3)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b w:val="1"/>
                <w:bCs w:val="1"/>
                <w:color w:val="auto"/>
              </w:rPr>
              <w:t>(2,049.8)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(2,049.8)</w:t>
            </w: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(498.9)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(497.6)</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(13,727.9)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(14,833.0)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(14,833.0)</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620" w:type="dxa"/>
            <w:vAlign w:val="bottom"/>
          </w:tcPr>
          <w:p>
            <w:pPr>
              <w:spacing w:after="0"/>
              <w:rPr>
                <w:sz w:val="22"/>
                <w:szCs w:val="22"/>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(9,799.7)</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(9,970.0)</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(9,970.0)</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2"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gridSpan w:val="6"/>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980" w:type="dxa"/>
            <w:vAlign w:val="bottom"/>
          </w:tcPr>
          <w:p>
            <w:pPr>
              <w:spacing w:after="0"/>
              <w:rPr>
                <w:sz w:val="17"/>
                <w:szCs w:val="17"/>
                <w:color w:val="auto"/>
              </w:rPr>
            </w:pPr>
          </w:p>
        </w:tc>
      </w:tr>
      <w:tr>
        <w:trPr>
          <w:trHeight w:val="175"/>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Significant</w:t>
            </w: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Unobservable</w:t>
            </w: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4"/>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Inputs</w:t>
            </w: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Fair</w:t>
            </w:r>
          </w:p>
        </w:tc>
      </w:tr>
      <w:tr>
        <w:trPr>
          <w:trHeight w:val="196"/>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rPr>
              <w:t>(Level 3)</w:t>
            </w: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Value</w:t>
            </w: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2019</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82.4</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82.4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   $</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82.4</w:t>
            </w: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16.9</w:t>
            </w:r>
          </w:p>
        </w:tc>
        <w:tc>
          <w:tcPr>
            <w:tcW w:w="240" w:type="dxa"/>
            <w:vAlign w:val="bottom"/>
          </w:tcPr>
          <w:p>
            <w:pPr>
              <w:spacing w:after="0"/>
              <w:rPr>
                <w:sz w:val="22"/>
                <w:szCs w:val="22"/>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16.9</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26.4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26.4</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26.4</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(3.6)</w:t>
            </w:r>
          </w:p>
        </w:tc>
        <w:tc>
          <w:tcPr>
            <w:tcW w:w="240" w:type="dxa"/>
            <w:vAlign w:val="bottom"/>
          </w:tcPr>
          <w:p>
            <w:pPr>
              <w:spacing w:after="0"/>
              <w:rPr>
                <w:sz w:val="22"/>
                <w:szCs w:val="22"/>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cash flow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(19.0)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(19.0)</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17.6</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17.6</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17.6</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(11.7)</w:t>
            </w:r>
          </w:p>
        </w:tc>
        <w:tc>
          <w:tcPr>
            <w:tcW w:w="240" w:type="dxa"/>
            <w:vAlign w:val="bottom"/>
          </w:tcPr>
          <w:p>
            <w:pPr>
              <w:spacing w:after="0"/>
              <w:rPr>
                <w:sz w:val="22"/>
                <w:szCs w:val="22"/>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331"/>
        </w:trPr>
        <w:tc>
          <w:tcPr>
            <w:tcW w:w="4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22"/>
                <w:szCs w:val="22"/>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69.2</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2"/>
                <w:szCs w:val="22"/>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not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designated as 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r>
      <w:tr>
        <w:trPr>
          <w:trHeight w:val="257"/>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2"/>
                <w:szCs w:val="22"/>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r>
    </w:tbl>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10" w:right="239" w:bottom="1440" w:gutter="0" w:footer="0" w:header="0"/>
        </w:sectPr>
      </w:pPr>
    </w:p>
    <w:bookmarkStart w:id="25" w:name="page26"/>
    <w:bookmarkEnd w:id="25"/>
    <w:p>
      <w:pPr>
        <w:ind w:right="160"/>
        <w:spacing w:after="0" w:line="253"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equity method investments and investments measured under the measurement alternative for equity investments that do not have readily determinable fair values are not readily available.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June 30,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5"/>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5"/>
                <w:szCs w:val="15"/>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1-5</w:t>
            </w: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698.3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76.3</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447.1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113.5</w:t>
            </w:r>
          </w:p>
        </w:tc>
      </w:tr>
    </w:tbl>
    <w:p>
      <w:pPr>
        <w:spacing w:after="0" w:line="32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net unrealized gains recognized in our consolidated condensed statements of operations for equity securities were $6.3 million and $156.0 million for the three and six months ended June 30, 2019, respectively, and $20.8 million and $38.6 million for the three and six months ended June 30, 2018, respectively.</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during the three and six months ended June 30, 2019 and 2018 were not material.</w:t>
      </w:r>
    </w:p>
    <w:p>
      <w:pPr>
        <w:spacing w:after="0" w:line="9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98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b w:val="1"/>
                <w:bCs w:val="1"/>
                <w:color w:val="auto"/>
              </w:rPr>
              <w:t>4.1</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29.0</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9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441.9</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84.3</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98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b w:val="1"/>
                <w:bCs w:val="1"/>
                <w:color w:val="auto"/>
              </w:rPr>
              <w:t>255.8</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858.6</w:t>
            </w:r>
          </w:p>
        </w:tc>
      </w:tr>
    </w:tbl>
    <w:p>
      <w:pPr>
        <w:spacing w:after="0" w:line="33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periodically assess our investment in available-for-sale securities for other-than-temporary impairment losses. Other than temporary impairment losses were not material in the three and six months ended June 30, 2019. There were no other-than-temporary impairment losses in the three or six months ended June 30, 2018.</w:t>
      </w:r>
    </w:p>
    <w:p>
      <w:pPr>
        <w:spacing w:after="0" w:line="9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debt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June 30, 2019, the available-for-sale securities in an unrealized loss position include primarily fixed-rate debt securities of varying maturities, which are sensitive to changes in the yield curve and other market conditions. Approximately 40 percent of the fixed-rate debt securities in a loss position are investment-grade debt securities. As of June 30, 2019,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Activity related to our investment portfolio, substantially all of which related to equity and available-for-sale securities,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362.9</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4,953.8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456.6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5,546.4</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13.0</w:t>
            </w:r>
          </w:p>
        </w:tc>
        <w:tc>
          <w:tcPr>
            <w:tcW w:w="40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15.5</w:t>
            </w:r>
          </w:p>
        </w:tc>
        <w:tc>
          <w:tcPr>
            <w:tcW w:w="38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7.7</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6.4</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47.4</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6.8</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49.0</w:t>
            </w:r>
          </w:p>
        </w:tc>
      </w:tr>
    </w:tbl>
    <w:p>
      <w:pPr>
        <w:spacing w:after="0" w:line="32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$696.4 million and $ 696.2 million of accounts receivable as of June 30, 2019 and December 31, 2018, respectively, under these factoring arrangements. The costs of factoring such accounts receivable on our consolidated condensed results of operations for the three and six months ended June 30, 2019 and 2018 were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301"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We determine if an arrangement is a lease at inception. We have leases with terms up to 13 years for corporate offices, research and development facilities, vehicles, and equipment, including some of which have options to extend and/or early-terminate the leases. We determine the lease term by assuming the exercise of any renewal and/or early-termination options that are reasonably assured.</w:t>
      </w:r>
    </w:p>
    <w:p>
      <w:pPr>
        <w:spacing w:after="0" w:line="2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Beginning January 1, 2019, operating lease right-of-use assets have been presented in operating lease assets in our consolidated condensed balance sheet, and the current and long-term portions of operating lease liabilities are included in other current liabilities and noncurrent operating lease liabilities, respectively, in our consolidated condensed balance sheet. Short-term leases, which are deemed at inception to have a lease term of 12 months or less, are not recorded on the consolidated condensed balance sheet.</w:t>
      </w:r>
    </w:p>
    <w:p>
      <w:pPr>
        <w:spacing w:after="0" w:line="2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Operating lease assets represent our right to use an underlying asset for the lease term and operating lease liabilities represent our obligation to make lease payments arising from the lease. Operating lease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Lease expense for operating lease assets, which is recognized on a straight-line basis over the lease term, was $34.0 million and $66.1 million, respectively, for the three and six months ended June 30, 2019. Variable lease payments, which represent non-lease components such as maintenance, insurance and taxes, and which vary due to changes in facts or circumstances occurring after the commencement date other than the passage of time, are expensed in the period in which the payment obligation is incurred and were not material during the three and six months ended June 30, 2019. Short-term lease expense was not material during the three and six months ended June 30, 2019.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as of June 30, 2019 was as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w:t>
            </w:r>
          </w:p>
        </w:tc>
        <w:tc>
          <w:tcPr>
            <w:tcW w:w="70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 years</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7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581"/>
        </w:trPr>
        <w:tc>
          <w:tcPr>
            <w:tcW w:w="4420" w:type="dxa"/>
            <w:vAlign w:val="bottom"/>
          </w:tcPr>
          <w:p>
            <w:pPr>
              <w:spacing w:after="0"/>
              <w:rPr>
                <w:sz w:val="24"/>
                <w:szCs w:val="24"/>
                <w:color w:val="auto"/>
              </w:rPr>
            </w:pPr>
          </w:p>
        </w:tc>
        <w:tc>
          <w:tcPr>
            <w:tcW w:w="7000" w:type="dxa"/>
            <w:vAlign w:val="bottom"/>
          </w:tcPr>
          <w:p>
            <w:pPr>
              <w:jc w:val="right"/>
              <w:ind w:right="551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70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Supplemental cash flow information related to operating leases for the six months ended June 30, 2019 was as follows: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108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0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662"/>
        </w:trPr>
        <w:tc>
          <w:tcPr>
            <w:tcW w:w="8780" w:type="dxa"/>
            <w:vAlign w:val="bottom"/>
          </w:tcPr>
          <w:p>
            <w:pPr>
              <w:spacing w:after="0"/>
              <w:rPr>
                <w:sz w:val="20"/>
                <w:szCs w:val="20"/>
                <w:color w:val="auto"/>
              </w:rPr>
            </w:pPr>
            <w:r>
              <w:rPr>
                <w:rFonts w:ascii="Arial" w:cs="Arial" w:eastAsia="Arial" w:hAnsi="Arial"/>
                <w:sz w:val="18"/>
                <w:szCs w:val="18"/>
                <w:color w:val="auto"/>
              </w:rPr>
              <w:t>The annual minimum lease payments of our operating lease liabilities as of June 30, 2019 were as follows:</w:t>
            </w: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59"/>
        </w:trPr>
        <w:tc>
          <w:tcPr>
            <w:tcW w:w="87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5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1</w:t>
            </w:r>
          </w:p>
        </w:tc>
        <w:tc>
          <w:tcPr>
            <w:tcW w:w="10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Year 2</w:t>
            </w:r>
          </w:p>
        </w:tc>
        <w:tc>
          <w:tcPr>
            <w:tcW w:w="10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113.9</w:t>
            </w:r>
          </w:p>
        </w:tc>
      </w:tr>
      <w:tr>
        <w:trPr>
          <w:trHeight w:val="263"/>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3</w:t>
            </w: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Year 4</w:t>
            </w:r>
          </w:p>
        </w:tc>
        <w:tc>
          <w:tcPr>
            <w:tcW w:w="10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67.6</w:t>
            </w:r>
          </w:p>
        </w:tc>
      </w:tr>
      <w:tr>
        <w:trPr>
          <w:trHeight w:val="263"/>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5</w:t>
            </w: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250"/>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After Year 5</w:t>
            </w:r>
          </w:p>
        </w:tc>
        <w:tc>
          <w:tcPr>
            <w:tcW w:w="10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276.6</w:t>
            </w:r>
          </w:p>
        </w:tc>
      </w:tr>
      <w:tr>
        <w:trPr>
          <w:trHeight w:val="25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729.6</w:t>
            </w:r>
          </w:p>
        </w:tc>
      </w:tr>
      <w:tr>
        <w:trPr>
          <w:trHeight w:val="250"/>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10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r>
      <w:tr>
        <w:trPr>
          <w:trHeight w:val="26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621.6</w:t>
            </w:r>
          </w:p>
        </w:tc>
      </w:tr>
    </w:tbl>
    <w:p>
      <w:pPr>
        <w:spacing w:after="0" w:line="200" w:lineRule="exact"/>
        <w:rPr>
          <w:sz w:val="20"/>
          <w:szCs w:val="20"/>
          <w:color w:val="auto"/>
        </w:rPr>
      </w:pPr>
    </w:p>
    <w:p>
      <w:pPr>
        <w:spacing w:after="0" w:line="23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Finance leases are included in property and equipment, short-term borrowings and current maturities of long-term debt, and long-term debt in our consolidated condensed balance sheets. Finance leases are not material to our consolidated condensed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9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effective tax rates were 9.5 percent and 14.1 percent for the three and six months ended June 30, 2019, respectively. The effective tax rate for the three months ended June 30, 2019 reflects a net discrete tax benefit resulting from the resolution of certain global income tax audits. The effective tax rate for the six months ended June 30, 2019 reflects the non-deductibility of accelerated vesting of Loxo employee equity awards as part of the closing of the acquisition of Loxo, tax expenses associated with the suspension of promotion of Lartruvo</w:t>
      </w:r>
      <w:r>
        <w:rPr>
          <w:rFonts w:ascii="Arial" w:cs="Arial" w:eastAsia="Arial" w:hAnsi="Arial"/>
          <w:sz w:val="21"/>
          <w:szCs w:val="21"/>
          <w:color w:val="auto"/>
          <w:vertAlign w:val="superscript"/>
        </w:rPr>
        <w:t>®</w:t>
      </w:r>
      <w:r>
        <w:rPr>
          <w:rFonts w:ascii="Arial" w:cs="Arial" w:eastAsia="Arial" w:hAnsi="Arial"/>
          <w:sz w:val="18"/>
          <w:szCs w:val="18"/>
          <w:color w:val="auto"/>
        </w:rPr>
        <w:t>, as well as the net discrete tax benefit resulting from the resolution of certain global income tax audits. During the three months ended June 30, 2018, we incurred $273.3 million of income tax expense, despite earning $41.7 million of income before income taxes, as a result of the non-deductible acquired IPR&amp;D charges totaling $1.56 billion related to the acquisitions of ARMO and AurKa. The effective tax rate for the six months ended June 30, 2018 was 33.5 percent as it also reflected these non-deductible charges.</w:t>
      </w:r>
    </w:p>
    <w:p>
      <w:pPr>
        <w:spacing w:after="0" w:line="212"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In 2017, the U.S. enacted the Tax Cuts and Jobs Act (2017 Tax Act), which significantly revised U.S. tax law. Guidance related to the 2017 Tax Act, including Notices, Proposed Regulations, and Final Regulations, has been issued, and we expect additional guidance will be issued in the second half of 2019. This additional guidance could materially impact our assumptions and estimates used to record our U.S. federal and state income tax expense resulting from the 2017 Tax Act.</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U.S. examination of tax years 2013-2015 began in 2016, and certain matters were effectively settled during the second quarter of 2019. As a result, our gross uncertain tax positions were reduced by approximately $200 million, we made a cash payment of approximately $125 million, and our consolidated condensed results of operations were benefited by an immaterial reduction in tax expense for three and six months ended June 30, 2019. The examination for tax year 2015 remains ongoing, and we believe it is reasonably possible that this examination could reach conclusion within the next 12 months. We currently estimate that gross uncertain tax positions may be reduced up to $100 million within the next 12 months.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3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10: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center"/>
              <w:ind w:right="273"/>
              <w:spacing w:after="0"/>
              <w:rPr>
                <w:sz w:val="20"/>
                <w:szCs w:val="20"/>
                <w:color w:val="auto"/>
              </w:rPr>
            </w:pPr>
            <w:r>
              <w:rPr>
                <w:rFonts w:ascii="Arial" w:cs="Arial" w:eastAsia="Arial" w:hAnsi="Arial"/>
                <w:sz w:val="14"/>
                <w:szCs w:val="14"/>
                <w:b w:val="1"/>
                <w:bCs w:val="1"/>
                <w:color w:val="auto"/>
              </w:rPr>
              <w:t>Defined Benefit Pension Plans</w:t>
            </w:r>
          </w:p>
        </w:tc>
        <w:tc>
          <w:tcPr>
            <w:tcW w:w="3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center"/>
              <w:ind w:right="193"/>
              <w:spacing w:after="0"/>
              <w:rPr>
                <w:sz w:val="20"/>
                <w:szCs w:val="20"/>
                <w:color w:val="auto"/>
              </w:rPr>
            </w:pPr>
            <w:r>
              <w:rPr>
                <w:rFonts w:ascii="Arial" w:cs="Arial" w:eastAsia="Arial" w:hAnsi="Arial"/>
                <w:sz w:val="14"/>
                <w:szCs w:val="14"/>
                <w:b w:val="1"/>
                <w:bCs w:val="1"/>
                <w:color w:val="auto"/>
              </w:rPr>
              <w:t>Defined Benefit Pension Plans</w:t>
            </w:r>
          </w:p>
        </w:tc>
      </w:tr>
      <w:tr>
        <w:trPr>
          <w:trHeight w:val="175"/>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3"/>
          </w:tcPr>
          <w:p>
            <w:pPr>
              <w:jc w:val="center"/>
              <w:ind w:right="253"/>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840" w:type="dxa"/>
            <w:vAlign w:val="bottom"/>
            <w:gridSpan w:val="2"/>
          </w:tcPr>
          <w:p>
            <w:pPr>
              <w:jc w:val="center"/>
              <w:ind w:left="517"/>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5"/>
                <w:szCs w:val="15"/>
                <w:color w:val="auto"/>
              </w:rPr>
            </w:pPr>
          </w:p>
        </w:tc>
      </w:tr>
      <w:tr>
        <w:trPr>
          <w:trHeight w:val="196"/>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left="697"/>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left="53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63.5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74.9</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125.4</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152.5</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122.6</w:t>
            </w: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111.4</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243.3</w:t>
            </w: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223.3</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(210.1)</w:t>
            </w:r>
          </w:p>
        </w:tc>
        <w:tc>
          <w:tcPr>
            <w:tcW w:w="48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(210.0)</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(421.2)</w:t>
            </w:r>
          </w:p>
        </w:tc>
        <w:tc>
          <w:tcPr>
            <w:tcW w:w="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(420.9)</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1.5</w:t>
            </w: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3.0</w:t>
            </w: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73.1</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91.1</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142.7</w:t>
            </w: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181.1</w:t>
            </w:r>
          </w:p>
        </w:tc>
      </w:tr>
      <w:tr>
        <w:trPr>
          <w:trHeight w:val="27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50.6</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68.7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93.2</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138.4</w:t>
            </w:r>
          </w:p>
        </w:tc>
      </w:tr>
      <w:tr>
        <w:trPr>
          <w:trHeight w:val="723"/>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center"/>
              <w:ind w:right="273"/>
              <w:spacing w:after="0"/>
              <w:rPr>
                <w:sz w:val="20"/>
                <w:szCs w:val="20"/>
                <w:color w:val="auto"/>
              </w:rPr>
            </w:pPr>
            <w:r>
              <w:rPr>
                <w:rFonts w:ascii="Arial" w:cs="Arial" w:eastAsia="Arial" w:hAnsi="Arial"/>
                <w:sz w:val="14"/>
                <w:szCs w:val="14"/>
                <w:b w:val="1"/>
                <w:bCs w:val="1"/>
                <w:color w:val="auto"/>
              </w:rPr>
              <w:t>Retiree Health Benefit Plans</w:t>
            </w:r>
          </w:p>
        </w:tc>
        <w:tc>
          <w:tcPr>
            <w:tcW w:w="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center"/>
              <w:ind w:right="193"/>
              <w:spacing w:after="0"/>
              <w:rPr>
                <w:sz w:val="20"/>
                <w:szCs w:val="20"/>
                <w:color w:val="auto"/>
              </w:rPr>
            </w:pPr>
            <w:r>
              <w:rPr>
                <w:rFonts w:ascii="Arial" w:cs="Arial" w:eastAsia="Arial" w:hAnsi="Arial"/>
                <w:sz w:val="14"/>
                <w:szCs w:val="14"/>
                <w:b w:val="1"/>
                <w:bCs w:val="1"/>
                <w:color w:val="auto"/>
              </w:rPr>
              <w:t>Retiree Health Benefit Plans</w:t>
            </w:r>
          </w:p>
        </w:tc>
      </w:tr>
      <w:tr>
        <w:trPr>
          <w:trHeight w:val="175"/>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3"/>
          </w:tcPr>
          <w:p>
            <w:pPr>
              <w:jc w:val="center"/>
              <w:ind w:right="253"/>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840" w:type="dxa"/>
            <w:vAlign w:val="bottom"/>
            <w:gridSpan w:val="2"/>
          </w:tcPr>
          <w:p>
            <w:pPr>
              <w:jc w:val="center"/>
              <w:ind w:left="517"/>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5"/>
                <w:szCs w:val="15"/>
                <w:color w:val="auto"/>
              </w:rPr>
            </w:pPr>
          </w:p>
        </w:tc>
      </w:tr>
      <w:tr>
        <w:trPr>
          <w:trHeight w:val="196"/>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left="697"/>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left="53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9.4</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10.9</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18.2</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21.6</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14.4</w:t>
            </w: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13.5</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29.0</w:t>
            </w: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48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(43.9)</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(71.9)</w:t>
            </w:r>
          </w:p>
        </w:tc>
        <w:tc>
          <w:tcPr>
            <w:tcW w:w="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(87.8)</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0.4</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0.9</w:t>
            </w: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w:t>
            </w:r>
          </w:p>
        </w:tc>
      </w:tr>
      <w:tr>
        <w:trPr>
          <w:trHeight w:val="27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bl>
    <w:p>
      <w:pPr>
        <w:spacing w:after="0" w:line="200" w:lineRule="exact"/>
        <w:rPr>
          <w:sz w:val="20"/>
          <w:szCs w:val="20"/>
          <w:color w:val="auto"/>
        </w:rPr>
      </w:pP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contributed approximately $20 million required to satisfy minimum funding requirements to our defined benefit pension and retiree health benefit plans during the six months ended June 30, 2019. During the remainder of 2019, we expect to make contributions to our defined benefit pension and retiree health benefit plans of approximately $30 million to satisfy minimum funding requirements. There was no discretionary funding during the six months ended June 30, 2019, and none is planned for the remainder of 2019.</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11: Contingencies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3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number of generic manufacturers are seeking approvals in the U.S., a number of countries in Europe, and Japan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in the U.S. could have a material adverse impact on our future consolidated results of operations, liquidity, and financial position. We expect that a loss of exclusivity for Alimta in any of the below jurisdictions would result in a rapid and severe decline in future revenue for the product in the relevant market.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27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In the U.S., more than 10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pursuant to procedures set out in the Drug Price Competition and Patent Term Restoration Act of 1984 (the Hatch-Waxman Act). We have received favorable decisions from the U.S. Court of Appeals for the Federal Circuit (affirming the U.S. District Court for the Southern District of Indiana's decisions finding our U.S. vitamin regimen patent valid and infringed) against Teva, APP, and two other defendants' proposed products, and similar favorable judgments have been entered by the U.S. District Court for the Southern District of Indiana against five other companies. In October 2017, the U.S. Patent and Trademark Office (USPTO) issued written decisions in our favor following </w:t>
      </w:r>
      <w:r>
        <w:rPr>
          <w:rFonts w:ascii="Arial" w:cs="Arial" w:eastAsia="Arial" w:hAnsi="Arial"/>
          <w:sz w:val="18"/>
          <w:szCs w:val="18"/>
          <w:i w:val="1"/>
          <w:iCs w:val="1"/>
          <w:color w:val="auto"/>
        </w:rPr>
        <w:t>inter partes review</w:t>
      </w:r>
      <w:r>
        <w:rPr>
          <w:rFonts w:ascii="Arial" w:cs="Arial" w:eastAsia="Arial" w:hAnsi="Arial"/>
          <w:sz w:val="18"/>
          <w:szCs w:val="18"/>
          <w:color w:val="auto"/>
        </w:rPr>
        <w:t xml:space="preserve"> (IPR) of our U.S. vitamin regimen patent, finding that the generic company petitioners failed to show that the claims in our patent are unpatentable. In April 2019, the U.S. Court of Appeals for the Federal Circuit affirmed the written decisions of the USPTO IPR upholding our U.S. vitamin regimen patent. There are five remaining ANDA applicants who agreed to a preliminary injunction or stay pending the appeal of the IPR decision. In view of the Court of Appeals’ affirmance, we are re-engaging these remaining ANDA applicants to assess whether to reopen those cases or move for dismissal.</w:t>
      </w:r>
    </w:p>
    <w:p>
      <w:pPr>
        <w:spacing w:after="0" w:line="26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also currently have pending lawsuits in the U.S. District Court for the Southern District of Indiana alleging infringement against Actavis LLC (Actavis) and Apotex Inc. in response to their applications to market products using alternative forms of pemetrexed (the active ingredient in Alimta) products, and we filed a similar lawsuit in the U.S. District Court for the District of Delaware against Eagle Pharmaceuticals, Inc. In June 2018, the U.S. District Court for the Southern District of Indiana ruled in our favor in two similar cases, finding Dr. Reddy's Laboratories' (Dr. Reddy) and Hospira, Inc.'s (Hospira) proposed products would infringe our patent. Dr. Reddy and Hospira have appealed those rulings and the U.S. Court of Appeals for the Federal Circuit heard oral argument in June 2019. We expect a decision from the Court of Appeals in the third quarter of 2019. The lawsuit against Actavis has been stayed, pending a decision in the Dr. Reddy’s and Hospira’s appeals.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27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2017, the United Kingdom (U.K.) Supreme Court ruled that commercialization of certain salt forms of pemetrexed by Actavis Group ehf and other Actavis companies directly infringes our vitamin regimen patents in the U.K., Italy, France, and Spain. This litigation in the U.K. is now concluded.</w:t>
      </w:r>
    </w:p>
    <w:p>
      <w:pPr>
        <w:spacing w:after="0" w:line="2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Hexal AG, Stada Arzneimittel AG (Stada), and Fresenius Kabi Deutschland GmbH have each challenged the validity of our German vitamin regimen patent before the German Federal Patent Court. At a hearing in July 2018, the German Federal Patent Court held that our German vitamin regimen patent is invalid. We have appealed this decision to the German Supreme Court. Under German law, the patent remains in force pending appeal. A number of generic competitors have received approval to market generic versions of pemetrexed in Germany. Some of these companies, including Stada, have launched at risk or may choose to launch at risk. We are seeking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6" w:right="239" w:bottom="1440" w:gutter="0" w:footer="0" w:header="0"/>
        </w:sectPr>
      </w:pPr>
    </w:p>
    <w:bookmarkStart w:id="30" w:name="page31"/>
    <w:bookmarkEnd w:id="30"/>
    <w:p>
      <w:pPr>
        <w:ind w:right="340"/>
        <w:spacing w:after="0" w:line="262" w:lineRule="auto"/>
        <w:rPr>
          <w:sz w:val="20"/>
          <w:szCs w:val="20"/>
          <w:color w:val="auto"/>
        </w:rPr>
      </w:pPr>
      <w:r>
        <w:rPr>
          <w:rFonts w:ascii="Arial" w:cs="Arial" w:eastAsia="Arial" w:hAnsi="Arial"/>
          <w:sz w:val="18"/>
          <w:szCs w:val="18"/>
          <w:color w:val="auto"/>
        </w:rPr>
        <w:t>injunctions and/or contesting the lifting of previously granted injunctions against these companies while the appeal to the German Supreme Court is pending. Alimta revenue in Germany has steadily decreased over the last few quarters and is not material to our business.</w:t>
      </w:r>
    </w:p>
    <w:p>
      <w:pPr>
        <w:spacing w:after="0" w:line="25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Additional legal proceedings are ongoing in various national courts throughout Europe. We are aware that several companies have received approval to market generic versions of pemetrexed in major European markets (including generics currently on the market at risk in France) and that additional generic competitors may choose to launch at risk. We will continue to seek to remove any generic pemetrexed products launched at risk in European markets, including Germany and France, seek damages with respect to such launches, and defend our patents against validity challenges.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27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Three separate sets of demands for invalidation of our two Japanese vitamin regimen patents, involving several companies, have been filed with the Japanese Patent Office (JPO). The JPO rejected a demand for invalidation by Sawai Pharmaceutical Co., Ltd., which was affirmed on appeal in 2017. In July 2018, the JPO issued written decisions dismissing demands brought by Nipro Corporation (Nipro) for invalidation of our two Japanese vitamin regimen patents. Nipro filed an appeal, and we anticipate decisions by the Japan Intellectual Property High Court in the fourth quarter of 2019. We also anticipate decisions by the JPO with respect to another set of demands, brought by Hospira, in the fourth quarter of 2019. If upheld through all challenges, these patents would provide intellectual property protection for Alimta until June 2021. Notwithstanding our patents, generic versions of Alimta received regulatory approval in Japan starting in February 2016. We do not currently anticipate that generic versions of Alimta will proceed to pricing approval.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 Product Liability Litigation</w:t>
      </w:r>
    </w:p>
    <w:p>
      <w:pPr>
        <w:spacing w:after="0" w:line="30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w:t>
      </w:r>
      <w:r>
        <w:rPr>
          <w:rFonts w:ascii="Arial" w:cs="Arial" w:eastAsia="Arial" w:hAnsi="Arial"/>
          <w:sz w:val="18"/>
          <w:szCs w:val="18"/>
          <w:color w:val="auto"/>
        </w:rPr>
        <w:t>pany) involving Cymbalta. The plaintiffs, purporting to represent a class of all persons within the U.S. who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and/or paid for Cymbalta, asserted claims under the consumer protection statutes of California, Massachusetts, Missouri, and New York, and sought declaratory, injunctive, and monetary relief for various alleged economic injuries arising from discontinuing treatment with Cymbalta. The district court denied the plaintiffs' motions for class certification and dismissed the suits. The plaintiffs subsequently appealed to the U.S. Court of Appeals for the Ninth Circuit. In November 2017, the U.S. Court of Appeals for the Ninth Circuit dismissed the suit. In July 2018, the U.S. District Court for the District of California denied plaintiffs’ motion to reopen the case. Plaintiffs’ appeal of this denial is currently pending before the U.S. Court of Appeals for the Ninth Circuit.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Litigation – Cosmopolis Facility</w:t>
      </w:r>
    </w:p>
    <w:p>
      <w:pPr>
        <w:spacing w:after="0" w:line="30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In May 2014, the labor court judge ruled against Lilly Brasil, ordering it to undertake several actions of unspecified financial impact, including paying lifetime medical insurance for the employees and contractors who worked at the Cosmopolis facility more than six months during the affected years and their children born during and after this period. We appealed this decision. In July 2018, the appeals court affirmed the labor court's ruling with the total financial impact of the ruling estimated to be approximately 500 million Brazilian real (approximately $130 million as of June 30, 2019). The appeals court restricted the broad health coverage awarded by the labor court to health problems that claimants could show arose from exposure to the alleged contamination. We strongly disagree with the appeals and labor court's decisions. Lilly Brasil has taken an initial step in the appeal process by filing a Motion for Clarification. In July 2019, the appeals court announced orally that it has ruled on our Motion for Clarification and we expect its written decision to be published in the third quarter of 2019.</w:t>
      </w:r>
    </w:p>
    <w:p>
      <w:pPr>
        <w:spacing w:after="0" w:line="2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June 2019, the Labor Attorney filed an application in the labor court for enforcement of the healthcare coverage granted by the appeals court in its July 2018 ruling and requested restrictions on Lilly Brasil’s assets in Brazil. In July 2019, the labor court issued a ruling requiring either a freeze of Lilly Brasil’s immovable property or, alternatively, a security deposit of 500 million Brazilian real (approximately $ 130 million as of June 30, 2019). We strongly disagree with this decision and plan to take steps to challenge it. The labor court stayed the Labor Attorney’s application to enforce the previous healthcare coverage ruling until after the appeals court rules on the various motions pending before it, including Lilly Brasil’s Motion for Clarification.</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60" w:right="259" w:bottom="1440" w:gutter="0" w:footer="0" w:header="0"/>
        </w:sectPr>
      </w:pPr>
    </w:p>
    <w:bookmarkStart w:id="31" w:name="page32"/>
    <w:bookmarkEnd w:id="31"/>
    <w:p>
      <w:pPr>
        <w:ind w:right="100"/>
        <w:spacing w:after="0" w:line="256" w:lineRule="auto"/>
        <w:rPr>
          <w:sz w:val="20"/>
          <w:szCs w:val="20"/>
          <w:color w:val="auto"/>
        </w:rPr>
      </w:pPr>
      <w:r>
        <w:rPr>
          <w:rFonts w:ascii="Arial" w:cs="Arial" w:eastAsia="Arial" w:hAnsi="Arial"/>
          <w:sz w:val="18"/>
          <w:szCs w:val="18"/>
          <w:color w:val="auto"/>
        </w:rPr>
        <w:t>We are also named in approximately 30 lawsuits filed in the same labor court by individual former employees making similar claims. These lawsuits are each at various stages in the litigation process, with judgments being handed down in approximately half of the lawsuits, nearly all of which are on appeal in the labor courts.</w:t>
      </w:r>
    </w:p>
    <w:p>
      <w:pPr>
        <w:spacing w:after="0" w:line="148"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Lilly Brasil and Elanco Quimica Ltda. have been named in two similar lawsuits in the same labor court involving approximately 410 individual plaintiffs. We agreed to indemnify Elanco Quimica Ltda. in this litigation as part of the divestiture of Elanco. In the first lawsuit (involving approximately 305 plaintiffs), plaintiffs alleged harm to employees, former employees, and their dependents. In the second lawsuit (involving approximately 105 plaintiffs), plaintiffs alleged harm to contractors and suppliers, and their dependents. The plaintiffs’ claims in these</w:t>
      </w:r>
    </w:p>
    <w:p>
      <w:pPr>
        <w:spacing w:after="0" w:line="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two lawsuits relate only to mental anguish attributable to the possibility of illness due to alleged exposure to heavy metals or other contaminants. In 2017, the labor court dismissed the claims brought by all but the first named plaintiff in each of the lawsuits. The plaintiffs in both lawsuits appealed. In April 2019, the court issued a written decision rejecting the plaintiff’s appeal in the second lawsuit. The court’s decision was procedurally based and was without a judgment on the merits, meaning that the plaintiffs are able to bring individual actions, notwithstanding the court’s decision.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are defending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Adocia, S.A.</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been named as a respondent in an arbitration filed by Adocia, S.A. (Adocia), with which we entered into agreements for the co-development of an ultra-rapid insulin product. Adocia alleges that we misappropriated and misused Adocia's confidential information and intellectual property and is seeking approximately $1.39 billion in damages and other specific relief. We have asserted several counterclaims relating to fraudulent misrepresentation and are seeking approximately $188 million in damages. An arbitration hearing was held on Adocia’s claims and our counterclaims in December 2018, and we expect a decision in the third quarter of 2019. We believe Adocia's claims are without merit and have defended against them vigorously.</w:t>
      </w:r>
    </w:p>
    <w:p>
      <w:pPr>
        <w:spacing w:after="0" w:line="10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Throughout the dispute process, Adocia has made statements alleging that Adocia employees should be listed as inventors on two of our patents related to our ultra-rapid insulin product currently in development. We strongly contest this allegation. While inventorship of these two patents was not at issue in the arbitration proceedings, in October 2018 we filed a declaratory judgment action against Adocia in the U.S. District Court for the Southern District of Indiana to confirm our inventorship.</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Insulin Pricing Litigation and Investigations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along with Sanofi and Novo Nordisk, are named as defendants in a consolidated purported class action lawsuit, </w:t>
      </w:r>
      <w:r>
        <w:rPr>
          <w:rFonts w:ascii="Arial" w:cs="Arial" w:eastAsia="Arial" w:hAnsi="Arial"/>
          <w:sz w:val="18"/>
          <w:szCs w:val="18"/>
          <w:i w:val="1"/>
          <w:iCs w:val="1"/>
          <w:color w:val="auto"/>
        </w:rPr>
        <w:t>In re. Insulin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in the U.S. District Court of New Jersey relating to insulin pricing. Plaintiffs seek damages under various state consumer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laws and the Federal Racketeer Influenced and Corrupt Organization Act (federal RICO Act). Separately, we, along with Sanofi and Novo Nordisk, are named as defendants in a purported class action lawsuit, </w:t>
      </w:r>
      <w:r>
        <w:rPr>
          <w:rFonts w:ascii="Arial" w:cs="Arial" w:eastAsia="Arial" w:hAnsi="Arial"/>
          <w:sz w:val="18"/>
          <w:szCs w:val="18"/>
          <w:i w:val="1"/>
          <w:iCs w:val="1"/>
          <w:color w:val="auto"/>
        </w:rPr>
        <w:t>MSP Recovery Claims, Series, LLC et al. v. Sanofi Aventis U.S. LLC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in the same court, seeking damages under various state consumer protection laws, common law fraud, unjust enrichment, and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RICO Act. In March 2019, the court dismissed, without prejudice, the plaintiffs' federal RICO Act, unjust enrichment, and certain state consumer protection law claims. Plaintiffs in that lawsuit filed a second amended complaint in April 2019 reasserting these claims.</w:t>
      </w:r>
    </w:p>
    <w:p>
      <w:pPr>
        <w:spacing w:after="0" w:line="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Minnesota Attorney General’s Office filed a complaint against us, Sanofi, and Novo Nordisk, </w:t>
      </w:r>
      <w:r>
        <w:rPr>
          <w:rFonts w:ascii="Arial" w:cs="Arial" w:eastAsia="Arial" w:hAnsi="Arial"/>
          <w:sz w:val="18"/>
          <w:szCs w:val="18"/>
          <w:i w:val="1"/>
          <w:iCs w:val="1"/>
          <w:color w:val="auto"/>
        </w:rPr>
        <w:t>State of Minnesota v. Sanofi-Aventis U.S. LLC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 al., </w:t>
      </w:r>
      <w:r>
        <w:rPr>
          <w:rFonts w:ascii="Arial" w:cs="Arial" w:eastAsia="Arial" w:hAnsi="Arial"/>
          <w:sz w:val="18"/>
          <w:szCs w:val="18"/>
          <w:color w:val="auto"/>
        </w:rPr>
        <w:t>in the U.S. District Court of New Jersey, alleging unjust enrichment, and violations of various Minnesota state consumer protection laws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federal RICO Act. Additionally, the Kentucky Attorney General’s Office filed a complaint against us, Sanofi, and Novo</w:t>
      </w:r>
    </w:p>
    <w:p>
      <w:pPr>
        <w:spacing w:after="0" w:line="1"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 xml:space="preserve">Nordisk, </w:t>
      </w:r>
      <w:r>
        <w:rPr>
          <w:rFonts w:ascii="Arial" w:cs="Arial" w:eastAsia="Arial" w:hAnsi="Arial"/>
          <w:sz w:val="18"/>
          <w:szCs w:val="18"/>
          <w:i w:val="1"/>
          <w:iCs w:val="1"/>
          <w:color w:val="auto"/>
        </w:rPr>
        <w:t>Commonwealth of Kentucky v. Novo Nordisk, Inc. et al.</w:t>
      </w:r>
      <w:r>
        <w:rPr>
          <w:rFonts w:ascii="Arial" w:cs="Arial" w:eastAsia="Arial" w:hAnsi="Arial"/>
          <w:sz w:val="18"/>
          <w:szCs w:val="18"/>
          <w:color w:val="auto"/>
        </w:rPr>
        <w:t>, in Kentucky state court, alleging violations of the Kentucky consumer protection law, false advertising, and unjust enrichment. We believe all of these claims are without merit and are defending against them vigorously.</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received a subpoena from the New York Attorney General’s Office and civil investigative demands from the Washington and New Mexico Attorney General Offices relating to the pricing and sale of our insulin products. The Offices of the Attorney General in Mississippi, Washington D.C., California, Florida, Hawaii, and Nevada have requested information relating to the pricing and sale of our insulin products. We received interrogatories from the California Attorney General's Office regarding our competition in the long-acting insulin market. Finally, we received and have complied with two requests from the House of Representatives’ Committee on Energy and Commerce and a request from the Senate’s Committee on Health, Education, Labor, and Pensions, seeking certain information related to the pricing of insulin products, among other issues. We also received a request from the House of</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60" w:right="239" w:bottom="1440" w:gutter="0" w:footer="0" w:header="0"/>
        </w:sectPr>
      </w:pPr>
    </w:p>
    <w:bookmarkStart w:id="32" w:name="page33"/>
    <w:bookmarkEnd w:id="32"/>
    <w:p>
      <w:pPr>
        <w:ind w:right="800"/>
        <w:spacing w:after="0" w:line="262" w:lineRule="auto"/>
        <w:rPr>
          <w:sz w:val="20"/>
          <w:szCs w:val="20"/>
          <w:color w:val="auto"/>
        </w:rPr>
      </w:pPr>
      <w:r>
        <w:rPr>
          <w:rFonts w:ascii="Arial" w:cs="Arial" w:eastAsia="Arial" w:hAnsi="Arial"/>
          <w:sz w:val="18"/>
          <w:szCs w:val="18"/>
          <w:color w:val="auto"/>
        </w:rPr>
        <w:t>Representatives’ Committee on Oversight and Reform and one from the Senate’s Committee on Finance, both of which seek detailed commercial information and business records. We are cooperating with all of these aforementioned requests and investigations.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product liability insurance, we are self-insured for product liability losses for all our currently and previously marketed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3"/>
                <w:szCs w:val="13"/>
                <w:b w:val="1"/>
                <w:bCs w:val="1"/>
                <w:color w:val="auto"/>
              </w:rPr>
              <w:t>Continuing Operations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80"/>
              <w:spacing w:after="0" w:line="140" w:lineRule="exact"/>
              <w:rPr>
                <w:sz w:val="20"/>
                <w:szCs w:val="20"/>
                <w:color w:val="auto"/>
              </w:rPr>
            </w:pPr>
            <w:r>
              <w:rPr>
                <w:rFonts w:ascii="Arial" w:cs="Arial" w:eastAsia="Arial" w:hAnsi="Arial"/>
                <w:sz w:val="13"/>
                <w:szCs w:val="13"/>
                <w:b w:val="1"/>
                <w:bCs w:val="1"/>
                <w:color w:val="auto"/>
                <w:w w:val="96"/>
              </w:rPr>
              <w:t>Defined Benefit</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00" w:type="dxa"/>
            <w:vAlign w:val="bottom"/>
            <w:gridSpan w:val="2"/>
          </w:tcPr>
          <w:p>
            <w:pPr>
              <w:jc w:val="right"/>
              <w:ind w:right="34"/>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0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80" w:type="dxa"/>
            <w:vAlign w:val="bottom"/>
          </w:tcPr>
          <w:p>
            <w:pPr>
              <w:spacing w:after="0"/>
              <w:rPr>
                <w:sz w:val="11"/>
                <w:szCs w:val="11"/>
                <w:color w:val="auto"/>
              </w:rPr>
            </w:pPr>
          </w:p>
        </w:tc>
        <w:tc>
          <w:tcPr>
            <w:tcW w:w="1160" w:type="dxa"/>
            <w:vAlign w:val="bottom"/>
          </w:tcPr>
          <w:p>
            <w:pPr>
              <w:jc w:val="right"/>
              <w:ind w:right="198"/>
              <w:spacing w:after="0" w:line="135" w:lineRule="exact"/>
              <w:rPr>
                <w:sz w:val="20"/>
                <w:szCs w:val="20"/>
                <w:color w:val="auto"/>
              </w:rPr>
            </w:pPr>
            <w:r>
              <w:rPr>
                <w:rFonts w:ascii="Arial" w:cs="Arial" w:eastAsia="Arial" w:hAnsi="Arial"/>
                <w:sz w:val="13"/>
                <w:szCs w:val="13"/>
                <w:b w:val="1"/>
                <w:bCs w:val="1"/>
                <w:color w:val="auto"/>
              </w:rPr>
              <w:t>Discontinued</w:t>
            </w:r>
          </w:p>
        </w:tc>
        <w:tc>
          <w:tcPr>
            <w:tcW w:w="1520" w:type="dxa"/>
            <w:vAlign w:val="bottom"/>
            <w:gridSpan w:val="2"/>
          </w:tcPr>
          <w:p>
            <w:pPr>
              <w:jc w:val="center"/>
              <w:ind w:left="2"/>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24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6"/>
              </w:rPr>
              <w:t>Gains (Losses)</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(Losses) on Securities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Plans</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Cash Flow Hedges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Operations</w:t>
            </w:r>
          </w:p>
        </w:tc>
        <w:tc>
          <w:tcPr>
            <w:tcW w:w="152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63"/>
        </w:trPr>
        <w:tc>
          <w:tcPr>
            <w:tcW w:w="2420" w:type="dxa"/>
            <w:vAlign w:val="bottom"/>
          </w:tcPr>
          <w:p>
            <w:pPr>
              <w:ind w:left="40"/>
              <w:spacing w:after="0"/>
              <w:rPr>
                <w:sz w:val="20"/>
                <w:szCs w:val="20"/>
                <w:color w:val="auto"/>
              </w:rPr>
            </w:pPr>
            <w:r>
              <w:rPr>
                <w:rFonts w:ascii="Arial" w:cs="Arial" w:eastAsia="Arial" w:hAnsi="Arial"/>
                <w:sz w:val="18"/>
                <w:szCs w:val="18"/>
                <w:color w:val="auto"/>
              </w:rPr>
              <w:t>Balance at April 1, 2019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60"/>
              <w:spacing w:after="0"/>
              <w:rPr>
                <w:sz w:val="20"/>
                <w:szCs w:val="20"/>
                <w:color w:val="auto"/>
              </w:rPr>
            </w:pPr>
            <w:r>
              <w:rPr>
                <w:rFonts w:ascii="Arial" w:cs="Arial" w:eastAsia="Arial" w:hAnsi="Arial"/>
                <w:sz w:val="18"/>
                <w:szCs w:val="18"/>
                <w:b w:val="1"/>
                <w:bCs w:val="1"/>
                <w:color w:val="auto"/>
              </w:rPr>
              <w:t>(1,601.4)</w:t>
            </w:r>
          </w:p>
        </w:tc>
        <w:tc>
          <w:tcPr>
            <w:tcW w:w="58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4"/>
              <w:spacing w:after="0"/>
              <w:rPr>
                <w:sz w:val="20"/>
                <w:szCs w:val="20"/>
                <w:color w:val="auto"/>
              </w:rPr>
            </w:pPr>
            <w:r>
              <w:rPr>
                <w:rFonts w:ascii="Arial" w:cs="Arial" w:eastAsia="Arial" w:hAnsi="Arial"/>
                <w:sz w:val="18"/>
                <w:szCs w:val="18"/>
                <w:b w:val="1"/>
                <w:bCs w:val="1"/>
                <w:color w:val="auto"/>
              </w:rPr>
              <w:t>(3.6)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0"/>
              <w:spacing w:after="0"/>
              <w:rPr>
                <w:sz w:val="20"/>
                <w:szCs w:val="20"/>
                <w:color w:val="auto"/>
              </w:rPr>
            </w:pPr>
            <w:r>
              <w:rPr>
                <w:rFonts w:ascii="Arial" w:cs="Arial" w:eastAsia="Arial" w:hAnsi="Arial"/>
                <w:sz w:val="18"/>
                <w:szCs w:val="18"/>
                <w:b w:val="1"/>
                <w:bCs w:val="1"/>
                <w:color w:val="auto"/>
              </w:rPr>
              <w:t>(3,813.7)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(268.8)</w:t>
            </w:r>
          </w:p>
        </w:tc>
        <w:tc>
          <w:tcPr>
            <w:tcW w:w="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8"/>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(5,687.5)</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rPr>
              <w:t>Other comprehensive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340"/>
              <w:spacing w:after="0" w:line="202" w:lineRule="exact"/>
              <w:rPr>
                <w:sz w:val="20"/>
                <w:szCs w:val="20"/>
                <w:color w:val="auto"/>
              </w:rPr>
            </w:pPr>
            <w:r>
              <w:rPr>
                <w:rFonts w:ascii="Arial" w:cs="Arial" w:eastAsia="Arial" w:hAnsi="Arial"/>
                <w:sz w:val="18"/>
                <w:szCs w:val="18"/>
                <w:color w:val="auto"/>
              </w:rPr>
              <w:t>income (loss) before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vMerge w:val="restart"/>
          </w:tcPr>
          <w:p>
            <w:pPr>
              <w:jc w:val="right"/>
              <w:ind w:right="120"/>
              <w:spacing w:after="0"/>
              <w:rPr>
                <w:sz w:val="20"/>
                <w:szCs w:val="20"/>
                <w:color w:val="auto"/>
              </w:rPr>
            </w:pPr>
            <w:r>
              <w:rPr>
                <w:rFonts w:ascii="Arial" w:cs="Arial" w:eastAsia="Arial" w:hAnsi="Arial"/>
                <w:sz w:val="18"/>
                <w:szCs w:val="18"/>
                <w:b w:val="1"/>
                <w:bCs w:val="1"/>
                <w:color w:val="auto"/>
              </w:rPr>
              <w:t>31.4</w:t>
            </w:r>
          </w:p>
        </w:tc>
        <w:tc>
          <w:tcPr>
            <w:tcW w:w="580" w:type="dxa"/>
            <w:vAlign w:val="bottom"/>
          </w:tcPr>
          <w:p>
            <w:pPr>
              <w:spacing w:after="0"/>
              <w:rPr>
                <w:sz w:val="17"/>
                <w:szCs w:val="17"/>
                <w:color w:val="auto"/>
              </w:rPr>
            </w:pPr>
          </w:p>
        </w:tc>
        <w:tc>
          <w:tcPr>
            <w:tcW w:w="102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8.4</w:t>
            </w:r>
          </w:p>
        </w:tc>
        <w:tc>
          <w:tcPr>
            <w:tcW w:w="240" w:type="dxa"/>
            <w:vAlign w:val="bottom"/>
          </w:tcPr>
          <w:p>
            <w:pPr>
              <w:spacing w:after="0"/>
              <w:rPr>
                <w:sz w:val="17"/>
                <w:szCs w:val="17"/>
                <w:color w:val="auto"/>
              </w:rPr>
            </w:pPr>
          </w:p>
        </w:tc>
        <w:tc>
          <w:tcPr>
            <w:tcW w:w="1280" w:type="dxa"/>
            <w:vAlign w:val="bottom"/>
            <w:vMerge w:val="restart"/>
          </w:tcPr>
          <w:p>
            <w:pPr>
              <w:jc w:val="right"/>
              <w:ind w:right="160"/>
              <w:spacing w:after="0"/>
              <w:rPr>
                <w:sz w:val="20"/>
                <w:szCs w:val="20"/>
                <w:color w:val="auto"/>
              </w:rPr>
            </w:pPr>
            <w:r>
              <w:rPr>
                <w:rFonts w:ascii="Arial" w:cs="Arial" w:eastAsia="Arial" w:hAnsi="Arial"/>
                <w:sz w:val="18"/>
                <w:szCs w:val="18"/>
                <w:b w:val="1"/>
                <w:bCs w:val="1"/>
                <w:color w:val="auto"/>
              </w:rPr>
              <w:t>3.4</w:t>
            </w:r>
          </w:p>
        </w:tc>
        <w:tc>
          <w:tcPr>
            <w:tcW w:w="240" w:type="dxa"/>
            <w:vAlign w:val="bottom"/>
          </w:tcPr>
          <w:p>
            <w:pPr>
              <w:spacing w:after="0"/>
              <w:rPr>
                <w:sz w:val="17"/>
                <w:szCs w:val="17"/>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(6.1)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13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37.1</w:t>
            </w:r>
          </w:p>
        </w:tc>
        <w:tc>
          <w:tcPr>
            <w:tcW w:w="0" w:type="dxa"/>
            <w:vAlign w:val="bottom"/>
          </w:tcPr>
          <w:p>
            <w:pPr>
              <w:spacing w:after="0"/>
              <w:rPr>
                <w:sz w:val="1"/>
                <w:szCs w:val="1"/>
                <w:color w:val="auto"/>
              </w:rPr>
            </w:pPr>
          </w:p>
        </w:tc>
      </w:tr>
      <w:tr>
        <w:trPr>
          <w:trHeight w:val="224"/>
        </w:trPr>
        <w:tc>
          <w:tcPr>
            <w:tcW w:w="2420" w:type="dxa"/>
            <w:vAlign w:val="bottom"/>
          </w:tcPr>
          <w:p>
            <w:pPr>
              <w:ind w:left="340"/>
              <w:spacing w:after="0"/>
              <w:rPr>
                <w:sz w:val="20"/>
                <w:szCs w:val="20"/>
                <w:color w:val="auto"/>
              </w:rPr>
            </w:pPr>
            <w:r>
              <w:rPr>
                <w:rFonts w:ascii="Arial" w:cs="Arial" w:eastAsia="Arial" w:hAnsi="Arial"/>
                <w:sz w:val="18"/>
                <w:szCs w:val="18"/>
                <w:color w:val="auto"/>
              </w:rPr>
              <w:t>reclassifications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amount reclassified</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from accumulated other</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(0.3)</w:t>
            </w:r>
          </w:p>
        </w:tc>
        <w:tc>
          <w:tcPr>
            <w:tcW w:w="2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47.0</w:t>
            </w:r>
          </w:p>
        </w:tc>
        <w:tc>
          <w:tcPr>
            <w:tcW w:w="2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3.2</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49.9</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rPr>
              <w:t>Net other comprehensive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120"/>
              <w:spacing w:after="0"/>
              <w:rPr>
                <w:sz w:val="20"/>
                <w:szCs w:val="20"/>
                <w:color w:val="auto"/>
              </w:rPr>
            </w:pPr>
            <w:r>
              <w:rPr>
                <w:rFonts w:ascii="Arial" w:cs="Arial" w:eastAsia="Arial" w:hAnsi="Arial"/>
                <w:sz w:val="18"/>
                <w:szCs w:val="18"/>
                <w:b w:val="1"/>
                <w:bCs w:val="1"/>
                <w:color w:val="auto"/>
              </w:rPr>
              <w:t>31.4</w:t>
            </w:r>
          </w:p>
        </w:tc>
        <w:tc>
          <w:tcPr>
            <w:tcW w:w="580" w:type="dxa"/>
            <w:vAlign w:val="bottom"/>
          </w:tcPr>
          <w:p>
            <w:pPr>
              <w:spacing w:after="0"/>
              <w:rPr>
                <w:sz w:val="18"/>
                <w:szCs w:val="18"/>
                <w:color w:val="auto"/>
              </w:rPr>
            </w:pPr>
          </w:p>
        </w:tc>
        <w:tc>
          <w:tcPr>
            <w:tcW w:w="102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8.1</w:t>
            </w:r>
          </w:p>
        </w:tc>
        <w:tc>
          <w:tcPr>
            <w:tcW w:w="240" w:type="dxa"/>
            <w:vAlign w:val="bottom"/>
          </w:tcPr>
          <w:p>
            <w:pPr>
              <w:spacing w:after="0"/>
              <w:rPr>
                <w:sz w:val="18"/>
                <w:szCs w:val="18"/>
                <w:color w:val="auto"/>
              </w:rPr>
            </w:pPr>
          </w:p>
        </w:tc>
        <w:tc>
          <w:tcPr>
            <w:tcW w:w="1280" w:type="dxa"/>
            <w:vAlign w:val="bottom"/>
            <w:vMerge w:val="restart"/>
          </w:tcPr>
          <w:p>
            <w:pPr>
              <w:jc w:val="right"/>
              <w:ind w:right="160"/>
              <w:spacing w:after="0"/>
              <w:rPr>
                <w:sz w:val="20"/>
                <w:szCs w:val="20"/>
                <w:color w:val="auto"/>
              </w:rPr>
            </w:pPr>
            <w:r>
              <w:rPr>
                <w:rFonts w:ascii="Arial" w:cs="Arial" w:eastAsia="Arial" w:hAnsi="Arial"/>
                <w:sz w:val="18"/>
                <w:szCs w:val="18"/>
                <w:b w:val="1"/>
                <w:bCs w:val="1"/>
                <w:color w:val="auto"/>
              </w:rPr>
              <w:t>50.4</w:t>
            </w:r>
          </w:p>
        </w:tc>
        <w:tc>
          <w:tcPr>
            <w:tcW w:w="240" w:type="dxa"/>
            <w:vAlign w:val="bottom"/>
          </w:tcPr>
          <w:p>
            <w:pPr>
              <w:spacing w:after="0"/>
              <w:rPr>
                <w:sz w:val="18"/>
                <w:szCs w:val="18"/>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(2.9)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3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87.0</w:t>
            </w:r>
          </w:p>
        </w:tc>
        <w:tc>
          <w:tcPr>
            <w:tcW w:w="0" w:type="dxa"/>
            <w:vAlign w:val="bottom"/>
          </w:tcPr>
          <w:p>
            <w:pPr>
              <w:spacing w:after="0"/>
              <w:rPr>
                <w:sz w:val="1"/>
                <w:szCs w:val="1"/>
                <w:color w:val="auto"/>
              </w:rPr>
            </w:pPr>
          </w:p>
        </w:tc>
      </w:tr>
      <w:tr>
        <w:trPr>
          <w:trHeight w:val="224"/>
        </w:trPr>
        <w:tc>
          <w:tcPr>
            <w:tcW w:w="2420" w:type="dxa"/>
            <w:vAlign w:val="bottom"/>
          </w:tcPr>
          <w:p>
            <w:pPr>
              <w:ind w:left="340"/>
              <w:spacing w:after="0"/>
              <w:rPr>
                <w:sz w:val="20"/>
                <w:szCs w:val="20"/>
                <w:color w:val="auto"/>
              </w:rPr>
            </w:pPr>
            <w:r>
              <w:rPr>
                <w:rFonts w:ascii="Arial" w:cs="Arial" w:eastAsia="Arial" w:hAnsi="Arial"/>
                <w:sz w:val="18"/>
                <w:szCs w:val="18"/>
                <w:color w:val="auto"/>
              </w:rPr>
              <w:t>income (loss)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420" w:type="dxa"/>
            <w:vAlign w:val="bottom"/>
          </w:tcPr>
          <w:p>
            <w:pPr>
              <w:ind w:left="40"/>
              <w:spacing w:after="0"/>
              <w:rPr>
                <w:sz w:val="20"/>
                <w:szCs w:val="20"/>
                <w:color w:val="auto"/>
              </w:rPr>
            </w:pPr>
            <w:r>
              <w:rPr>
                <w:rFonts w:ascii="Arial" w:cs="Arial" w:eastAsia="Arial" w:hAnsi="Arial"/>
                <w:sz w:val="18"/>
                <w:szCs w:val="18"/>
                <w:color w:val="auto"/>
              </w:rPr>
              <w:t>Balance at June 30, 2019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60"/>
              <w:spacing w:after="0"/>
              <w:rPr>
                <w:sz w:val="20"/>
                <w:szCs w:val="20"/>
                <w:color w:val="auto"/>
              </w:rPr>
            </w:pPr>
            <w:r>
              <w:rPr>
                <w:rFonts w:ascii="Arial" w:cs="Arial" w:eastAsia="Arial" w:hAnsi="Arial"/>
                <w:sz w:val="18"/>
                <w:szCs w:val="18"/>
                <w:b w:val="1"/>
                <w:bCs w:val="1"/>
                <w:color w:val="auto"/>
              </w:rPr>
              <w:t>(1,570.0)</w:t>
            </w:r>
          </w:p>
        </w:tc>
        <w:tc>
          <w:tcPr>
            <w:tcW w:w="58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74"/>
              <w:spacing w:after="0"/>
              <w:rPr>
                <w:sz w:val="20"/>
                <w:szCs w:val="20"/>
                <w:color w:val="auto"/>
              </w:rPr>
            </w:pPr>
            <w:r>
              <w:rPr>
                <w:rFonts w:ascii="Arial" w:cs="Arial" w:eastAsia="Arial" w:hAnsi="Arial"/>
                <w:sz w:val="18"/>
                <w:szCs w:val="18"/>
                <w:b w:val="1"/>
                <w:bCs w:val="1"/>
                <w:color w:val="auto"/>
              </w:rPr>
              <w:t>4.5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0"/>
              <w:spacing w:after="0"/>
              <w:rPr>
                <w:sz w:val="20"/>
                <w:szCs w:val="20"/>
                <w:color w:val="auto"/>
              </w:rPr>
            </w:pPr>
            <w:r>
              <w:rPr>
                <w:rFonts w:ascii="Arial" w:cs="Arial" w:eastAsia="Arial" w:hAnsi="Arial"/>
                <w:sz w:val="18"/>
                <w:szCs w:val="18"/>
                <w:b w:val="1"/>
                <w:bCs w:val="1"/>
                <w:color w:val="auto"/>
              </w:rPr>
              <w:t>(3,763.3)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(271.7)</w:t>
            </w:r>
          </w:p>
        </w:tc>
        <w:tc>
          <w:tcPr>
            <w:tcW w:w="6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8"/>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(5,600.5)</w:t>
            </w:r>
          </w:p>
        </w:tc>
        <w:tc>
          <w:tcPr>
            <w:tcW w:w="0" w:type="dxa"/>
            <w:vAlign w:val="bottom"/>
          </w:tcPr>
          <w:p>
            <w:pPr>
              <w:spacing w:after="0"/>
              <w:rPr>
                <w:sz w:val="1"/>
                <w:szCs w:val="1"/>
                <w:color w:val="auto"/>
              </w:rPr>
            </w:pPr>
          </w:p>
        </w:tc>
      </w:tr>
      <w:tr>
        <w:trPr>
          <w:trHeight w:val="507"/>
        </w:trPr>
        <w:tc>
          <w:tcPr>
            <w:tcW w:w="24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540" w:type="dxa"/>
            <w:vAlign w:val="bottom"/>
            <w:tcBorders>
              <w:top w:val="single" w:sz="8" w:color="auto"/>
              <w:bottom w:val="single" w:sz="8" w:color="auto"/>
            </w:tcBorders>
            <w:gridSpan w:val="3"/>
          </w:tcPr>
          <w:p>
            <w:pPr>
              <w:jc w:val="right"/>
              <w:ind w:right="780"/>
              <w:spacing w:after="0"/>
              <w:rPr>
                <w:sz w:val="20"/>
                <w:szCs w:val="20"/>
                <w:color w:val="auto"/>
              </w:rPr>
            </w:pPr>
            <w:r>
              <w:rPr>
                <w:rFonts w:ascii="Arial" w:cs="Arial" w:eastAsia="Arial" w:hAnsi="Arial"/>
                <w:sz w:val="13"/>
                <w:szCs w:val="13"/>
                <w:b w:val="1"/>
                <w:bCs w:val="1"/>
                <w:color w:val="auto"/>
              </w:rPr>
              <w:t>Continuing Operations</w:t>
            </w:r>
          </w:p>
        </w:tc>
        <w:tc>
          <w:tcPr>
            <w:tcW w:w="2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200"/>
              <w:spacing w:after="0" w:line="140" w:lineRule="exact"/>
              <w:rPr>
                <w:sz w:val="20"/>
                <w:szCs w:val="20"/>
                <w:color w:val="auto"/>
              </w:rPr>
            </w:pPr>
            <w:r>
              <w:rPr>
                <w:rFonts w:ascii="Arial" w:cs="Arial" w:eastAsia="Arial" w:hAnsi="Arial"/>
                <w:sz w:val="13"/>
                <w:szCs w:val="13"/>
                <w:b w:val="1"/>
                <w:bCs w:val="1"/>
                <w:color w:val="auto"/>
                <w:w w:val="96"/>
              </w:rPr>
              <w:t>Defined Benefit</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00" w:type="dxa"/>
            <w:vAlign w:val="bottom"/>
            <w:gridSpan w:val="2"/>
          </w:tcPr>
          <w:p>
            <w:pPr>
              <w:jc w:val="right"/>
              <w:ind w:right="54"/>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00" w:type="dxa"/>
            <w:vAlign w:val="bottom"/>
            <w:gridSpan w:val="3"/>
          </w:tcPr>
          <w:p>
            <w:pPr>
              <w:ind w:left="16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80" w:type="dxa"/>
            <w:vAlign w:val="bottom"/>
          </w:tcPr>
          <w:p>
            <w:pPr>
              <w:spacing w:after="0"/>
              <w:rPr>
                <w:sz w:val="11"/>
                <w:szCs w:val="11"/>
                <w:color w:val="auto"/>
              </w:rPr>
            </w:pPr>
          </w:p>
        </w:tc>
        <w:tc>
          <w:tcPr>
            <w:tcW w:w="1160" w:type="dxa"/>
            <w:vAlign w:val="bottom"/>
          </w:tcPr>
          <w:p>
            <w:pPr>
              <w:jc w:val="right"/>
              <w:ind w:right="218"/>
              <w:spacing w:after="0" w:line="135" w:lineRule="exact"/>
              <w:rPr>
                <w:sz w:val="20"/>
                <w:szCs w:val="20"/>
                <w:color w:val="auto"/>
              </w:rPr>
            </w:pPr>
            <w:r>
              <w:rPr>
                <w:rFonts w:ascii="Arial" w:cs="Arial" w:eastAsia="Arial" w:hAnsi="Arial"/>
                <w:sz w:val="13"/>
                <w:szCs w:val="13"/>
                <w:b w:val="1"/>
                <w:bCs w:val="1"/>
                <w:color w:val="auto"/>
              </w:rPr>
              <w:t>Discontinued</w:t>
            </w:r>
          </w:p>
        </w:tc>
        <w:tc>
          <w:tcPr>
            <w:tcW w:w="220" w:type="dxa"/>
            <w:vAlign w:val="bottom"/>
          </w:tcPr>
          <w:p>
            <w:pPr>
              <w:spacing w:after="0"/>
              <w:rPr>
                <w:sz w:val="11"/>
                <w:szCs w:val="11"/>
                <w:color w:val="auto"/>
              </w:rPr>
            </w:pPr>
          </w:p>
        </w:tc>
        <w:tc>
          <w:tcPr>
            <w:tcW w:w="1300" w:type="dxa"/>
            <w:vAlign w:val="bottom"/>
          </w:tcPr>
          <w:p>
            <w:pPr>
              <w:jc w:val="center"/>
              <w:ind w:right="12"/>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24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6"/>
              </w:rPr>
              <w:t>Gains (Losses)</w:t>
            </w: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(Losses) on Securities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7"/>
              </w:rPr>
              <w:t>Plans</w:t>
            </w:r>
          </w:p>
        </w:tc>
        <w:tc>
          <w:tcPr>
            <w:tcW w:w="150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Cash Flow Hedges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Operations</w:t>
            </w:r>
          </w:p>
        </w:tc>
        <w:tc>
          <w:tcPr>
            <w:tcW w:w="1520" w:type="dxa"/>
            <w:vAlign w:val="bottom"/>
            <w:tcBorders>
              <w:bottom w:val="single" w:sz="8" w:color="auto"/>
            </w:tcBorders>
            <w:gridSpan w:val="2"/>
          </w:tcPr>
          <w:p>
            <w:pPr>
              <w:jc w:val="center"/>
              <w:ind w:left="22"/>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63"/>
        </w:trPr>
        <w:tc>
          <w:tcPr>
            <w:tcW w:w="2420" w:type="dxa"/>
            <w:vAlign w:val="bottom"/>
          </w:tcPr>
          <w:p>
            <w:pPr>
              <w:ind w:left="40"/>
              <w:spacing w:after="0"/>
              <w:rPr>
                <w:sz w:val="20"/>
                <w:szCs w:val="20"/>
                <w:color w:val="auto"/>
              </w:rPr>
            </w:pPr>
            <w:r>
              <w:rPr>
                <w:rFonts w:ascii="Arial" w:cs="Arial" w:eastAsia="Arial" w:hAnsi="Arial"/>
                <w:sz w:val="18"/>
                <w:szCs w:val="18"/>
                <w:color w:val="auto"/>
              </w:rPr>
              <w:t>Balance at April 1, 2018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0"/>
              <w:spacing w:after="0"/>
              <w:rPr>
                <w:sz w:val="20"/>
                <w:szCs w:val="20"/>
                <w:color w:val="auto"/>
              </w:rPr>
            </w:pPr>
            <w:r>
              <w:rPr>
                <w:rFonts w:ascii="Arial" w:cs="Arial" w:eastAsia="Arial" w:hAnsi="Arial"/>
                <w:sz w:val="18"/>
                <w:szCs w:val="18"/>
                <w:color w:val="auto"/>
              </w:rPr>
              <w:t>(900.2)</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(51.0)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0"/>
              <w:spacing w:after="0"/>
              <w:rPr>
                <w:sz w:val="20"/>
                <w:szCs w:val="20"/>
                <w:color w:val="auto"/>
              </w:rPr>
            </w:pPr>
            <w:r>
              <w:rPr>
                <w:rFonts w:ascii="Arial" w:cs="Arial" w:eastAsia="Arial" w:hAnsi="Arial"/>
                <w:sz w:val="18"/>
                <w:szCs w:val="18"/>
                <w:color w:val="auto"/>
              </w:rPr>
              <w:t>(4,274.4)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(231.5)</w:t>
            </w:r>
          </w:p>
        </w:tc>
        <w:tc>
          <w:tcPr>
            <w:tcW w:w="60" w:type="dxa"/>
            <w:vAlign w:val="bottom"/>
          </w:tcPr>
          <w:p>
            <w:pPr>
              <w:spacing w:after="0"/>
              <w:rPr>
                <w:sz w:val="22"/>
                <w:szCs w:val="22"/>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8"/>
              <w:spacing w:after="0"/>
              <w:rPr>
                <w:sz w:val="20"/>
                <w:szCs w:val="20"/>
                <w:color w:val="auto"/>
              </w:rPr>
            </w:pPr>
            <w:r>
              <w:rPr>
                <w:rFonts w:ascii="Arial" w:cs="Arial" w:eastAsia="Arial" w:hAnsi="Arial"/>
                <w:sz w:val="18"/>
                <w:szCs w:val="18"/>
                <w:color w:val="auto"/>
              </w:rPr>
              <w:t>19.6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(5,437.5)</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rPr>
              <w:t>Other comprehensive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340"/>
              <w:spacing w:after="0" w:line="202" w:lineRule="exact"/>
              <w:rPr>
                <w:sz w:val="20"/>
                <w:szCs w:val="20"/>
                <w:color w:val="auto"/>
              </w:rPr>
            </w:pPr>
            <w:r>
              <w:rPr>
                <w:rFonts w:ascii="Arial" w:cs="Arial" w:eastAsia="Arial" w:hAnsi="Arial"/>
                <w:sz w:val="18"/>
                <w:szCs w:val="18"/>
                <w:color w:val="auto"/>
              </w:rPr>
              <w:t>income (loss) before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340"/>
              <w:spacing w:after="0"/>
              <w:rPr>
                <w:sz w:val="20"/>
                <w:szCs w:val="20"/>
                <w:color w:val="auto"/>
              </w:rPr>
            </w:pPr>
            <w:r>
              <w:rPr>
                <w:rFonts w:ascii="Arial" w:cs="Arial" w:eastAsia="Arial" w:hAnsi="Arial"/>
                <w:sz w:val="18"/>
                <w:szCs w:val="18"/>
                <w:color w:val="auto"/>
              </w:rPr>
              <w:t>reclassifications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80"/>
              <w:spacing w:after="0"/>
              <w:rPr>
                <w:sz w:val="20"/>
                <w:szCs w:val="20"/>
                <w:color w:val="auto"/>
              </w:rPr>
            </w:pPr>
            <w:r>
              <w:rPr>
                <w:rFonts w:ascii="Arial" w:cs="Arial" w:eastAsia="Arial" w:hAnsi="Arial"/>
                <w:sz w:val="18"/>
                <w:szCs w:val="18"/>
                <w:color w:val="auto"/>
              </w:rPr>
              <w:t>(661.3)</w:t>
            </w:r>
          </w:p>
        </w:tc>
        <w:tc>
          <w:tcPr>
            <w:tcW w:w="58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65.9</w:t>
            </w:r>
          </w:p>
        </w:tc>
        <w:tc>
          <w:tcPr>
            <w:tcW w:w="240" w:type="dxa"/>
            <w:vAlign w:val="bottom"/>
          </w:tcPr>
          <w:p>
            <w:pPr>
              <w:spacing w:after="0"/>
              <w:rPr>
                <w:sz w:val="19"/>
                <w:szCs w:val="19"/>
                <w:color w:val="auto"/>
              </w:rPr>
            </w:pPr>
          </w:p>
        </w:tc>
        <w:tc>
          <w:tcPr>
            <w:tcW w:w="1280" w:type="dxa"/>
            <w:vAlign w:val="bottom"/>
          </w:tcPr>
          <w:p>
            <w:pPr>
              <w:jc w:val="right"/>
              <w:ind w:right="220"/>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98"/>
              <w:spacing w:after="0"/>
              <w:rPr>
                <w:sz w:val="20"/>
                <w:szCs w:val="20"/>
                <w:color w:val="auto"/>
              </w:rPr>
            </w:pPr>
            <w:r>
              <w:rPr>
                <w:rFonts w:ascii="Arial" w:cs="Arial" w:eastAsia="Arial" w:hAnsi="Arial"/>
                <w:sz w:val="18"/>
                <w:szCs w:val="18"/>
                <w:color w:val="auto"/>
              </w:rPr>
              <w:t>(160.9)</w:t>
            </w:r>
          </w:p>
        </w:tc>
        <w:tc>
          <w:tcPr>
            <w:tcW w:w="22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35"/>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amount reclassified</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from accumulated other</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(33.0)</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rPr>
              <w:t>Net other comprehensive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340"/>
              <w:spacing w:after="0"/>
              <w:rPr>
                <w:sz w:val="20"/>
                <w:szCs w:val="20"/>
                <w:color w:val="auto"/>
              </w:rPr>
            </w:pPr>
            <w:r>
              <w:rPr>
                <w:rFonts w:ascii="Arial" w:cs="Arial" w:eastAsia="Arial" w:hAnsi="Arial"/>
                <w:sz w:val="18"/>
                <w:szCs w:val="18"/>
                <w:color w:val="auto"/>
              </w:rPr>
              <w:t>income (loss)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80"/>
              <w:spacing w:after="0"/>
              <w:rPr>
                <w:sz w:val="20"/>
                <w:szCs w:val="20"/>
                <w:color w:val="auto"/>
              </w:rPr>
            </w:pPr>
            <w:r>
              <w:rPr>
                <w:rFonts w:ascii="Arial" w:cs="Arial" w:eastAsia="Arial" w:hAnsi="Arial"/>
                <w:sz w:val="18"/>
                <w:szCs w:val="18"/>
                <w:color w:val="auto"/>
              </w:rPr>
              <w:t>(661.3)</w:t>
            </w:r>
          </w:p>
        </w:tc>
        <w:tc>
          <w:tcPr>
            <w:tcW w:w="58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9"/>
                <w:szCs w:val="19"/>
                <w:color w:val="auto"/>
              </w:rPr>
            </w:pPr>
          </w:p>
        </w:tc>
        <w:tc>
          <w:tcPr>
            <w:tcW w:w="1280" w:type="dxa"/>
            <w:vAlign w:val="bottom"/>
          </w:tcPr>
          <w:p>
            <w:pPr>
              <w:jc w:val="right"/>
              <w:ind w:right="220"/>
              <w:spacing w:after="0"/>
              <w:rPr>
                <w:sz w:val="20"/>
                <w:szCs w:val="20"/>
                <w:color w:val="auto"/>
              </w:rPr>
            </w:pPr>
            <w:r>
              <w:rPr>
                <w:rFonts w:ascii="Arial" w:cs="Arial" w:eastAsia="Arial" w:hAnsi="Arial"/>
                <w:sz w:val="18"/>
                <w:szCs w:val="18"/>
                <w:color w:val="auto"/>
              </w:rPr>
              <w:t>114.4</w:t>
            </w:r>
          </w:p>
        </w:tc>
        <w:tc>
          <w:tcPr>
            <w:tcW w:w="2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98"/>
              <w:spacing w:after="0"/>
              <w:rPr>
                <w:sz w:val="20"/>
                <w:szCs w:val="20"/>
                <w:color w:val="auto"/>
              </w:rPr>
            </w:pPr>
            <w:r>
              <w:rPr>
                <w:rFonts w:ascii="Arial" w:cs="Arial" w:eastAsia="Arial" w:hAnsi="Arial"/>
                <w:sz w:val="18"/>
                <w:szCs w:val="18"/>
                <w:color w:val="auto"/>
              </w:rPr>
              <w:t>(160.2)</w:t>
            </w:r>
          </w:p>
        </w:tc>
        <w:tc>
          <w:tcPr>
            <w:tcW w:w="22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spacing w:after="0"/>
              <w:rPr>
                <w:sz w:val="14"/>
                <w:szCs w:val="14"/>
                <w:color w:val="auto"/>
              </w:rPr>
            </w:pPr>
          </w:p>
        </w:tc>
        <w:tc>
          <w:tcPr>
            <w:tcW w:w="180" w:type="dxa"/>
            <w:vAlign w:val="bottom"/>
            <w:tcBorders>
              <w:bottom w:val="single" w:sz="8" w:color="auto"/>
            </w:tcBorders>
            <w:gridSpan w:val="2"/>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42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color w:val="auto"/>
              </w:rPr>
              <w:t>(1,561.5)</w:t>
            </w: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(4,160.0)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(228.5)</w:t>
            </w: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(140.6)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(6,108.7)</w:t>
            </w:r>
          </w:p>
        </w:tc>
        <w:tc>
          <w:tcPr>
            <w:tcW w:w="0" w:type="dxa"/>
            <w:vAlign w:val="bottom"/>
          </w:tcPr>
          <w:p>
            <w:pPr>
              <w:spacing w:after="0"/>
              <w:rPr>
                <w:sz w:val="1"/>
                <w:szCs w:val="1"/>
                <w:color w:val="auto"/>
              </w:rPr>
            </w:pPr>
          </w:p>
        </w:tc>
      </w:tr>
      <w:tr>
        <w:trPr>
          <w:trHeight w:val="45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gridSpan w:val="2"/>
          </w:tcPr>
          <w:p>
            <w:pPr>
              <w:jc w:val="right"/>
              <w:ind w:right="106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3"/>
                <w:szCs w:val="13"/>
                <w:b w:val="1"/>
                <w:bCs w:val="1"/>
                <w:color w:val="auto"/>
              </w:rPr>
              <w:t>Continuing Operations</w:t>
            </w: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Defined Benefit</w:t>
            </w: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right"/>
              <w:ind w:right="216"/>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Pension and</w:t>
            </w: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Translation</w:t>
            </w:r>
          </w:p>
        </w:tc>
        <w:tc>
          <w:tcPr>
            <w:tcW w:w="1540" w:type="dxa"/>
            <w:vAlign w:val="bottom"/>
            <w:gridSpan w:val="2"/>
          </w:tcPr>
          <w:p>
            <w:pPr>
              <w:jc w:val="right"/>
              <w:ind w:right="137"/>
              <w:spacing w:after="0" w:line="135" w:lineRule="exact"/>
              <w:rPr>
                <w:sz w:val="20"/>
                <w:szCs w:val="20"/>
                <w:color w:val="auto"/>
              </w:rPr>
            </w:pPr>
            <w:r>
              <w:rPr>
                <w:rFonts w:ascii="Arial" w:cs="Arial" w:eastAsia="Arial" w:hAnsi="Arial"/>
                <w:sz w:val="13"/>
                <w:szCs w:val="13"/>
                <w:b w:val="1"/>
                <w:bCs w:val="1"/>
                <w:color w:val="auto"/>
                <w:w w:val="99"/>
              </w:rPr>
              <w:t>Unrealized Net Gains</w:t>
            </w:r>
          </w:p>
        </w:tc>
        <w:tc>
          <w:tcPr>
            <w:tcW w:w="14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Retiree Health Benefit</w:t>
            </w:r>
          </w:p>
        </w:tc>
        <w:tc>
          <w:tcPr>
            <w:tcW w:w="144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Effective Portion of</w:t>
            </w:r>
          </w:p>
        </w:tc>
        <w:tc>
          <w:tcPr>
            <w:tcW w:w="320" w:type="dxa"/>
            <w:vAlign w:val="bottom"/>
          </w:tcPr>
          <w:p>
            <w:pPr>
              <w:spacing w:after="0"/>
              <w:rPr>
                <w:sz w:val="11"/>
                <w:szCs w:val="11"/>
                <w:color w:val="auto"/>
              </w:rPr>
            </w:pPr>
          </w:p>
        </w:tc>
        <w:tc>
          <w:tcPr>
            <w:tcW w:w="116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7"/>
              </w:rPr>
              <w:t>Discontinued</w:t>
            </w:r>
          </w:p>
        </w:tc>
        <w:tc>
          <w:tcPr>
            <w:tcW w:w="200" w:type="dxa"/>
            <w:vAlign w:val="bottom"/>
          </w:tcPr>
          <w:p>
            <w:pPr>
              <w:spacing w:after="0"/>
              <w:rPr>
                <w:sz w:val="11"/>
                <w:szCs w:val="11"/>
                <w:color w:val="auto"/>
              </w:rPr>
            </w:pPr>
          </w:p>
        </w:tc>
        <w:tc>
          <w:tcPr>
            <w:tcW w:w="1300" w:type="dxa"/>
            <w:vAlign w:val="bottom"/>
          </w:tcPr>
          <w:p>
            <w:pPr>
              <w:jc w:val="center"/>
              <w:ind w:right="12"/>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25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3"/>
                <w:szCs w:val="13"/>
                <w:b w:val="1"/>
                <w:bCs w:val="1"/>
                <w:color w:val="auto"/>
              </w:rPr>
              <w:t>Gains (Losses)</w:t>
            </w: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(Losses) on Securities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80"/>
              <w:spacing w:after="0"/>
              <w:rPr>
                <w:sz w:val="20"/>
                <w:szCs w:val="20"/>
                <w:color w:val="auto"/>
              </w:rPr>
            </w:pPr>
            <w:r>
              <w:rPr>
                <w:rFonts w:ascii="Arial" w:cs="Arial" w:eastAsia="Arial" w:hAnsi="Arial"/>
                <w:sz w:val="13"/>
                <w:szCs w:val="13"/>
                <w:b w:val="1"/>
                <w:bCs w:val="1"/>
                <w:color w:val="auto"/>
                <w:w w:val="92"/>
              </w:rPr>
              <w:t>Plans</w:t>
            </w: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Cash Flow Hedges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Operations</w:t>
            </w:r>
          </w:p>
        </w:tc>
        <w:tc>
          <w:tcPr>
            <w:tcW w:w="150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 xml:space="preserve">Balance at January 1, 2019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b w:val="1"/>
                <w:bCs w:val="1"/>
                <w:color w:val="auto"/>
              </w:rPr>
              <w:t>(1,569.7)</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7"/>
              <w:spacing w:after="0"/>
              <w:rPr>
                <w:sz w:val="20"/>
                <w:szCs w:val="20"/>
                <w:color w:val="auto"/>
              </w:rPr>
            </w:pPr>
            <w:r>
              <w:rPr>
                <w:rFonts w:ascii="Arial" w:cs="Arial" w:eastAsia="Arial" w:hAnsi="Arial"/>
                <w:sz w:val="18"/>
                <w:szCs w:val="18"/>
                <w:b w:val="1"/>
                <w:bCs w:val="1"/>
                <w:color w:val="auto"/>
              </w:rPr>
              <w:t>(22.1)</w:t>
            </w:r>
          </w:p>
        </w:tc>
        <w:tc>
          <w:tcPr>
            <w:tcW w:w="280" w:type="dxa"/>
            <w:vAlign w:val="bottom"/>
          </w:tcPr>
          <w:p>
            <w:pPr>
              <w:jc w:val="right"/>
              <w:ind w:right="99"/>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40"/>
              <w:spacing w:after="0"/>
              <w:rPr>
                <w:sz w:val="20"/>
                <w:szCs w:val="20"/>
                <w:color w:val="auto"/>
              </w:rPr>
            </w:pPr>
            <w:r>
              <w:rPr>
                <w:rFonts w:ascii="Arial" w:cs="Arial" w:eastAsia="Arial" w:hAnsi="Arial"/>
                <w:sz w:val="18"/>
                <w:szCs w:val="18"/>
                <w:b w:val="1"/>
                <w:bCs w:val="1"/>
                <w:color w:val="auto"/>
              </w:rPr>
              <w:t>(3,852.7)</w:t>
            </w:r>
          </w:p>
        </w:tc>
        <w:tc>
          <w:tcPr>
            <w:tcW w:w="4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(238.9)</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7"/>
              <w:spacing w:after="0"/>
              <w:rPr>
                <w:sz w:val="20"/>
                <w:szCs w:val="20"/>
                <w:color w:val="auto"/>
              </w:rPr>
            </w:pPr>
            <w:r>
              <w:rPr>
                <w:rFonts w:ascii="Arial" w:cs="Arial" w:eastAsia="Arial" w:hAnsi="Arial"/>
                <w:sz w:val="18"/>
                <w:szCs w:val="18"/>
                <w:b w:val="1"/>
                <w:bCs w:val="1"/>
                <w:color w:val="auto"/>
              </w:rPr>
              <w:t>(56.8)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(5,740.2)</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Other comprehensive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income (loss) before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216"/>
              <w:spacing w:after="0"/>
              <w:rPr>
                <w:sz w:val="20"/>
                <w:szCs w:val="20"/>
                <w:color w:val="auto"/>
              </w:rPr>
            </w:pPr>
            <w:r>
              <w:rPr>
                <w:rFonts w:ascii="Arial" w:cs="Arial" w:eastAsia="Arial" w:hAnsi="Arial"/>
                <w:sz w:val="18"/>
                <w:szCs w:val="18"/>
                <w:b w:val="1"/>
                <w:bCs w:val="1"/>
                <w:color w:val="auto"/>
              </w:rPr>
              <w:t>(0.3)</w:t>
            </w:r>
          </w:p>
        </w:tc>
        <w:tc>
          <w:tcPr>
            <w:tcW w:w="420" w:type="dxa"/>
            <w:vAlign w:val="bottom"/>
          </w:tcPr>
          <w:p>
            <w:pPr>
              <w:spacing w:after="0"/>
              <w:rPr>
                <w:sz w:val="17"/>
                <w:szCs w:val="17"/>
                <w:color w:val="auto"/>
              </w:rPr>
            </w:pPr>
          </w:p>
        </w:tc>
        <w:tc>
          <w:tcPr>
            <w:tcW w:w="1120" w:type="dxa"/>
            <w:vAlign w:val="bottom"/>
            <w:vMerge w:val="restart"/>
          </w:tcPr>
          <w:p>
            <w:pPr>
              <w:jc w:val="right"/>
              <w:ind w:right="277"/>
              <w:spacing w:after="0"/>
              <w:rPr>
                <w:sz w:val="20"/>
                <w:szCs w:val="20"/>
                <w:color w:val="auto"/>
              </w:rPr>
            </w:pPr>
            <w:r>
              <w:rPr>
                <w:rFonts w:ascii="Arial" w:cs="Arial" w:eastAsia="Arial" w:hAnsi="Arial"/>
                <w:sz w:val="18"/>
                <w:szCs w:val="18"/>
                <w:b w:val="1"/>
                <w:bCs w:val="1"/>
                <w:color w:val="auto"/>
              </w:rPr>
              <w:t>25.2</w:t>
            </w:r>
          </w:p>
        </w:tc>
        <w:tc>
          <w:tcPr>
            <w:tcW w:w="280" w:type="dxa"/>
            <w:vAlign w:val="bottom"/>
          </w:tcPr>
          <w:p>
            <w:pPr>
              <w:spacing w:after="0"/>
              <w:rPr>
                <w:sz w:val="17"/>
                <w:szCs w:val="17"/>
                <w:color w:val="auto"/>
              </w:rPr>
            </w:pPr>
          </w:p>
        </w:tc>
        <w:tc>
          <w:tcPr>
            <w:tcW w:w="1160" w:type="dxa"/>
            <w:vAlign w:val="bottom"/>
            <w:vMerge w:val="restart"/>
          </w:tcPr>
          <w:p>
            <w:pPr>
              <w:jc w:val="right"/>
              <w:ind w:right="140"/>
              <w:spacing w:after="0"/>
              <w:rPr>
                <w:sz w:val="20"/>
                <w:szCs w:val="20"/>
                <w:color w:val="auto"/>
              </w:rPr>
            </w:pPr>
            <w:r>
              <w:rPr>
                <w:rFonts w:ascii="Arial" w:cs="Arial" w:eastAsia="Arial" w:hAnsi="Arial"/>
                <w:sz w:val="18"/>
                <w:szCs w:val="18"/>
                <w:b w:val="1"/>
                <w:bCs w:val="1"/>
                <w:color w:val="auto"/>
              </w:rPr>
              <w:t>(2.3)</w:t>
            </w:r>
          </w:p>
        </w:tc>
        <w:tc>
          <w:tcPr>
            <w:tcW w:w="480" w:type="dxa"/>
            <w:vAlign w:val="bottom"/>
          </w:tcPr>
          <w:p>
            <w:pPr>
              <w:spacing w:after="0"/>
              <w:rPr>
                <w:sz w:val="17"/>
                <w:szCs w:val="17"/>
                <w:color w:val="auto"/>
              </w:rPr>
            </w:pP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(39.0)</w:t>
            </w:r>
          </w:p>
        </w:tc>
        <w:tc>
          <w:tcPr>
            <w:tcW w:w="320" w:type="dxa"/>
            <w:vAlign w:val="bottom"/>
          </w:tcPr>
          <w:p>
            <w:pPr>
              <w:spacing w:after="0"/>
              <w:rPr>
                <w:sz w:val="17"/>
                <w:szCs w:val="17"/>
                <w:color w:val="auto"/>
              </w:rPr>
            </w:pPr>
          </w:p>
        </w:tc>
        <w:tc>
          <w:tcPr>
            <w:tcW w:w="1160" w:type="dxa"/>
            <w:vAlign w:val="bottom"/>
            <w:vMerge w:val="restart"/>
          </w:tcPr>
          <w:p>
            <w:pPr>
              <w:jc w:val="right"/>
              <w:ind w:right="117"/>
              <w:spacing w:after="0"/>
              <w:rPr>
                <w:sz w:val="20"/>
                <w:szCs w:val="20"/>
                <w:color w:val="auto"/>
              </w:rPr>
            </w:pPr>
            <w:r>
              <w:rPr>
                <w:rFonts w:ascii="Arial" w:cs="Arial" w:eastAsia="Arial" w:hAnsi="Arial"/>
                <w:sz w:val="18"/>
                <w:szCs w:val="18"/>
                <w:b w:val="1"/>
                <w:bCs w:val="1"/>
                <w:color w:val="auto"/>
              </w:rPr>
              <w:t>(27.2)</w:t>
            </w:r>
          </w:p>
        </w:tc>
        <w:tc>
          <w:tcPr>
            <w:tcW w:w="200" w:type="dxa"/>
            <w:vAlign w:val="bottom"/>
          </w:tcPr>
          <w:p>
            <w:pPr>
              <w:spacing w:after="0"/>
              <w:rPr>
                <w:sz w:val="17"/>
                <w:szCs w:val="17"/>
                <w:color w:val="auto"/>
              </w:rPr>
            </w:pPr>
          </w:p>
        </w:tc>
        <w:tc>
          <w:tcPr>
            <w:tcW w:w="1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(43.6)</w:t>
            </w:r>
          </w:p>
        </w:tc>
        <w:tc>
          <w:tcPr>
            <w:tcW w:w="0" w:type="dxa"/>
            <w:vAlign w:val="bottom"/>
          </w:tcPr>
          <w:p>
            <w:pPr>
              <w:spacing w:after="0"/>
              <w:rPr>
                <w:sz w:val="1"/>
                <w:szCs w:val="1"/>
                <w:color w:val="auto"/>
              </w:rPr>
            </w:pPr>
          </w:p>
        </w:tc>
      </w:tr>
      <w:tr>
        <w:trPr>
          <w:trHeight w:val="224"/>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amount reclassified</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from accumulated other</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76"/>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77"/>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91.7</w:t>
            </w:r>
          </w:p>
        </w:tc>
        <w:tc>
          <w:tcPr>
            <w:tcW w:w="4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6.2</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84.0</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183.3</w:t>
            </w:r>
          </w:p>
        </w:tc>
        <w:tc>
          <w:tcPr>
            <w:tcW w:w="0" w:type="dxa"/>
            <w:vAlign w:val="bottom"/>
          </w:tcPr>
          <w:p>
            <w:pPr>
              <w:spacing w:after="0"/>
              <w:rPr>
                <w:sz w:val="1"/>
                <w:szCs w:val="1"/>
                <w:color w:val="auto"/>
              </w:rPr>
            </w:pPr>
          </w:p>
        </w:tc>
      </w:tr>
      <w:tr>
        <w:trPr>
          <w:trHeight w:val="224"/>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Net other comprehensive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16"/>
              <w:spacing w:after="0"/>
              <w:rPr>
                <w:sz w:val="20"/>
                <w:szCs w:val="20"/>
                <w:color w:val="auto"/>
              </w:rPr>
            </w:pPr>
            <w:r>
              <w:rPr>
                <w:rFonts w:ascii="Arial" w:cs="Arial" w:eastAsia="Arial" w:hAnsi="Arial"/>
                <w:sz w:val="18"/>
                <w:szCs w:val="18"/>
                <w:b w:val="1"/>
                <w:bCs w:val="1"/>
                <w:color w:val="auto"/>
              </w:rPr>
              <w:t>(0.3)</w:t>
            </w:r>
          </w:p>
        </w:tc>
        <w:tc>
          <w:tcPr>
            <w:tcW w:w="420" w:type="dxa"/>
            <w:vAlign w:val="bottom"/>
          </w:tcPr>
          <w:p>
            <w:pPr>
              <w:spacing w:after="0"/>
              <w:rPr>
                <w:sz w:val="18"/>
                <w:szCs w:val="18"/>
                <w:color w:val="auto"/>
              </w:rPr>
            </w:pPr>
          </w:p>
        </w:tc>
        <w:tc>
          <w:tcPr>
            <w:tcW w:w="1120" w:type="dxa"/>
            <w:vAlign w:val="bottom"/>
            <w:vMerge w:val="restart"/>
          </w:tcPr>
          <w:p>
            <w:pPr>
              <w:jc w:val="right"/>
              <w:ind w:right="277"/>
              <w:spacing w:after="0"/>
              <w:rPr>
                <w:sz w:val="20"/>
                <w:szCs w:val="20"/>
                <w:color w:val="auto"/>
              </w:rPr>
            </w:pPr>
            <w:r>
              <w:rPr>
                <w:rFonts w:ascii="Arial" w:cs="Arial" w:eastAsia="Arial" w:hAnsi="Arial"/>
                <w:sz w:val="18"/>
                <w:szCs w:val="18"/>
                <w:b w:val="1"/>
                <w:bCs w:val="1"/>
                <w:color w:val="auto"/>
              </w:rPr>
              <w:t>26.6</w:t>
            </w:r>
          </w:p>
        </w:tc>
        <w:tc>
          <w:tcPr>
            <w:tcW w:w="280" w:type="dxa"/>
            <w:vAlign w:val="bottom"/>
          </w:tcPr>
          <w:p>
            <w:pPr>
              <w:spacing w:after="0"/>
              <w:rPr>
                <w:sz w:val="18"/>
                <w:szCs w:val="18"/>
                <w:color w:val="auto"/>
              </w:rPr>
            </w:pPr>
          </w:p>
        </w:tc>
        <w:tc>
          <w:tcPr>
            <w:tcW w:w="1160" w:type="dxa"/>
            <w:vAlign w:val="bottom"/>
            <w:vMerge w:val="restart"/>
          </w:tcPr>
          <w:p>
            <w:pPr>
              <w:jc w:val="right"/>
              <w:ind w:right="200"/>
              <w:spacing w:after="0"/>
              <w:rPr>
                <w:sz w:val="20"/>
                <w:szCs w:val="20"/>
                <w:color w:val="auto"/>
              </w:rPr>
            </w:pPr>
            <w:r>
              <w:rPr>
                <w:rFonts w:ascii="Arial" w:cs="Arial" w:eastAsia="Arial" w:hAnsi="Arial"/>
                <w:sz w:val="18"/>
                <w:szCs w:val="18"/>
                <w:b w:val="1"/>
                <w:bCs w:val="1"/>
                <w:color w:val="auto"/>
              </w:rPr>
              <w:t>89.4</w:t>
            </w:r>
          </w:p>
        </w:tc>
        <w:tc>
          <w:tcPr>
            <w:tcW w:w="480" w:type="dxa"/>
            <w:vAlign w:val="bottom"/>
          </w:tcPr>
          <w:p>
            <w:pPr>
              <w:spacing w:after="0"/>
              <w:rPr>
                <w:sz w:val="18"/>
                <w:szCs w:val="18"/>
                <w:color w:val="auto"/>
              </w:rPr>
            </w:pP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(32.8)</w:t>
            </w:r>
          </w:p>
        </w:tc>
        <w:tc>
          <w:tcPr>
            <w:tcW w:w="320" w:type="dxa"/>
            <w:vAlign w:val="bottom"/>
          </w:tcPr>
          <w:p>
            <w:pPr>
              <w:spacing w:after="0"/>
              <w:rPr>
                <w:sz w:val="18"/>
                <w:szCs w:val="18"/>
                <w:color w:val="auto"/>
              </w:rPr>
            </w:pPr>
          </w:p>
        </w:tc>
        <w:tc>
          <w:tcPr>
            <w:tcW w:w="1160" w:type="dxa"/>
            <w:vAlign w:val="bottom"/>
            <w:vMerge w:val="restart"/>
          </w:tcPr>
          <w:p>
            <w:pPr>
              <w:jc w:val="right"/>
              <w:ind w:right="177"/>
              <w:spacing w:after="0"/>
              <w:rPr>
                <w:sz w:val="20"/>
                <w:szCs w:val="20"/>
                <w:color w:val="auto"/>
              </w:rPr>
            </w:pPr>
            <w:r>
              <w:rPr>
                <w:rFonts w:ascii="Arial" w:cs="Arial" w:eastAsia="Arial" w:hAnsi="Arial"/>
                <w:sz w:val="18"/>
                <w:szCs w:val="18"/>
                <w:b w:val="1"/>
                <w:bCs w:val="1"/>
                <w:color w:val="auto"/>
              </w:rPr>
              <w:t>56.8</w:t>
            </w:r>
          </w:p>
        </w:tc>
        <w:tc>
          <w:tcPr>
            <w:tcW w:w="200" w:type="dxa"/>
            <w:vAlign w:val="bottom"/>
          </w:tcPr>
          <w:p>
            <w:pPr>
              <w:spacing w:after="0"/>
              <w:rPr>
                <w:sz w:val="18"/>
                <w:szCs w:val="18"/>
                <w:color w:val="auto"/>
              </w:rPr>
            </w:pPr>
          </w:p>
        </w:tc>
        <w:tc>
          <w:tcPr>
            <w:tcW w:w="13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139.7</w:t>
            </w:r>
          </w:p>
        </w:tc>
        <w:tc>
          <w:tcPr>
            <w:tcW w:w="0" w:type="dxa"/>
            <w:vAlign w:val="bottom"/>
          </w:tcPr>
          <w:p>
            <w:pPr>
              <w:spacing w:after="0"/>
              <w:rPr>
                <w:sz w:val="1"/>
                <w:szCs w:val="1"/>
                <w:color w:val="auto"/>
              </w:rPr>
            </w:pPr>
          </w:p>
        </w:tc>
      </w:tr>
      <w:tr>
        <w:trPr>
          <w:trHeight w:val="224"/>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income (loss)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Balance at June 30, 2019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b w:val="1"/>
                <w:bCs w:val="1"/>
                <w:color w:val="auto"/>
              </w:rPr>
              <w:t>(1,570.0)</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77"/>
              <w:spacing w:after="0"/>
              <w:rPr>
                <w:sz w:val="20"/>
                <w:szCs w:val="20"/>
                <w:color w:val="auto"/>
              </w:rPr>
            </w:pPr>
            <w:r>
              <w:rPr>
                <w:rFonts w:ascii="Arial" w:cs="Arial" w:eastAsia="Arial" w:hAnsi="Arial"/>
                <w:sz w:val="18"/>
                <w:szCs w:val="18"/>
                <w:b w:val="1"/>
                <w:bCs w:val="1"/>
                <w:color w:val="auto"/>
              </w:rPr>
              <w:t>4.5</w:t>
            </w:r>
          </w:p>
        </w:tc>
        <w:tc>
          <w:tcPr>
            <w:tcW w:w="280" w:type="dxa"/>
            <w:vAlign w:val="bottom"/>
          </w:tcPr>
          <w:p>
            <w:pPr>
              <w:jc w:val="right"/>
              <w:ind w:right="99"/>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40"/>
              <w:spacing w:after="0"/>
              <w:rPr>
                <w:sz w:val="20"/>
                <w:szCs w:val="20"/>
                <w:color w:val="auto"/>
              </w:rPr>
            </w:pPr>
            <w:r>
              <w:rPr>
                <w:rFonts w:ascii="Arial" w:cs="Arial" w:eastAsia="Arial" w:hAnsi="Arial"/>
                <w:sz w:val="18"/>
                <w:szCs w:val="18"/>
                <w:b w:val="1"/>
                <w:bCs w:val="1"/>
                <w:color w:val="auto"/>
              </w:rPr>
              <w:t>(3,763.3)</w:t>
            </w:r>
          </w:p>
        </w:tc>
        <w:tc>
          <w:tcPr>
            <w:tcW w:w="4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(271.7)</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77"/>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(5,600.5)</w:t>
            </w:r>
          </w:p>
        </w:tc>
        <w:tc>
          <w:tcPr>
            <w:tcW w:w="0" w:type="dxa"/>
            <w:vAlign w:val="bottom"/>
          </w:tcPr>
          <w:p>
            <w:pPr>
              <w:spacing w:after="0"/>
              <w:rPr>
                <w:sz w:val="1"/>
                <w:szCs w:val="1"/>
                <w:color w:val="auto"/>
              </w:rPr>
            </w:pPr>
          </w:p>
        </w:tc>
      </w:tr>
      <w:tr>
        <w:trPr>
          <w:trHeight w:val="723"/>
        </w:trPr>
        <w:tc>
          <w:tcPr>
            <w:tcW w:w="24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560" w:type="dxa"/>
            <w:vAlign w:val="bottom"/>
            <w:tcBorders>
              <w:top w:val="single" w:sz="8" w:color="auto"/>
              <w:bottom w:val="single" w:sz="8" w:color="auto"/>
            </w:tcBorders>
            <w:gridSpan w:val="3"/>
          </w:tcPr>
          <w:p>
            <w:pPr>
              <w:jc w:val="right"/>
              <w:ind w:right="600"/>
              <w:spacing w:after="0"/>
              <w:rPr>
                <w:sz w:val="20"/>
                <w:szCs w:val="20"/>
                <w:color w:val="auto"/>
              </w:rPr>
            </w:pPr>
            <w:r>
              <w:rPr>
                <w:rFonts w:ascii="Arial" w:cs="Arial" w:eastAsia="Arial" w:hAnsi="Arial"/>
                <w:sz w:val="13"/>
                <w:szCs w:val="13"/>
                <w:b w:val="1"/>
                <w:bCs w:val="1"/>
                <w:color w:val="auto"/>
              </w:rPr>
              <w:t>Continuing Operations</w:t>
            </w:r>
          </w:p>
        </w:tc>
        <w:tc>
          <w:tcPr>
            <w:tcW w:w="4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40"/>
              <w:spacing w:after="0" w:line="140" w:lineRule="exact"/>
              <w:rPr>
                <w:sz w:val="20"/>
                <w:szCs w:val="20"/>
                <w:color w:val="auto"/>
              </w:rPr>
            </w:pPr>
            <w:r>
              <w:rPr>
                <w:rFonts w:ascii="Arial" w:cs="Arial" w:eastAsia="Arial" w:hAnsi="Arial"/>
                <w:sz w:val="13"/>
                <w:szCs w:val="13"/>
                <w:b w:val="1"/>
                <w:bCs w:val="1"/>
                <w:color w:val="auto"/>
                <w:w w:val="96"/>
              </w:rPr>
              <w:t>Defined Benefit</w:t>
            </w: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1540" w:type="dxa"/>
            <w:vAlign w:val="bottom"/>
            <w:gridSpan w:val="2"/>
          </w:tcPr>
          <w:p>
            <w:pPr>
              <w:ind w:left="260"/>
              <w:spacing w:after="0" w:line="135" w:lineRule="exact"/>
              <w:rPr>
                <w:sz w:val="20"/>
                <w:szCs w:val="20"/>
                <w:color w:val="auto"/>
              </w:rPr>
            </w:pPr>
            <w:r>
              <w:rPr>
                <w:rFonts w:ascii="Arial" w:cs="Arial" w:eastAsia="Arial" w:hAnsi="Arial"/>
                <w:sz w:val="13"/>
                <w:szCs w:val="13"/>
                <w:b w:val="1"/>
                <w:bCs w:val="1"/>
                <w:color w:val="auto"/>
                <w:w w:val="96"/>
              </w:rPr>
              <w:t>Unrealized Net Gains</w:t>
            </w:r>
          </w:p>
        </w:tc>
        <w:tc>
          <w:tcPr>
            <w:tcW w:w="280" w:type="dxa"/>
            <w:vAlign w:val="bottom"/>
          </w:tcPr>
          <w:p>
            <w:pPr>
              <w:spacing w:after="0"/>
              <w:rPr>
                <w:sz w:val="11"/>
                <w:szCs w:val="11"/>
                <w:color w:val="auto"/>
              </w:rPr>
            </w:pPr>
          </w:p>
        </w:tc>
        <w:tc>
          <w:tcPr>
            <w:tcW w:w="116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8"/>
              </w:rPr>
              <w:t>Pension and</w:t>
            </w: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Translation</w:t>
            </w:r>
          </w:p>
        </w:tc>
        <w:tc>
          <w:tcPr>
            <w:tcW w:w="420" w:type="dxa"/>
            <w:vAlign w:val="bottom"/>
          </w:tcPr>
          <w:p>
            <w:pPr>
              <w:spacing w:after="0"/>
              <w:rPr>
                <w:sz w:val="11"/>
                <w:szCs w:val="11"/>
                <w:color w:val="auto"/>
              </w:rPr>
            </w:pPr>
          </w:p>
        </w:tc>
        <w:tc>
          <w:tcPr>
            <w:tcW w:w="112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(Losses)</w:t>
            </w:r>
          </w:p>
        </w:tc>
        <w:tc>
          <w:tcPr>
            <w:tcW w:w="280" w:type="dxa"/>
            <w:vAlign w:val="bottom"/>
          </w:tcPr>
          <w:p>
            <w:pPr>
              <w:spacing w:after="0"/>
              <w:rPr>
                <w:sz w:val="11"/>
                <w:szCs w:val="11"/>
                <w:color w:val="auto"/>
              </w:rPr>
            </w:pPr>
          </w:p>
        </w:tc>
        <w:tc>
          <w:tcPr>
            <w:tcW w:w="116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Retiree Health</w:t>
            </w:r>
          </w:p>
        </w:tc>
        <w:tc>
          <w:tcPr>
            <w:tcW w:w="14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Effective Portion of</w:t>
            </w:r>
          </w:p>
        </w:tc>
        <w:tc>
          <w:tcPr>
            <w:tcW w:w="320" w:type="dxa"/>
            <w:vAlign w:val="bottom"/>
          </w:tcPr>
          <w:p>
            <w:pPr>
              <w:spacing w:after="0"/>
              <w:rPr>
                <w:sz w:val="11"/>
                <w:szCs w:val="11"/>
                <w:color w:val="auto"/>
              </w:rPr>
            </w:pPr>
          </w:p>
        </w:tc>
        <w:tc>
          <w:tcPr>
            <w:tcW w:w="116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7"/>
              </w:rPr>
              <w:t>Discontinued</w:t>
            </w:r>
          </w:p>
        </w:tc>
        <w:tc>
          <w:tcPr>
            <w:tcW w:w="15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25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Gains (Losses)</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on Securities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7"/>
              </w:rPr>
              <w:t>Benefit Plans</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Cash Flow Hedges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99"/>
              </w:rPr>
              <w:t>Operations</w:t>
            </w: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 xml:space="preserve">Balance at January 1, 2018 </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(1,191.7)</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113.5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0"/>
              <w:spacing w:after="0"/>
              <w:rPr>
                <w:sz w:val="20"/>
                <w:szCs w:val="20"/>
                <w:color w:val="auto"/>
              </w:rPr>
            </w:pPr>
            <w:r>
              <w:rPr>
                <w:rFonts w:ascii="Arial" w:cs="Arial" w:eastAsia="Arial" w:hAnsi="Arial"/>
                <w:sz w:val="18"/>
                <w:szCs w:val="18"/>
                <w:color w:val="auto"/>
              </w:rPr>
              <w:t>(4,311.3)</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(234.3)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(5,694.9)</w:t>
            </w:r>
          </w:p>
        </w:tc>
        <w:tc>
          <w:tcPr>
            <w:tcW w:w="0" w:type="dxa"/>
            <w:vAlign w:val="bottom"/>
          </w:tcPr>
          <w:p>
            <w:pPr>
              <w:spacing w:after="0"/>
              <w:rPr>
                <w:sz w:val="1"/>
                <w:szCs w:val="1"/>
                <w:color w:val="auto"/>
              </w:rPr>
            </w:pPr>
          </w:p>
        </w:tc>
      </w:tr>
      <w:tr>
        <w:trPr>
          <w:trHeight w:val="162"/>
        </w:trPr>
        <w:tc>
          <w:tcPr>
            <w:tcW w:w="2800" w:type="dxa"/>
            <w:vAlign w:val="bottom"/>
            <w:gridSpan w:val="4"/>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940" w:type="dxa"/>
            <w:vAlign w:val="bottom"/>
            <w:gridSpan w:val="5"/>
          </w:tcPr>
          <w:p>
            <w:pPr>
              <w:ind w:left="180"/>
              <w:spacing w:after="0"/>
              <w:rPr>
                <w:sz w:val="20"/>
                <w:szCs w:val="20"/>
                <w:color w:val="auto"/>
              </w:rPr>
            </w:pPr>
            <w:r>
              <w:rPr>
                <w:rFonts w:ascii="Arial" w:cs="Arial" w:eastAsia="Arial" w:hAnsi="Arial"/>
                <w:sz w:val="18"/>
                <w:szCs w:val="18"/>
                <w:color w:val="auto"/>
              </w:rPr>
              <w:t>Reclassification due to adoption</w:t>
            </w: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640" w:type="dxa"/>
            <w:vAlign w:val="bottom"/>
            <w:gridSpan w:val="3"/>
          </w:tcPr>
          <w:p>
            <w:pPr>
              <w:ind w:left="180"/>
              <w:spacing w:after="0" w:line="233" w:lineRule="exact"/>
              <w:rPr>
                <w:sz w:val="20"/>
                <w:szCs w:val="20"/>
                <w:color w:val="auto"/>
              </w:rPr>
            </w:pPr>
            <w:r>
              <w:rPr>
                <w:rFonts w:ascii="Arial" w:cs="Arial" w:eastAsia="Arial" w:hAnsi="Arial"/>
                <w:sz w:val="18"/>
                <w:szCs w:val="18"/>
                <w:color w:val="auto"/>
              </w:rPr>
              <w:t xml:space="preserve">of new accounting standard </w:t>
            </w:r>
            <w:r>
              <w:rPr>
                <w:rFonts w:ascii="Arial" w:cs="Arial" w:eastAsia="Arial" w:hAnsi="Arial"/>
                <w:sz w:val="21"/>
                <w:szCs w:val="21"/>
                <w:color w:val="auto"/>
                <w:vertAlign w:val="superscript"/>
              </w:rPr>
              <w:t>(3)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(128.9)</w:t>
            </w:r>
          </w:p>
        </w:tc>
        <w:tc>
          <w:tcPr>
            <w:tcW w:w="28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9"/>
        </w:trPr>
        <w:tc>
          <w:tcPr>
            <w:tcW w:w="2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(loss) before reclassifications</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29"/>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Net amount reclassified from</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accumulated other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(32.6)</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116.3</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5"/>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other comprehensive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151.3</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(1,561.5)</w:t>
            </w:r>
          </w:p>
        </w:tc>
        <w:tc>
          <w:tcPr>
            <w:tcW w:w="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(4,160.0)</w:t>
            </w:r>
          </w:p>
        </w:tc>
        <w:tc>
          <w:tcPr>
            <w:tcW w:w="4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(228.5)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(6,108.7)</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80" w:hanging="172"/>
        <w:spacing w:after="0" w:line="231" w:lineRule="auto"/>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Accumulated other comprehensive loss as of January 1, 2019 consists of $5.73 billion of accumulated other comprehensive loss attributable to controlling interest and $11.0 million of accumulated other comprehensive loss attributable to noncontrolling interest.</w:t>
      </w:r>
    </w:p>
    <w:p>
      <w:pPr>
        <w:spacing w:after="0" w:line="152" w:lineRule="exact"/>
        <w:rPr>
          <w:rFonts w:ascii="Arial" w:cs="Arial" w:eastAsia="Arial" w:hAnsi="Arial"/>
          <w:sz w:val="21"/>
          <w:szCs w:val="21"/>
          <w:color w:val="auto"/>
          <w:vertAlign w:val="superscript"/>
        </w:rPr>
      </w:pPr>
    </w:p>
    <w:p>
      <w:pPr>
        <w:ind w:left="180" w:hanging="172"/>
        <w:spacing w:after="0" w:line="231" w:lineRule="auto"/>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Accumulated other comprehensive loss as of January 1, 2018 consists of $5.72 billion of accumulated other comprehensive loss attributable to controlling interest and $23.7 million of accumulated other comprehensive income attributable to noncontrolling interest.</w:t>
      </w:r>
    </w:p>
    <w:p>
      <w:pPr>
        <w:spacing w:after="0" w:line="152" w:lineRule="exact"/>
        <w:rPr>
          <w:rFonts w:ascii="Arial" w:cs="Arial" w:eastAsia="Arial" w:hAnsi="Arial"/>
          <w:sz w:val="21"/>
          <w:szCs w:val="21"/>
          <w:color w:val="auto"/>
          <w:vertAlign w:val="superscript"/>
        </w:rPr>
      </w:pPr>
    </w:p>
    <w:p>
      <w:pPr>
        <w:ind w:left="180" w:hanging="172"/>
        <w:spacing w:after="0" w:line="272" w:lineRule="auto"/>
        <w:tabs>
          <w:tab w:leader="none" w:pos="175" w:val="left"/>
        </w:tabs>
        <w:numPr>
          <w:ilvl w:val="0"/>
          <w:numId w:val="15"/>
        </w:numPr>
        <w:rPr>
          <w:rFonts w:ascii="Arial" w:cs="Arial" w:eastAsia="Arial" w:hAnsi="Arial"/>
          <w:sz w:val="19"/>
          <w:szCs w:val="19"/>
          <w:color w:val="auto"/>
          <w:vertAlign w:val="superscript"/>
        </w:rPr>
      </w:pPr>
      <w:r>
        <w:rPr>
          <w:rFonts w:ascii="Arial" w:cs="Arial" w:eastAsia="Arial" w:hAnsi="Arial"/>
          <w:sz w:val="13"/>
          <w:szCs w:val="13"/>
          <w:color w:val="auto"/>
        </w:rPr>
        <w:t>This reclassification consists of $105.2 million of accumulated other comprehensive loss attributable to controlling interest and $23.7 million of accumulated other comprehensive loss attributable to noncontrolling interest.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2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18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7.3</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(58.3)</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(12.0)</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63"/>
        </w:trPr>
        <w:tc>
          <w:tcPr>
            <w:tcW w:w="636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260" w:type="dxa"/>
            <w:vAlign w:val="bottom"/>
          </w:tcPr>
          <w:p>
            <w:pPr>
              <w:spacing w:after="0"/>
              <w:rPr>
                <w:sz w:val="22"/>
                <w:szCs w:val="22"/>
                <w:color w:val="auto"/>
              </w:rPr>
            </w:pPr>
          </w:p>
        </w:tc>
        <w:tc>
          <w:tcPr>
            <w:tcW w:w="880" w:type="dxa"/>
            <w:vAlign w:val="bottom"/>
          </w:tcPr>
          <w:p>
            <w:pPr>
              <w:jc w:val="right"/>
              <w:ind w:right="117"/>
              <w:spacing w:after="0"/>
              <w:rPr>
                <w:sz w:val="20"/>
                <w:szCs w:val="20"/>
                <w:color w:val="auto"/>
              </w:rPr>
            </w:pPr>
            <w:r>
              <w:rPr>
                <w:rFonts w:ascii="Arial" w:cs="Arial" w:eastAsia="Arial" w:hAnsi="Arial"/>
                <w:sz w:val="18"/>
                <w:szCs w:val="18"/>
                <w:b w:val="1"/>
                <w:bCs w:val="1"/>
                <w:color w:val="auto"/>
              </w:rPr>
              <w:t>(2.1)</w:t>
            </w:r>
          </w:p>
        </w:tc>
        <w:tc>
          <w:tcPr>
            <w:tcW w:w="46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22"/>
                <w:szCs w:val="22"/>
                <w:color w:val="auto"/>
              </w:rPr>
            </w:pPr>
          </w:p>
        </w:tc>
        <w:tc>
          <w:tcPr>
            <w:tcW w:w="880" w:type="dxa"/>
            <w:vAlign w:val="bottom"/>
          </w:tcPr>
          <w:p>
            <w:pPr>
              <w:jc w:val="right"/>
              <w:ind w:right="117"/>
              <w:spacing w:after="0"/>
              <w:rPr>
                <w:sz w:val="20"/>
                <w:szCs w:val="20"/>
                <w:color w:val="auto"/>
              </w:rPr>
            </w:pPr>
            <w:r>
              <w:rPr>
                <w:rFonts w:ascii="Arial" w:cs="Arial" w:eastAsia="Arial" w:hAnsi="Arial"/>
                <w:sz w:val="18"/>
                <w:szCs w:val="18"/>
                <w:b w:val="1"/>
                <w:bCs w:val="1"/>
                <w:color w:val="auto"/>
              </w:rPr>
              <w:t>(6.9)</w:t>
            </w:r>
          </w:p>
        </w:tc>
        <w:tc>
          <w:tcPr>
            <w:tcW w:w="480" w:type="dxa"/>
            <w:vAlign w:val="bottom"/>
          </w:tcPr>
          <w:p>
            <w:pPr>
              <w:spacing w:after="0"/>
              <w:rPr>
                <w:sz w:val="22"/>
                <w:szCs w:val="22"/>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7"/>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(13.4)</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(23.6)</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(24.8)</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0.7</w:t>
            </w: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(0.7)</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8.7</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Benefit/(provision) for income taxes allocated to other comprehensive income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(7.5)</w:t>
            </w:r>
          </w:p>
        </w:tc>
        <w:tc>
          <w:tcPr>
            <w:tcW w:w="4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(91.5)</w:t>
            </w:r>
          </w:p>
        </w:tc>
        <w:tc>
          <w:tcPr>
            <w:tcW w:w="4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(35.0)</w:t>
            </w:r>
          </w:p>
        </w:tc>
        <w:tc>
          <w:tcPr>
            <w:tcW w:w="4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items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82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2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gridSpan w:val="5"/>
            <w:vMerge w:val="restart"/>
          </w:tcPr>
          <w:p>
            <w:pPr>
              <w:jc w:val="right"/>
              <w:ind w:right="313"/>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3960" w:type="dxa"/>
            <w:vAlign w:val="bottom"/>
            <w:vMerge w:val="continue"/>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9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5"/>
                <w:szCs w:val="5"/>
                <w:color w:val="auto"/>
              </w:rPr>
            </w:pPr>
          </w:p>
        </w:tc>
        <w:tc>
          <w:tcPr>
            <w:tcW w:w="7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5"/>
                <w:szCs w:val="5"/>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6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Components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right"/>
              <w:ind w:right="333"/>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Prior service benefits, net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(14.2)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3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2"/>
                <w:szCs w:val="22"/>
                <w:color w:val="auto"/>
              </w:rPr>
            </w:pPr>
          </w:p>
        </w:tc>
        <w:tc>
          <w:tcPr>
            <w:tcW w:w="2480" w:type="dxa"/>
            <w:vAlign w:val="bottom"/>
            <w:gridSpan w:val="4"/>
          </w:tcPr>
          <w:p>
            <w:pPr>
              <w:ind w:left="100"/>
              <w:spacing w:after="0"/>
              <w:rPr>
                <w:sz w:val="20"/>
                <w:szCs w:val="20"/>
                <w:color w:val="auto"/>
              </w:rPr>
            </w:pPr>
            <w:r>
              <w:rPr>
                <w:rFonts w:ascii="Arial" w:cs="Arial" w:eastAsia="Arial" w:hAnsi="Arial"/>
                <w:sz w:val="18"/>
                <w:szCs w:val="18"/>
                <w:color w:val="auto"/>
              </w:rPr>
              <w:t>Other–net, (income) expense</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losses, net</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73.5</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93.3</w:t>
            </w:r>
          </w:p>
        </w:tc>
        <w:tc>
          <w:tcPr>
            <w:tcW w:w="2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143.6</w:t>
            </w:r>
          </w:p>
        </w:tc>
        <w:tc>
          <w:tcPr>
            <w:tcW w:w="3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185.7</w:t>
            </w:r>
          </w:p>
        </w:tc>
        <w:tc>
          <w:tcPr>
            <w:tcW w:w="80" w:type="dxa"/>
            <w:vAlign w:val="bottom"/>
            <w:shd w:val="clear" w:color="auto" w:fill="CCEEFF"/>
          </w:tcPr>
          <w:p>
            <w:pPr>
              <w:spacing w:after="0"/>
              <w:rPr>
                <w:sz w:val="23"/>
                <w:szCs w:val="23"/>
                <w:color w:val="auto"/>
              </w:rPr>
            </w:pPr>
          </w:p>
        </w:tc>
        <w:tc>
          <w:tcPr>
            <w:tcW w:w="24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Other–net, (income) expense</w:t>
            </w: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960" w:type="dxa"/>
            <w:vAlign w:val="bottom"/>
          </w:tcPr>
          <w:p>
            <w:pPr>
              <w:jc w:val="right"/>
              <w:ind w:right="53"/>
              <w:spacing w:after="0"/>
              <w:rPr>
                <w:sz w:val="20"/>
                <w:szCs w:val="20"/>
                <w:color w:val="auto"/>
              </w:rPr>
            </w:pPr>
            <w:r>
              <w:rPr>
                <w:rFonts w:ascii="Arial" w:cs="Arial" w:eastAsia="Arial" w:hAnsi="Arial"/>
                <w:sz w:val="18"/>
                <w:szCs w:val="18"/>
                <w:color w:val="auto"/>
              </w:rPr>
              <w:t>Total before tax</w:t>
            </w:r>
          </w:p>
        </w:tc>
        <w:tc>
          <w:tcPr>
            <w:tcW w:w="200" w:type="dxa"/>
            <w:vAlign w:val="bottom"/>
          </w:tcPr>
          <w:p>
            <w:pPr>
              <w:spacing w:after="0"/>
              <w:rPr>
                <w:sz w:val="22"/>
                <w:szCs w:val="22"/>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b w:val="1"/>
                <w:bCs w:val="1"/>
                <w:color w:val="auto"/>
              </w:rPr>
              <w:t>59.3</w:t>
            </w:r>
          </w:p>
        </w:tc>
        <w:tc>
          <w:tcPr>
            <w:tcW w:w="340" w:type="dxa"/>
            <w:vAlign w:val="bottom"/>
          </w:tcPr>
          <w:p>
            <w:pPr>
              <w:spacing w:after="0"/>
              <w:rPr>
                <w:sz w:val="22"/>
                <w:szCs w:val="22"/>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74.2</w:t>
            </w:r>
          </w:p>
        </w:tc>
        <w:tc>
          <w:tcPr>
            <w:tcW w:w="260" w:type="dxa"/>
            <w:vAlign w:val="bottom"/>
          </w:tcPr>
          <w:p>
            <w:pPr>
              <w:spacing w:after="0"/>
              <w:rPr>
                <w:sz w:val="22"/>
                <w:szCs w:val="22"/>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b w:val="1"/>
                <w:bCs w:val="1"/>
                <w:color w:val="auto"/>
              </w:rPr>
              <w:t>115.1</w:t>
            </w:r>
          </w:p>
        </w:tc>
        <w:tc>
          <w:tcPr>
            <w:tcW w:w="380" w:type="dxa"/>
            <w:vAlign w:val="bottom"/>
          </w:tcPr>
          <w:p>
            <w:pPr>
              <w:spacing w:after="0"/>
              <w:rPr>
                <w:sz w:val="22"/>
                <w:szCs w:val="22"/>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147.2</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(12.3)</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2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3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23"/>
                <w:szCs w:val="23"/>
                <w:color w:val="auto"/>
              </w:rPr>
            </w:pPr>
          </w:p>
        </w:tc>
        <w:tc>
          <w:tcPr>
            <w:tcW w:w="1980" w:type="dxa"/>
            <w:vAlign w:val="bottom"/>
            <w:gridSpan w:val="3"/>
            <w:shd w:val="clear" w:color="auto" w:fill="CCEEFF"/>
          </w:tcPr>
          <w:p>
            <w:pPr>
              <w:jc w:val="right"/>
              <w:ind w:right="637"/>
              <w:spacing w:after="0"/>
              <w:rPr>
                <w:sz w:val="20"/>
                <w:szCs w:val="20"/>
                <w:color w:val="auto"/>
              </w:rPr>
            </w:pPr>
            <w:r>
              <w:rPr>
                <w:rFonts w:ascii="Arial" w:cs="Arial" w:eastAsia="Arial" w:hAnsi="Arial"/>
                <w:sz w:val="18"/>
                <w:szCs w:val="18"/>
                <w:color w:val="auto"/>
              </w:rPr>
              <w:t>Income taxes</w:t>
            </w: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960" w:type="dxa"/>
            <w:vAlign w:val="bottom"/>
          </w:tcPr>
          <w:p>
            <w:pPr>
              <w:jc w:val="right"/>
              <w:ind w:right="53"/>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22"/>
                <w:szCs w:val="22"/>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b w:val="1"/>
                <w:bCs w:val="1"/>
                <w:color w:val="auto"/>
              </w:rPr>
              <w:t>47.0</w:t>
            </w:r>
          </w:p>
        </w:tc>
        <w:tc>
          <w:tcPr>
            <w:tcW w:w="340" w:type="dxa"/>
            <w:vAlign w:val="bottom"/>
          </w:tcPr>
          <w:p>
            <w:pPr>
              <w:spacing w:after="0"/>
              <w:rPr>
                <w:sz w:val="22"/>
                <w:szCs w:val="22"/>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58.6</w:t>
            </w:r>
          </w:p>
        </w:tc>
        <w:tc>
          <w:tcPr>
            <w:tcW w:w="260" w:type="dxa"/>
            <w:vAlign w:val="bottom"/>
          </w:tcPr>
          <w:p>
            <w:pPr>
              <w:spacing w:after="0"/>
              <w:rPr>
                <w:sz w:val="22"/>
                <w:szCs w:val="22"/>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b w:val="1"/>
                <w:bCs w:val="1"/>
                <w:color w:val="auto"/>
              </w:rPr>
              <w:t>91.7</w:t>
            </w:r>
          </w:p>
        </w:tc>
        <w:tc>
          <w:tcPr>
            <w:tcW w:w="380" w:type="dxa"/>
            <w:vAlign w:val="bottom"/>
          </w:tcPr>
          <w:p>
            <w:pPr>
              <w:spacing w:after="0"/>
              <w:rPr>
                <w:sz w:val="22"/>
                <w:szCs w:val="22"/>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60" w:type="dxa"/>
            <w:vAlign w:val="bottom"/>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80" w:type="dxa"/>
            <w:vAlign w:val="bottom"/>
            <w:gridSpan w:val="4"/>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of tax</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2.9</w:t>
            </w: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(30.1)</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7.6</w:t>
            </w: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bottom w:val="single" w:sz="8" w:color="CCEEFF"/>
            </w:tcBorders>
          </w:tcPr>
          <w:p>
            <w:pPr>
              <w:spacing w:after="0"/>
              <w:rPr>
                <w:sz w:val="22"/>
                <w:szCs w:val="22"/>
                <w:color w:val="auto"/>
              </w:rPr>
            </w:pPr>
          </w:p>
        </w:tc>
        <w:tc>
          <w:tcPr>
            <w:tcW w:w="248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Other–net, (income) expense</w:t>
            </w:r>
          </w:p>
        </w:tc>
        <w:tc>
          <w:tcPr>
            <w:tcW w:w="8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from continuing operations</w:t>
            </w:r>
          </w:p>
        </w:tc>
        <w:tc>
          <w:tcPr>
            <w:tcW w:w="2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49.9</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99.3</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0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Reclassifications from discontinued operations</w:t>
            </w:r>
          </w:p>
        </w:tc>
        <w:tc>
          <w:tcPr>
            <w:tcW w:w="200" w:type="dxa"/>
            <w:vAlign w:val="bottom"/>
          </w:tcPr>
          <w:p>
            <w:pPr>
              <w:spacing w:after="0"/>
              <w:rPr>
                <w:sz w:val="19"/>
                <w:szCs w:val="19"/>
                <w:color w:val="auto"/>
              </w:rPr>
            </w:pPr>
          </w:p>
        </w:tc>
        <w:tc>
          <w:tcPr>
            <w:tcW w:w="76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84.0</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4040" w:type="dxa"/>
            <w:vAlign w:val="bottom"/>
            <w:gridSpan w:val="7"/>
          </w:tcPr>
          <w:p>
            <w:pPr>
              <w:jc w:val="right"/>
              <w:ind w:right="13"/>
              <w:spacing w:after="0"/>
              <w:rPr>
                <w:sz w:val="20"/>
                <w:szCs w:val="20"/>
                <w:color w:val="auto"/>
              </w:rPr>
            </w:pPr>
            <w:r>
              <w:rPr>
                <w:rFonts w:ascii="Arial" w:cs="Arial" w:eastAsia="Arial" w:hAnsi="Arial"/>
                <w:sz w:val="18"/>
                <w:szCs w:val="18"/>
                <w:color w:val="auto"/>
              </w:rPr>
              <w:t>1.4  Net income from discontinued operations</w:t>
            </w: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49.9</w:t>
            </w:r>
          </w:p>
        </w:tc>
        <w:tc>
          <w:tcPr>
            <w:tcW w:w="3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29.2</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183.3</w:t>
            </w:r>
          </w:p>
        </w:tc>
        <w:tc>
          <w:tcPr>
            <w:tcW w:w="3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tcBorders>
            <w:shd w:val="clear" w:color="auto" w:fill="CCEEFF"/>
          </w:tcPr>
          <w:p>
            <w:pPr>
              <w:spacing w:after="0"/>
              <w:rPr>
                <w:sz w:val="24"/>
                <w:szCs w:val="24"/>
                <w:color w:val="auto"/>
              </w:rPr>
            </w:pPr>
          </w:p>
        </w:tc>
        <w:tc>
          <w:tcPr>
            <w:tcW w:w="10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Note 13: Other–Net, (Income) Expense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gridSpan w:val="4"/>
          </w:tcPr>
          <w:p>
            <w:pPr>
              <w:spacing w:after="0"/>
              <w:rPr>
                <w:sz w:val="20"/>
                <w:szCs w:val="20"/>
                <w:color w:val="auto"/>
              </w:rPr>
            </w:pPr>
            <w:r>
              <w:rPr>
                <w:rFonts w:ascii="Arial" w:cs="Arial" w:eastAsia="Arial" w:hAnsi="Arial"/>
                <w:sz w:val="18"/>
                <w:szCs w:val="18"/>
                <w:color w:val="auto"/>
              </w:rPr>
              <w:t>Other–net, (income) expense consisted of the following:</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4"/>
          </w:tcPr>
          <w:p>
            <w:pPr>
              <w:jc w:val="center"/>
              <w:ind w:left="235"/>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110.9</w:t>
            </w:r>
          </w:p>
        </w:tc>
        <w:tc>
          <w:tcPr>
            <w:tcW w:w="6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63.3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197.4</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6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56"/>
              <w:spacing w:after="0"/>
              <w:rPr>
                <w:sz w:val="20"/>
                <w:szCs w:val="20"/>
                <w:color w:val="auto"/>
              </w:rPr>
            </w:pPr>
            <w:r>
              <w:rPr>
                <w:rFonts w:ascii="Arial" w:cs="Arial" w:eastAsia="Arial" w:hAnsi="Arial"/>
                <w:sz w:val="18"/>
                <w:szCs w:val="18"/>
                <w:b w:val="1"/>
                <w:bCs w:val="1"/>
                <w:color w:val="auto"/>
              </w:rPr>
              <w:t>(19.4)</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7"/>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Retirement benefit plans</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(49.8)</w:t>
            </w: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(105.7)</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8"/>
                <w:szCs w:val="18"/>
                <w:b w:val="1"/>
                <w:bCs w:val="1"/>
                <w:color w:val="auto"/>
              </w:rPr>
              <w:t>(9.3)</w:t>
            </w: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Other–net, (income) expense</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gridSpan w:val="2"/>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32.4</w:t>
            </w:r>
          </w:p>
        </w:tc>
        <w:tc>
          <w:tcPr>
            <w:tcW w:w="64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706"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ind w:right="28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Item 1 of Part I of this Quarterly Report on Form 10-Q. Certain statements in this Item 2 of Part I of this Quarterly Report on Form 10-Q constitute forward-looking statements. Various risks and uncertainties, including those discussed in "Forward-Looking Statements" and Item 1A, “Risk Factors,” of Part I of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may cause our actual results, financial position, and cash generated from operations to differ materially from these forward-looking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4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(loss) per share (EPS) data are presented on a diluted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5,636.7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5,585.0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10,728.9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10,548.8</w:t>
            </w:r>
          </w:p>
        </w:tc>
        <w:tc>
          <w:tcPr>
            <w:tcW w:w="9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4,511.8</w:t>
            </w:r>
          </w:p>
        </w:tc>
        <w:tc>
          <w:tcPr>
            <w:tcW w:w="44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4,350.7</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22"/>
                <w:szCs w:val="22"/>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b w:val="1"/>
                <w:bCs w:val="1"/>
                <w:color w:val="auto"/>
              </w:rPr>
              <w:t>8,465.3</w:t>
            </w:r>
          </w:p>
        </w:tc>
        <w:tc>
          <w:tcPr>
            <w:tcW w:w="40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8,149.9</w:t>
            </w:r>
          </w:p>
        </w:tc>
        <w:tc>
          <w:tcPr>
            <w:tcW w:w="900" w:type="dxa"/>
            <w:vAlign w:val="bottom"/>
          </w:tcPr>
          <w:p>
            <w:pPr>
              <w:jc w:val="center"/>
              <w:ind w:left="33"/>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2,988.5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2,756.6</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54"/>
              <w:spacing w:after="0"/>
              <w:rPr>
                <w:sz w:val="20"/>
                <w:szCs w:val="20"/>
                <w:color w:val="auto"/>
              </w:rPr>
            </w:pPr>
            <w:r>
              <w:rPr>
                <w:rFonts w:ascii="Arial" w:cs="Arial" w:eastAsia="Arial" w:hAnsi="Arial"/>
                <w:sz w:val="18"/>
                <w:szCs w:val="18"/>
                <w:b w:val="1"/>
                <w:bCs w:val="1"/>
                <w:color w:val="auto"/>
              </w:rPr>
              <w:t>5,736.1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5,202.8</w:t>
            </w:r>
          </w:p>
        </w:tc>
        <w:tc>
          <w:tcPr>
            <w:tcW w:w="900" w:type="dxa"/>
            <w:vAlign w:val="bottom"/>
          </w:tcPr>
          <w:p>
            <w:pPr>
              <w:jc w:val="center"/>
              <w:ind w:left="13"/>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3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0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25.0</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161.9</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(IPR&amp;D)</w:t>
            </w:r>
          </w:p>
        </w:tc>
        <w:tc>
          <w:tcPr>
            <w:tcW w:w="30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1,624.5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1,624.5</w:t>
            </w:r>
          </w:p>
        </w:tc>
        <w:tc>
          <w:tcPr>
            <w:tcW w:w="9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w:t>
            </w:r>
          </w:p>
        </w:tc>
        <w:tc>
          <w:tcPr>
            <w:tcW w:w="300" w:type="dxa"/>
            <w:vAlign w:val="bottom"/>
          </w:tcPr>
          <w:p>
            <w:pPr>
              <w:spacing w:after="0"/>
              <w:rPr>
                <w:sz w:val="19"/>
                <w:szCs w:val="19"/>
                <w:color w:val="auto"/>
              </w:rPr>
            </w:pPr>
          </w:p>
        </w:tc>
        <w:tc>
          <w:tcPr>
            <w:tcW w:w="106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423.9</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8"/>
                <w:szCs w:val="18"/>
                <w:color w:val="auto"/>
              </w:rPr>
              <w:t>special charges</w:t>
            </w: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31.3</w:t>
            </w:r>
          </w:p>
        </w:tc>
        <w:tc>
          <w:tcPr>
            <w:tcW w:w="900" w:type="dxa"/>
            <w:vAlign w:val="bottom"/>
          </w:tcPr>
          <w:p>
            <w:pPr>
              <w:jc w:val="center"/>
              <w:ind w:left="1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1,327.2</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(231.6)</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1,888.3</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935.6</w:t>
            </w:r>
          </w:p>
        </w:tc>
        <w:tc>
          <w:tcPr>
            <w:tcW w:w="9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Net income (loss) from discontinued operations</w:t>
            </w:r>
          </w:p>
        </w:tc>
        <w:tc>
          <w:tcPr>
            <w:tcW w:w="30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tcPr>
          <w:p>
            <w:pPr>
              <w:spacing w:after="0"/>
              <w:rPr>
                <w:sz w:val="22"/>
                <w:szCs w:val="22"/>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b w:val="1"/>
                <w:bCs w:val="1"/>
                <w:color w:val="auto"/>
              </w:rPr>
              <w:t>3,680.5</w:t>
            </w:r>
          </w:p>
        </w:tc>
        <w:tc>
          <w:tcPr>
            <w:tcW w:w="40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21.9</w:t>
            </w:r>
          </w:p>
        </w:tc>
        <w:tc>
          <w:tcPr>
            <w:tcW w:w="900" w:type="dxa"/>
            <w:vAlign w:val="bottom"/>
          </w:tcPr>
          <w:p>
            <w:pPr>
              <w:jc w:val="center"/>
              <w:ind w:left="1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1,327.2</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(259.9)</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5,568.8</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957.5</w:t>
            </w:r>
          </w:p>
        </w:tc>
        <w:tc>
          <w:tcPr>
            <w:tcW w:w="9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Earnings (loss) per share from continuing</w:t>
            </w:r>
          </w:p>
        </w:tc>
        <w:tc>
          <w:tcPr>
            <w:tcW w:w="300" w:type="dxa"/>
            <w:vAlign w:val="bottom"/>
          </w:tcPr>
          <w:p>
            <w:pPr>
              <w:spacing w:after="0"/>
              <w:rPr>
                <w:sz w:val="19"/>
                <w:szCs w:val="19"/>
                <w:color w:val="auto"/>
              </w:rPr>
            </w:pPr>
          </w:p>
        </w:tc>
        <w:tc>
          <w:tcPr>
            <w:tcW w:w="106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1.44</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1.98</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(0.22)</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0.90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per share from discontinued</w:t>
            </w:r>
          </w:p>
        </w:tc>
        <w:tc>
          <w:tcPr>
            <w:tcW w:w="30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3.86</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(0.03)</w:t>
            </w: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0.02</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0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1.44</w:t>
            </w:r>
          </w:p>
        </w:tc>
        <w:tc>
          <w:tcPr>
            <w:tcW w:w="44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(0.25)</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tcPr>
          <w:p>
            <w:pPr>
              <w:spacing w:after="0"/>
              <w:rPr>
                <w:sz w:val="22"/>
                <w:szCs w:val="22"/>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b w:val="1"/>
                <w:bCs w:val="1"/>
                <w:color w:val="auto"/>
              </w:rPr>
              <w:t>5.84</w:t>
            </w:r>
          </w:p>
        </w:tc>
        <w:tc>
          <w:tcPr>
            <w:tcW w:w="40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0.92</w:t>
            </w:r>
          </w:p>
        </w:tc>
        <w:tc>
          <w:tcPr>
            <w:tcW w:w="900" w:type="dxa"/>
            <w:vAlign w:val="bottom"/>
          </w:tcPr>
          <w:p>
            <w:pPr>
              <w:jc w:val="center"/>
              <w:ind w:left="1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 increased for the three and six months ended June 30, 2019 driven by increased volume, partially offset by lower realized prices and the unfavorable impact of foreign exchange rates. Operating expenses increased for the three and six months ended June 30, 2019, reflecting additional investments in recently launched products and late-stage assets. The increase in net income (loss) and earnings (loss) per share for the three months ended June 30, 2019 were primarily driven by lower acquired IPR&amp;D charges. EPS for the three months ended June 30, 2019 also benefited as a result of the retirement of shares in the Elanco Animal Health (Elanco) exchange offer and other share repurchases. The increase in net income (loss) and EPS for the six months ended June 30, 2019 were driven primarily by the gain recognized on the disposition of Elanco.</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7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following highlighted items also affect comparisons of our financial results for the three and six months ended June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recognized acquired IPR&amp;D charges of $25.0 million and $161.9 million for the three and six months ended June 30, 2019, respectively. The charge for the three months ended June 30, 2019 was related to the collaboration with Avidity Biosciences,Inc (Avidity). The charges for the six months ended June 30, 2019 also included charges related to collaborations with AC Immune SA (AC Immune) and ImmuNext, Inc. (ImmuNext).</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6 to the consolidated condensed financial statements)</w:t>
      </w:r>
    </w:p>
    <w:p>
      <w:pPr>
        <w:spacing w:after="0" w:line="117" w:lineRule="exact"/>
        <w:rPr>
          <w:sz w:val="20"/>
          <w:szCs w:val="20"/>
          <w:color w:val="auto"/>
        </w:rPr>
      </w:pPr>
    </w:p>
    <w:p>
      <w:pPr>
        <w:ind w:left="660" w:right="1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recognized charges of $423.9 million for the six months ended June 30, 2019, primarily associated with the accelerated vesting of Loxo Oncology, Inc. (Loxo) employee equity awards as a result of the closing of the acquisition of Loxo.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660" w:right="62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recognized acquired IPR&amp;D charges of $1.62 billion for the three and six months ended June 30, 2018 associated with the acquisitions of ARMO Biosciences, Inc. (ARMO) and AurKa Pharma, Inc. (AurKa), and in connection with the collaborative arrangement with Sigilon Therapeutics (Sigilon). The charges for ARMO and AurKa totaling $1.56 billion are not tax deductible.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6 to the consolidated condensed financial statements)</w:t>
      </w:r>
    </w:p>
    <w:p>
      <w:pPr>
        <w:spacing w:after="0" w:line="117" w:lineRule="exact"/>
        <w:rPr>
          <w:sz w:val="20"/>
          <w:szCs w:val="20"/>
          <w:color w:val="auto"/>
        </w:rPr>
      </w:pPr>
    </w:p>
    <w:p>
      <w:pPr>
        <w:ind w:left="660" w:right="24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recognized a gain of $25.5 million for the three months ended June 30, 2018. We recognized charges of $31.3 million for the six months ended June 30,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40 potential new drugs in human testing or under regulatory review and a larger number of projects in preclinical research.</w:t>
      </w:r>
    </w:p>
    <w:p>
      <w:pPr>
        <w:spacing w:after="0" w:line="14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following new molecular entities (NMEs) have been approved by regulatory authorities in at least one of the major geographies for use in the condition described. The first quarter in which the NMEs initially were approved in any major geography for any indication is shown in parentheses:</w:t>
      </w:r>
    </w:p>
    <w:p>
      <w:pPr>
        <w:spacing w:after="0" w:line="126" w:lineRule="exact"/>
        <w:rPr>
          <w:sz w:val="20"/>
          <w:szCs w:val="20"/>
          <w:color w:val="auto"/>
        </w:rPr>
      </w:pPr>
    </w:p>
    <w:p>
      <w:pPr>
        <w:ind w:left="660" w:right="60"/>
        <w:spacing w:after="0" w:line="249" w:lineRule="auto"/>
        <w:rPr>
          <w:rFonts w:ascii="Arial" w:cs="Arial" w:eastAsia="Arial" w:hAnsi="Arial"/>
          <w:sz w:val="18"/>
          <w:szCs w:val="18"/>
          <w:color w:val="auto"/>
        </w:rPr>
      </w:pPr>
      <w:r>
        <w:rPr>
          <w:rFonts w:ascii="Arial" w:cs="Arial" w:eastAsia="Arial" w:hAnsi="Arial"/>
          <w:sz w:val="18"/>
          <w:szCs w:val="18"/>
          <w:b w:val="1"/>
          <w:bCs w:val="1"/>
          <w:color w:val="auto"/>
        </w:rPr>
        <w:t>Galcanezumab* (Emgality</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2018)</w:t>
      </w:r>
      <w:r>
        <w:rPr>
          <w:rFonts w:ascii="Arial" w:cs="Arial" w:eastAsia="Arial" w:hAnsi="Arial"/>
          <w:sz w:val="18"/>
          <w:szCs w:val="18"/>
          <w:color w:val="auto"/>
        </w:rPr>
        <w:t>—a once-monthly subcutaneously injected calcitonin gene-related peptide (CGRP)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treatment of migraine prevention. Refer to Item 1, "Legal Proceedings - Other Patent Matters" of Part II on our Quarterly Report on </w:t>
      </w:r>
      <w:hyperlink r:id="rId1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for discussion of the lawsuit filed by Teva Pharmaceuticals International GMBH and Teva Pharmaceuticals USA, Inc.</w:t>
      </w:r>
    </w:p>
    <w:p>
      <w:pPr>
        <w:spacing w:after="0" w:line="132" w:lineRule="exact"/>
        <w:rPr>
          <w:sz w:val="20"/>
          <w:szCs w:val="20"/>
          <w:color w:val="auto"/>
        </w:rPr>
      </w:pPr>
    </w:p>
    <w:p>
      <w:pPr>
        <w:ind w:left="660" w:right="200"/>
        <w:spacing w:after="0" w:line="247" w:lineRule="auto"/>
        <w:rPr>
          <w:sz w:val="20"/>
          <w:szCs w:val="20"/>
          <w:color w:val="auto"/>
        </w:rPr>
      </w:pPr>
      <w:r>
        <w:rPr>
          <w:rFonts w:ascii="Arial" w:cs="Arial" w:eastAsia="Arial" w:hAnsi="Arial"/>
          <w:sz w:val="18"/>
          <w:szCs w:val="18"/>
          <w:b w:val="1"/>
          <w:bCs w:val="1"/>
          <w:color w:val="auto"/>
        </w:rPr>
        <w:t>Nasal glucagon* (Baqsimi</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2019)</w:t>
      </w:r>
      <w:r>
        <w:rPr>
          <w:rFonts w:ascii="Arial" w:cs="Arial" w:eastAsia="Arial" w:hAnsi="Arial"/>
          <w:sz w:val="18"/>
          <w:szCs w:val="18"/>
          <w:color w:val="auto"/>
        </w:rPr>
        <w:t>—a glucagon nasal powder formulation for the treatment of severe hypoglycemia in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diabetes ages four years and above.</w:t>
      </w:r>
    </w:p>
    <w:p>
      <w:pPr>
        <w:spacing w:after="0" w:line="155" w:lineRule="exact"/>
        <w:rPr>
          <w:sz w:val="20"/>
          <w:szCs w:val="20"/>
          <w:color w:val="auto"/>
        </w:rPr>
      </w:pPr>
    </w:p>
    <w:p>
      <w:pPr>
        <w:jc w:val="both"/>
        <w:ind w:right="460"/>
        <w:spacing w:after="0" w:line="262" w:lineRule="auto"/>
        <w:rPr>
          <w:sz w:val="20"/>
          <w:szCs w:val="20"/>
          <w:color w:val="auto"/>
        </w:rPr>
      </w:pPr>
      <w:r>
        <w:rPr>
          <w:rFonts w:ascii="Arial" w:cs="Arial" w:eastAsia="Arial" w:hAnsi="Arial"/>
          <w:sz w:val="18"/>
          <w:szCs w:val="18"/>
          <w:color w:val="auto"/>
        </w:rPr>
        <w:t>The following NMEs have been submitted for regulatory review in at least one of the major geographies for potential use in the conditions described. The first quarter in which each NME initially was submitted in any major geography for any indication is shown in parentheses:</w:t>
      </w:r>
    </w:p>
    <w:p>
      <w:pPr>
        <w:spacing w:after="0" w:line="120"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b w:val="1"/>
          <w:bCs w:val="1"/>
          <w:color w:val="auto"/>
        </w:rPr>
        <w:t>Lasmiditan (Q4 2018)</w:t>
      </w:r>
      <w:r>
        <w:rPr>
          <w:rFonts w:ascii="Arial" w:cs="Arial" w:eastAsia="Arial" w:hAnsi="Arial"/>
          <w:sz w:val="18"/>
          <w:szCs w:val="18"/>
          <w:color w:val="auto"/>
        </w:rPr>
        <w:t>—an oral 5-HT1F agonist for the acute treatment of migraine. In the United States (U.S.), lasmiditan is protected</w:t>
      </w:r>
      <w:r>
        <w:rPr>
          <w:rFonts w:ascii="Arial" w:cs="Arial" w:eastAsia="Arial" w:hAnsi="Arial"/>
          <w:sz w:val="18"/>
          <w:szCs w:val="18"/>
          <w:b w:val="1"/>
          <w:bCs w:val="1"/>
          <w:color w:val="auto"/>
        </w:rPr>
        <w:t xml:space="preserve"> </w:t>
      </w:r>
      <w:r>
        <w:rPr>
          <w:rFonts w:ascii="Arial" w:cs="Arial" w:eastAsia="Arial" w:hAnsi="Arial"/>
          <w:sz w:val="18"/>
          <w:szCs w:val="18"/>
          <w:color w:val="auto"/>
        </w:rPr>
        <w:t>by a compound patent (2025, including possible extension upon approval).</w:t>
      </w:r>
    </w:p>
    <w:p>
      <w:pPr>
        <w:spacing w:after="0" w:line="99" w:lineRule="exact"/>
        <w:rPr>
          <w:sz w:val="20"/>
          <w:szCs w:val="20"/>
          <w:color w:val="auto"/>
        </w:rPr>
      </w:pPr>
    </w:p>
    <w:p>
      <w:pPr>
        <w:ind w:left="660" w:right="300"/>
        <w:spacing w:after="0" w:line="269" w:lineRule="auto"/>
        <w:rPr>
          <w:sz w:val="20"/>
          <w:szCs w:val="20"/>
          <w:color w:val="auto"/>
        </w:rPr>
      </w:pPr>
      <w:r>
        <w:rPr>
          <w:rFonts w:ascii="Arial" w:cs="Arial" w:eastAsia="Arial" w:hAnsi="Arial"/>
          <w:sz w:val="18"/>
          <w:szCs w:val="18"/>
          <w:b w:val="1"/>
          <w:bCs w:val="1"/>
          <w:color w:val="auto"/>
        </w:rPr>
        <w:t>Ultra-rapid Lispro* (Q1 2019)</w:t>
      </w:r>
      <w:r>
        <w:rPr>
          <w:rFonts w:ascii="Arial" w:cs="Arial" w:eastAsia="Arial" w:hAnsi="Arial"/>
          <w:sz w:val="18"/>
          <w:szCs w:val="18"/>
          <w:color w:val="auto"/>
        </w:rPr>
        <w:t>—an ultra-rapid insulin for the treatment of type 1 and type 2 diabetes. In Europe, ultra-rapid lispro is</w:t>
      </w:r>
      <w:r>
        <w:rPr>
          <w:rFonts w:ascii="Arial" w:cs="Arial" w:eastAsia="Arial" w:hAnsi="Arial"/>
          <w:sz w:val="18"/>
          <w:szCs w:val="18"/>
          <w:b w:val="1"/>
          <w:bCs w:val="1"/>
          <w:color w:val="auto"/>
        </w:rPr>
        <w:t xml:space="preserve"> </w:t>
      </w:r>
      <w:r>
        <w:rPr>
          <w:rFonts w:ascii="Arial" w:cs="Arial" w:eastAsia="Arial" w:hAnsi="Arial"/>
          <w:sz w:val="18"/>
          <w:szCs w:val="18"/>
          <w:color w:val="auto"/>
        </w:rPr>
        <w:t>protected by a formulation patent (2035). In Japan, ultra-rapid lispro is protected by a formulation patent (2035, including possible patent extension) and data protection (4 years) expected upon approval.</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706" w:right="279" w:bottom="1440" w:gutter="0" w:footer="0" w:header="0"/>
        </w:sectPr>
      </w:pPr>
    </w:p>
    <w:bookmarkStart w:id="37" w:name="page38"/>
    <w:bookmarkEnd w:id="37"/>
    <w:p>
      <w:pPr>
        <w:jc w:val="both"/>
        <w:ind w:right="280"/>
        <w:spacing w:after="0" w:line="256"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conditions described below but have not yet been submitted for regulatory approval for any indication. The first quarter in which each NME and the diagnostic agent initially entered Phase III for any indication is shown in parentheses:</w:t>
      </w:r>
    </w:p>
    <w:p>
      <w:pPr>
        <w:spacing w:after="0" w:line="126" w:lineRule="exact"/>
        <w:rPr>
          <w:sz w:val="20"/>
          <w:szCs w:val="20"/>
          <w:color w:val="auto"/>
        </w:rPr>
      </w:pPr>
    </w:p>
    <w:p>
      <w:pPr>
        <w:ind w:left="660" w:right="160"/>
        <w:spacing w:after="0" w:line="287" w:lineRule="auto"/>
        <w:rPr>
          <w:sz w:val="20"/>
          <w:szCs w:val="20"/>
          <w:color w:val="auto"/>
        </w:rPr>
      </w:pPr>
      <w:r>
        <w:rPr>
          <w:rFonts w:ascii="Arial" w:cs="Arial" w:eastAsia="Arial" w:hAnsi="Arial"/>
          <w:sz w:val="18"/>
          <w:szCs w:val="18"/>
          <w:b w:val="1"/>
          <w:bCs w:val="1"/>
          <w:color w:val="auto"/>
        </w:rPr>
        <w:t>Flortaucipir** (Q3 2015)</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Mirikizumab* (Q2 2018)</w:t>
      </w:r>
      <w:r>
        <w:rPr>
          <w:rFonts w:ascii="Arial" w:cs="Arial" w:eastAsia="Arial" w:hAnsi="Arial"/>
          <w:sz w:val="18"/>
          <w:szCs w:val="18"/>
          <w:color w:val="auto"/>
        </w:rPr>
        <w:t>—a monoclonal antibody designed for the treatment of autoimmune diseases.</w:t>
      </w:r>
    </w:p>
    <w:p>
      <w:pPr>
        <w:spacing w:after="0" w:line="171" w:lineRule="exact"/>
        <w:rPr>
          <w:sz w:val="20"/>
          <w:szCs w:val="20"/>
          <w:color w:val="auto"/>
        </w:rPr>
      </w:pPr>
    </w:p>
    <w:p>
      <w:pPr>
        <w:ind w:left="660" w:right="360"/>
        <w:spacing w:after="0" w:line="287" w:lineRule="auto"/>
        <w:rPr>
          <w:sz w:val="20"/>
          <w:szCs w:val="20"/>
          <w:color w:val="auto"/>
        </w:rPr>
      </w:pPr>
      <w:r>
        <w:rPr>
          <w:rFonts w:ascii="Arial" w:cs="Arial" w:eastAsia="Arial" w:hAnsi="Arial"/>
          <w:sz w:val="18"/>
          <w:szCs w:val="18"/>
          <w:b w:val="1"/>
          <w:bCs w:val="1"/>
          <w:color w:val="auto"/>
        </w:rPr>
        <w:t>Pegilodecakin* (Q1 2017)</w:t>
      </w:r>
      <w:r>
        <w:rPr>
          <w:rFonts w:ascii="Arial" w:cs="Arial" w:eastAsia="Arial" w:hAnsi="Arial"/>
          <w:sz w:val="18"/>
          <w:szCs w:val="18"/>
          <w:color w:val="auto"/>
        </w:rPr>
        <w:t>—a PEGylated IL-10, which has demonstrated clinical benefit as a single agent, and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both chemotherapy and checkpoint inhibitor therapy, across several tumor types.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71" w:lineRule="exact"/>
        <w:rPr>
          <w:sz w:val="20"/>
          <w:szCs w:val="20"/>
          <w:color w:val="auto"/>
        </w:rPr>
      </w:pPr>
    </w:p>
    <w:p>
      <w:pPr>
        <w:ind w:left="660" w:right="380"/>
        <w:spacing w:after="0" w:line="287"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Inc.).</w:t>
      </w:r>
    </w:p>
    <w:p>
      <w:pPr>
        <w:spacing w:after="0" w:line="99" w:lineRule="exact"/>
        <w:rPr>
          <w:sz w:val="20"/>
          <w:szCs w:val="20"/>
          <w:color w:val="auto"/>
        </w:rPr>
      </w:pPr>
    </w:p>
    <w:p>
      <w:pPr>
        <w:ind w:left="660" w:right="180"/>
        <w:spacing w:after="0" w:line="287" w:lineRule="auto"/>
        <w:rPr>
          <w:sz w:val="20"/>
          <w:szCs w:val="20"/>
          <w:color w:val="auto"/>
        </w:rPr>
      </w:pPr>
      <w:r>
        <w:rPr>
          <w:rFonts w:ascii="Arial" w:cs="Arial" w:eastAsia="Arial" w:hAnsi="Arial"/>
          <w:sz w:val="18"/>
          <w:szCs w:val="18"/>
          <w:b w:val="1"/>
          <w:bCs w:val="1"/>
          <w:color w:val="auto"/>
        </w:rPr>
        <w:t>Tirzepatide* (Q4 2018)</w:t>
      </w:r>
      <w:r>
        <w:rPr>
          <w:rFonts w:ascii="Arial" w:cs="Arial" w:eastAsia="Arial" w:hAnsi="Arial"/>
          <w:sz w:val="18"/>
          <w:szCs w:val="18"/>
          <w:color w:val="auto"/>
        </w:rPr>
        <w:t>—a long-acting, combination therapy of glucose-dependent insulinotropic polypeptide (GIP) and glucagon-like</w:t>
      </w:r>
      <w:r>
        <w:rPr>
          <w:rFonts w:ascii="Arial" w:cs="Arial" w:eastAsia="Arial" w:hAnsi="Arial"/>
          <w:sz w:val="18"/>
          <w:szCs w:val="18"/>
          <w:b w:val="1"/>
          <w:bCs w:val="1"/>
          <w:color w:val="auto"/>
        </w:rPr>
        <w:t xml:space="preserve"> </w:t>
      </w:r>
      <w:r>
        <w:rPr>
          <w:rFonts w:ascii="Arial" w:cs="Arial" w:eastAsia="Arial" w:hAnsi="Arial"/>
          <w:sz w:val="18"/>
          <w:szCs w:val="18"/>
          <w:color w:val="auto"/>
        </w:rPr>
        <w:t>peptide 1 for the treatment of type 2 diabetes.</w:t>
      </w:r>
    </w:p>
    <w:p>
      <w:pPr>
        <w:spacing w:after="0" w:line="67" w:lineRule="exact"/>
        <w:rPr>
          <w:sz w:val="20"/>
          <w:szCs w:val="20"/>
          <w:color w:val="auto"/>
        </w:rPr>
      </w:pPr>
    </w:p>
    <w:p>
      <w:pPr>
        <w:ind w:left="340" w:right="4080" w:hanging="8"/>
        <w:spacing w:after="0" w:line="375" w:lineRule="auto"/>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reflects the status of the recently approved products, NMEs, and diagnostic agent set forth above, as well as certain other developments to our late-stage pipeline since January 1, 2019:</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7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4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1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140" w:type="dxa"/>
            <w:vAlign w:val="bottom"/>
            <w:tcBorders>
              <w:top w:val="single" w:sz="8" w:color="auto"/>
              <w:bottom w:val="single" w:sz="8" w:color="auto"/>
              <w:right w:val="single" w:sz="8" w:color="auto"/>
            </w:tcBorders>
            <w:shd w:val="clear" w:color="auto" w:fill="D8D8D8"/>
          </w:tcPr>
          <w:p>
            <w:pPr>
              <w:jc w:val="right"/>
              <w:ind w:right="410"/>
              <w:spacing w:after="0"/>
              <w:rPr>
                <w:sz w:val="20"/>
                <w:szCs w:val="20"/>
                <w:color w:val="auto"/>
              </w:rPr>
            </w:pPr>
            <w:r>
              <w:rPr>
                <w:rFonts w:ascii="Arial" w:cs="Arial" w:eastAsia="Arial" w:hAnsi="Arial"/>
                <w:sz w:val="18"/>
                <w:szCs w:val="18"/>
                <w:b w:val="1"/>
                <w:bCs w:val="1"/>
                <w:color w:val="auto"/>
                <w:w w:val="99"/>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6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Baqsimi</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Severe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Approved</w:t>
            </w:r>
          </w:p>
        </w:tc>
        <w:tc>
          <w:tcPr>
            <w:tcW w:w="11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Phase III</w:t>
            </w: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and launch expected, in the U.S. in the third</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116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quarter of 2019.</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Tirzepatide</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1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Ultra-rapid Lispro</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Type 1 and 2</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23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Submitted</w:t>
            </w: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to regulatory authorities in Europe and Japan</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116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gridSpan w:val="2"/>
            <w:vMerge w:val="continue"/>
          </w:tcPr>
          <w:p>
            <w:pPr>
              <w:spacing w:after="0"/>
              <w:rPr>
                <w:sz w:val="9"/>
                <w:szCs w:val="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 first quarter of 2019.</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1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Ulcerative colitis</w:t>
            </w:r>
          </w:p>
        </w:tc>
        <w:tc>
          <w:tcPr>
            <w:tcW w:w="1160" w:type="dxa"/>
            <w:vAlign w:val="bottom"/>
          </w:tcPr>
          <w:p>
            <w:pPr>
              <w:spacing w:after="0"/>
              <w:rPr>
                <w:sz w:val="9"/>
                <w:szCs w:val="9"/>
                <w:color w:val="auto"/>
              </w:rPr>
            </w:pPr>
          </w:p>
        </w:tc>
        <w:tc>
          <w:tcPr>
            <w:tcW w:w="1140" w:type="dxa"/>
            <w:vAlign w:val="bottom"/>
            <w:vMerge w:val="restart"/>
          </w:tcPr>
          <w:p>
            <w:pPr>
              <w:jc w:val="right"/>
              <w:ind w:right="9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42"/>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vMerge w:val="continue"/>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46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to European regulatory authorities in first</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Cluster headache</w:t>
            </w:r>
          </w:p>
        </w:tc>
        <w:tc>
          <w:tcPr>
            <w:tcW w:w="11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Launched</w:t>
            </w:r>
          </w:p>
        </w:tc>
        <w:tc>
          <w:tcPr>
            <w:tcW w:w="114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tcPr>
          <w:p>
            <w:pPr>
              <w:ind w:left="260"/>
              <w:spacing w:after="0" w:line="202" w:lineRule="exact"/>
              <w:rPr>
                <w:sz w:val="20"/>
                <w:szCs w:val="20"/>
                <w:color w:val="auto"/>
              </w:rPr>
            </w:pPr>
            <w:r>
              <w:rPr>
                <w:rFonts w:ascii="Arial" w:cs="Arial" w:eastAsia="Arial" w:hAnsi="Arial"/>
                <w:sz w:val="18"/>
                <w:szCs w:val="18"/>
                <w:color w:val="auto"/>
              </w:rPr>
              <w:t>Phase III</w:t>
            </w: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2019. Approved and launched in the U.S. in the</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Emgality</w:t>
            </w:r>
          </w:p>
        </w:tc>
        <w:tc>
          <w:tcPr>
            <w:tcW w:w="14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second quarter of 2019.</w:t>
            </w: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Migraine</w:t>
            </w:r>
          </w:p>
        </w:tc>
        <w:tc>
          <w:tcPr>
            <w:tcW w:w="2300" w:type="dxa"/>
            <w:vAlign w:val="bottom"/>
            <w:tcBorders>
              <w:right w:val="single" w:sz="8" w:color="auto"/>
            </w:tcBorders>
            <w:gridSpan w:val="2"/>
            <w:vMerge w:val="restart"/>
          </w:tcPr>
          <w:p>
            <w:pPr>
              <w:jc w:val="right"/>
              <w:ind w:right="670"/>
              <w:spacing w:after="0"/>
              <w:rPr>
                <w:sz w:val="20"/>
                <w:szCs w:val="20"/>
                <w:color w:val="auto"/>
              </w:rPr>
            </w:pPr>
            <w:r>
              <w:rPr>
                <w:rFonts w:ascii="Arial" w:cs="Arial" w:eastAsia="Arial" w:hAnsi="Arial"/>
                <w:sz w:val="18"/>
                <w:szCs w:val="18"/>
                <w:color w:val="auto"/>
              </w:rPr>
              <w:t>Launched</w:t>
            </w: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Phase III</w:t>
            </w: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Launched in Europe in the first quarter of 2019.</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prevention</w:t>
            </w:r>
          </w:p>
        </w:tc>
        <w:tc>
          <w:tcPr>
            <w:tcW w:w="2300" w:type="dxa"/>
            <w:vAlign w:val="bottom"/>
            <w:tcBorders>
              <w:right w:val="single" w:sz="8" w:color="auto"/>
            </w:tcBorders>
            <w:gridSpan w:val="2"/>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w:t>
            </w: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discussion with regulatory authorities to determine next</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Flortaucipir</w:t>
            </w:r>
          </w:p>
        </w:tc>
        <w:tc>
          <w:tcPr>
            <w:tcW w:w="1480" w:type="dxa"/>
            <w:vAlign w:val="bottom"/>
            <w:tcBorders>
              <w:right w:val="single" w:sz="8" w:color="auto"/>
            </w:tcBorders>
            <w:vMerge w:val="continue"/>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vMerge w:val="restart"/>
          </w:tcPr>
          <w:p>
            <w:pPr>
              <w:jc w:val="right"/>
              <w:ind w:right="90"/>
              <w:spacing w:after="0" w:line="202" w:lineRule="exact"/>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8"/>
                <w:szCs w:val="8"/>
                <w:color w:val="auto"/>
              </w:rPr>
            </w:pPr>
          </w:p>
        </w:tc>
        <w:tc>
          <w:tcPr>
            <w:tcW w:w="46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steps following Phase III trial met primary endpoints in the</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1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third quarter of 2018.</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Lasmiditan</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Migraine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Submitted</w:t>
            </w:r>
          </w:p>
        </w:tc>
        <w:tc>
          <w:tcPr>
            <w:tcW w:w="23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Phase III</w:t>
            </w: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w:t>
            </w: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Solanezumab</w:t>
            </w: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160" w:type="dxa"/>
            <w:vAlign w:val="bottom"/>
          </w:tcPr>
          <w:p>
            <w:pPr>
              <w:spacing w:after="0"/>
              <w:rPr>
                <w:sz w:val="17"/>
                <w:szCs w:val="17"/>
                <w:color w:val="auto"/>
              </w:rPr>
            </w:pPr>
          </w:p>
        </w:tc>
        <w:tc>
          <w:tcPr>
            <w:tcW w:w="11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jc w:val="right"/>
              <w:ind w:right="850"/>
              <w:spacing w:after="0"/>
              <w:rPr>
                <w:sz w:val="20"/>
                <w:szCs w:val="20"/>
                <w:color w:val="auto"/>
              </w:rPr>
            </w:pPr>
            <w:r>
              <w:rPr>
                <w:rFonts w:ascii="Arial" w:cs="Arial" w:eastAsia="Arial" w:hAnsi="Arial"/>
                <w:sz w:val="18"/>
                <w:szCs w:val="18"/>
                <w:color w:val="auto"/>
              </w:rPr>
              <w:t>38</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60" w:right="219" w:bottom="1440" w:gutter="0" w:footer="0" w:header="0"/>
        </w:sectPr>
      </w:pPr>
    </w:p>
    <w:bookmarkStart w:id="38" w:name="page39"/>
    <w:bookmarkEnd w:id="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7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4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52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64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6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the third quarter of 2018 and January 2019, announced</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multiple Phase III trials met several primary endpoints. In</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April 2019, announced the results of the long-term Phase</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Osteoarthritis</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III study in which the 5mg dose met two of the three co-</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vMerge w:val="restart"/>
          </w:tcPr>
          <w:p>
            <w:pPr>
              <w:ind w:left="240"/>
              <w:spacing w:after="0" w:line="202" w:lineRule="exact"/>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8"/>
                <w:szCs w:val="8"/>
                <w:color w:val="auto"/>
              </w:rPr>
            </w:pPr>
          </w:p>
        </w:tc>
        <w:tc>
          <w:tcPr>
            <w:tcW w:w="46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primary endpoints and the 2.5mg dose did not meet any</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of the three co-primary endpoints. In partnership with</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Pfizer, we are pursuing U.S. submission by the first</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2020, followed by submission in Europe and</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Tanezumab</w:t>
            </w:r>
          </w:p>
        </w:tc>
        <w:tc>
          <w:tcPr>
            <w:tcW w:w="148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the first quarter of 2019, announced Phase III trial met</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primary endpoint for the 10mg dose and did not meet</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primary endpoint on the 5mg dose. In the third quarter of</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low back</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2019, announced results from a Phase 3 study evaluating</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vMerge w:val="restart"/>
          </w:tcPr>
          <w:p>
            <w:pPr>
              <w:ind w:left="240"/>
              <w:spacing w:after="0" w:line="202" w:lineRule="exact"/>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8"/>
                <w:szCs w:val="8"/>
                <w:color w:val="auto"/>
              </w:rPr>
            </w:pPr>
          </w:p>
        </w:tc>
        <w:tc>
          <w:tcPr>
            <w:tcW w:w="46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long-term safety and efficacy in Japan. In partnership with</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Pfizer, announced in the third quarter of 2019 that we are</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not planning regulatory submission. We will maintain an</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open dialogue with regulatory authorities on potential</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future regulatory pathways.</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5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4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the first quarter of 2019, announced confirmatory</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Lartruvo</w:t>
            </w:r>
            <w:r>
              <w:rPr>
                <w:rFonts w:ascii="Arial" w:cs="Arial" w:eastAsia="Arial" w:hAnsi="Arial"/>
                <w:sz w:val="21"/>
                <w:szCs w:val="21"/>
                <w:b w:val="1"/>
                <w:bCs w:val="1"/>
                <w:color w:val="auto"/>
                <w:vertAlign w:val="superscript"/>
              </w:rPr>
              <w:t>®</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Soft tissue</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Not</w:t>
            </w: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did not meet primary endpoint. As trial did</w:t>
            </w:r>
          </w:p>
        </w:tc>
        <w:tc>
          <w:tcPr>
            <w:tcW w:w="0" w:type="dxa"/>
            <w:vAlign w:val="bottom"/>
          </w:tcPr>
          <w:p>
            <w:pPr>
              <w:spacing w:after="0"/>
              <w:rPr>
                <w:sz w:val="1"/>
                <w:szCs w:val="1"/>
                <w:color w:val="auto"/>
              </w:rPr>
            </w:pPr>
          </w:p>
        </w:tc>
      </w:tr>
      <w:tr>
        <w:trPr>
          <w:trHeight w:val="163"/>
        </w:trPr>
        <w:tc>
          <w:tcPr>
            <w:tcW w:w="1740" w:type="dxa"/>
            <w:vAlign w:val="bottom"/>
            <w:tcBorders>
              <w:left w:val="single" w:sz="8" w:color="auto"/>
              <w:right w:val="single" w:sz="8" w:color="auto"/>
            </w:tcBorders>
            <w:vMerge w:val="continue"/>
          </w:tcPr>
          <w:p>
            <w:pPr>
              <w:spacing w:after="0"/>
              <w:rPr>
                <w:sz w:val="14"/>
                <w:szCs w:val="14"/>
                <w:color w:val="auto"/>
              </w:rPr>
            </w:pPr>
          </w:p>
        </w:tc>
        <w:tc>
          <w:tcPr>
            <w:tcW w:w="1480" w:type="dxa"/>
            <w:vAlign w:val="bottom"/>
            <w:tcBorders>
              <w:right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tcBorders>
              <w:right w:val="single" w:sz="8" w:color="auto"/>
            </w:tcBorders>
            <w:gridSpan w:val="2"/>
          </w:tcPr>
          <w:p>
            <w:pPr>
              <w:ind w:left="120"/>
              <w:spacing w:after="0" w:line="163" w:lineRule="exact"/>
              <w:rPr>
                <w:sz w:val="20"/>
                <w:szCs w:val="20"/>
                <w:color w:val="auto"/>
              </w:rPr>
            </w:pPr>
            <w:r>
              <w:rPr>
                <w:rFonts w:ascii="Arial" w:cs="Arial" w:eastAsia="Arial" w:hAnsi="Arial"/>
                <w:sz w:val="18"/>
                <w:szCs w:val="18"/>
                <w:color w:val="auto"/>
              </w:rPr>
              <w:t>Withdrawing</w:t>
            </w:r>
          </w:p>
        </w:tc>
        <w:tc>
          <w:tcPr>
            <w:tcW w:w="1240" w:type="dxa"/>
            <w:vAlign w:val="bottom"/>
            <w:tcBorders>
              <w:right w:val="single" w:sz="8" w:color="auto"/>
            </w:tcBorders>
            <w:vMerge w:val="continue"/>
          </w:tcPr>
          <w:p>
            <w:pPr>
              <w:spacing w:after="0"/>
              <w:rPr>
                <w:sz w:val="14"/>
                <w:szCs w:val="14"/>
                <w:color w:val="auto"/>
              </w:rPr>
            </w:pPr>
          </w:p>
        </w:tc>
        <w:tc>
          <w:tcPr>
            <w:tcW w:w="4680" w:type="dxa"/>
            <w:vAlign w:val="bottom"/>
            <w:tcBorders>
              <w:right w:val="single" w:sz="8" w:color="auto"/>
            </w:tcBorders>
          </w:tcPr>
          <w:p>
            <w:pPr>
              <w:ind w:left="20"/>
              <w:spacing w:after="0" w:line="163" w:lineRule="exact"/>
              <w:rPr>
                <w:sz w:val="20"/>
                <w:szCs w:val="20"/>
                <w:color w:val="auto"/>
              </w:rPr>
            </w:pPr>
            <w:r>
              <w:rPr>
                <w:rFonts w:ascii="Arial" w:cs="Arial" w:eastAsia="Arial" w:hAnsi="Arial"/>
                <w:sz w:val="18"/>
                <w:szCs w:val="18"/>
                <w:color w:val="auto"/>
              </w:rPr>
              <w:t>not confirm clinical benefit, we have suspended</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sarcoma</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Submitting</w:t>
            </w: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promotion and in April 2019, announced our intention to</w:t>
            </w:r>
          </w:p>
        </w:tc>
        <w:tc>
          <w:tcPr>
            <w:tcW w:w="0" w:type="dxa"/>
            <w:vAlign w:val="bottom"/>
          </w:tcPr>
          <w:p>
            <w:pPr>
              <w:spacing w:after="0"/>
              <w:rPr>
                <w:sz w:val="1"/>
                <w:szCs w:val="1"/>
                <w:color w:val="auto"/>
              </w:rPr>
            </w:pPr>
          </w:p>
        </w:tc>
      </w:tr>
      <w:tr>
        <w:trPr>
          <w:trHeight w:val="40"/>
        </w:trPr>
        <w:tc>
          <w:tcPr>
            <w:tcW w:w="1740" w:type="dxa"/>
            <w:vAlign w:val="bottom"/>
            <w:tcBorders>
              <w:left w:val="single" w:sz="8" w:color="auto"/>
              <w:right w:val="single" w:sz="8" w:color="auto"/>
            </w:tcBorders>
          </w:tcPr>
          <w:p>
            <w:pPr>
              <w:spacing w:after="0"/>
              <w:rPr>
                <w:sz w:val="3"/>
                <w:szCs w:val="3"/>
                <w:color w:val="auto"/>
              </w:rPr>
            </w:pPr>
          </w:p>
        </w:tc>
        <w:tc>
          <w:tcPr>
            <w:tcW w:w="148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46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globally withdraw from the market.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Pegilodecakin</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Pancreatic</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vMerge w:val="restart"/>
          </w:tcPr>
          <w:p>
            <w:pPr>
              <w:ind w:left="24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Elanco</w:t>
      </w:r>
    </w:p>
    <w:p>
      <w:pPr>
        <w:spacing w:after="0" w:line="1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As a result, we recognized a gain on the disposition of approximately $3.7 billion in the first quarter of 2019. See Note 5 to the consolidated condensed financial statements for further discussion.</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a result of the disposition, we now operate as a single segment. See Note 1 to the consolidated condensed financial statements for further discussion.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intellectual-property protection for most of our revenue, cash flows, and earnings.</w:t>
      </w:r>
    </w:p>
    <w:p>
      <w:pPr>
        <w:spacing w:after="0" w:line="115"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Our compound patent protection for Cialis</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(tadalafil) and Adcirca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(tadalafil) expired in major European markets and the U.S. in November 2017; however, in the U.S., we were granted pediatric exclusivity through May 2018. Pursuant to a settlement agreement related to our unit dose patent in the U.S., generic tadalafil entered the U.S. market in September 2018. We have faced and remain exposed to generic competition following the loss of exclusivity, which has rapidly and severely eroded revenue and is likely to continue to erode revenue.</w:t>
      </w:r>
    </w:p>
    <w:p>
      <w:pPr>
        <w:spacing w:after="0" w:line="9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Our formulation patents for Forteo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December 2018, and our use patents will expire in August 2019 in major European markets and the U.S. Both the formulation patent and the use patent expire in August 2019 in Japan. While it is difficult to estimate the severity of the impact of generic and/or biosimilar competition in these markets, we expect a rapid and severe decline in revenue in the U.S. as a result of generic competition when the U.S. patents expire. Outside the U.S., we expect a decline in revenue following patent expirations; however the</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822" w:right="219" w:bottom="1440" w:gutter="0" w:footer="0" w:header="0"/>
        </w:sectPr>
      </w:pPr>
    </w:p>
    <w:bookmarkStart w:id="39" w:name="page40"/>
    <w:bookmarkEnd w:id="39"/>
    <w:p>
      <w:pPr>
        <w:ind w:right="700"/>
        <w:spacing w:after="0" w:line="262" w:lineRule="auto"/>
        <w:rPr>
          <w:sz w:val="20"/>
          <w:szCs w:val="20"/>
          <w:color w:val="auto"/>
        </w:rPr>
      </w:pPr>
      <w:r>
        <w:rPr>
          <w:rFonts w:ascii="Arial" w:cs="Arial" w:eastAsia="Arial" w:hAnsi="Arial"/>
          <w:sz w:val="18"/>
          <w:szCs w:val="18"/>
          <w:color w:val="auto"/>
        </w:rPr>
        <w:t>decline may not be rapid and severe. In the aggregate, we expect that the decline in revenue will have a material adverse effect on our consolidated results of operations and cash flows.</w:t>
      </w:r>
    </w:p>
    <w:p>
      <w:pPr>
        <w:spacing w:after="0" w:line="8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we expect to provide us with patent protection for Alimta through June 2021 in Japan and major European countries, and through May 2022 in the U.S., have been challenged in each of these jurisdictions. Our vitamin regimen patents have also been challenged in other smaller European jurisdictions. Our compound patent for Alimta expired in the U.S. in January 2017, and expired in major European countries and Japan in December 2015. We are aware that several companies have received approval to market generic versions of pemetrexed in major European markets (including Germany and France) and that additional generic competitors may choose to launch at risk. Although we will continue to seek to remove any such products, generic product entry is resulting in some loss in revenue. We expect that further entry of generic competition for Alimta following the loss of effective patent protection will cause a rapid and severe decline in revenue for the product, which will, in the aggregate, have a material adverse effect on our consolidated results of operations and cash flows. See Note 11 to the consolidated condensed financial statements for a more detailed account of the legal proceedings currently pending in the U.S., Europe, and Japan regarding our Alimta patents.</w:t>
      </w:r>
    </w:p>
    <w:p>
      <w:pPr>
        <w:spacing w:after="0" w:line="10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launched a similar version of insulin lispro in certain European markets in 2017 and in the U.S. in the second quarter of 2018. While it is difficult to estimate the severity of the impact of insulin lispro products entering the market, we do not expect and have not experienced a rapid and severe decline in revenue; however, we expect additional pricing pressure and some loss of market share that would continue over time. Additionally, in the second quarter of 2019, we launched our own insulin lispro authorized generic.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and Japanese yen. While we manage a portion of these exposures through hedging and other risk management techniques, significant fluctuations in currency rates can have a substantial impact, either positive or negative, on our revenue, cost of sales, and operating expense. While there is uncertainty in the future movements in foreign exchange rates, fluctuations in these rates could negatively impact our future consolidated results of operations and cash flows.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0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cost control measures may be enacted to manage federal and state budgets. Key health policy proposals affecting biopharmaceuticals include a reduction in biologic data exclusivity, modifications to Medicare Parts B and D, language that would allow the Department of Health and Human Services to negotiate prices for biologics and drugs in Medicare, proposals related to Medicaid prescription drug coverage and manufacturer drug rebates, proposals that would require biopharmaceutical manufacturers to disclose proprietary drug pricing information, and state -level proposals related to prescription drug prices and reducing the cost of pharmaceuticals purchased by government health care programs. California and several other states have enacted legislation related to prescription drug pricing transparency, and it is unclear the effect this legislation will have on our business. The Bipartisan Budget Act, enacted in February 2018, requires manufacturers of brand-name drugs, biologics, and biosimilars to pay a 70 percent discount in the Medicare Part D Coverage Gap, up from the previous 50 percent discount. This increase in coverage gap discounts became effective at the beginning of 2019. In May 2018, the White House released "American Patients First: The Trump Administration Blueprint to Lower Drug Prices and Reduce Out-of-Pocket Costs" (Blueprint). The Administration’s corresponding request for information included more than 30 proposed policy changes. We believe the effect of certain of these proposals would be positive for our business while others would have negative consequences to our business. The effect of these proposals, and those that extend beyond the Blueprint, will depend on the details and timing of the final legislation, regulation, or guidance and could lead to a wide range of outcomes. Some of these outcomes could have a material adverse effect on our consolidated results of operations and cash flows. In April 2019, the White House signed into law significant, targeted amendments to the Medicaid Drug Rebate Program statute. We are currently reviewing the new statute and proposed rule, the impact of both is uncertain at this time. In July 2019, the Department of Health and Human Services withdrew a proposed rule to reform the system of rebates paid to Medicare Part D plans, Medicaid Managed Care organizations, and pharmacy benefit managers. As a result, rebate reform is less likely in the near-term. Several states passed importation legislation, including Colorado, Florida, Maine, and Vermont. Specifically, the state of Florida is working with the Administration to implement an importation program from Canada as early as 2020. We are currently reviewing the state legislation, as well as corresponding future proposed federal rulemaking and guidance recently announced by the Department of Health and Human Services and U.S. Food and Drug Administration (FDA), the impact of which is uncertain at this time.</w:t>
      </w:r>
    </w:p>
    <w:p>
      <w:pPr>
        <w:spacing w:after="0" w:line="9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human pharmaceuticals. Health plans, pharmacy benefit managers, wholesalers, and other supply chain stakeholders have been consolidating into fewer, larger entities, increasingly through vertical integration,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Value-based agreements are another tool which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These downward pricing pressures could continue to negatively affect future consolidated results of operations and cash flows. In addition to formulary placement, changes in insurance designs continue to drive greater consumer cost sharing through high deductible plans and higher co-insurance or co-pays (including co-pay accumulator and maximizer programs). We continue to invest in patient affordability solutions (resulting in lower revenue) in an effort to assist patients in affording their medicines.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88" w:right="239" w:bottom="1440" w:gutter="0" w:footer="0" w:header="0"/>
        </w:sectPr>
      </w:pPr>
    </w:p>
    <w:bookmarkStart w:id="41" w:name="page42"/>
    <w:bookmarkEnd w:id="41"/>
    <w:p>
      <w:pPr>
        <w:ind w:right="140"/>
        <w:spacing w:after="0" w:line="251"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driven in part by ACA changes such as the 2022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Federal legislation, litigation, or administrative actions to repeal or modify some or all of the provisions of the ACA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are subject to income taxes in the U.S. and numerous foreign jurisdictions. Changes in tax laws, regulations, administrative practices, and interpretations could adversely affect our future effective tax rates. In 2017, the U.S. enacted the Tax Cuts and Jobs Act (2017 Tax Act) significantly revising U.S. tax law, and other countries are actively considering or enacting tax law changes. Further, organizations such as the Organisation for Economic Co-operation and Development and the European Commission, are active regarding tax-related matters, which could influence international tax policy in countries in which we operate. While outcomes of these initiatives continue to develop and remain uncertain, modifications to key elements of the U.S. or international tax framework could have a material adverse effect on our consolidated results of operations and cash flows.</w:t>
      </w:r>
    </w:p>
    <w:p>
      <w:pPr>
        <w:spacing w:after="0" w:line="9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Subsequent to the enactment of the 2017 Tax Act, several items of additional guidance have been issued, including Notices, Proposed Regulations, and Final Regulations. We expect that additional guidance will be issued in the second half of 2019 which could materially affect the assumptions and estimates used to record our U.S. federal and state income tax expense resulting from the 2017 Tax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strategically invest in external research and technologies that we believe to complement and strengthen our own efforts. These investments can take many forms, including licensing arrangements, collaborations, and acquisitions. We view our business development activity as an important way to achieve our strategies, as we seek to bolster our pipeline and enhance shareholder value. We continue to evaluate business development transactions that have the potential to strengthen our business.</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February 2019, we acquired all shares of Loxo for a purchase price of $6.92 billion, net of cash acquired. Under the terms of the agreement, we acquired a pipeline of investigational medicines, including LOXO-292, an oral RET inhibitor that has been granted Breakthrough Therapy designation by the FDA, and LOXO-305, an oral BTK inhibitor. See Note 3 to the consolidated condensed financial statements for further discussion regarding our recent acquisitions of businesses and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Information regarding contingencies relating to certain legal proceedings can be found in Item 1. "Legal Proceedings" of Part II of this Quarterly Report on Form 10-Q and is incorporated here by reference.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center"/>
              <w:ind w:left="37"/>
              <w:spacing w:after="0"/>
              <w:rPr>
                <w:sz w:val="20"/>
                <w:szCs w:val="20"/>
                <w:color w:val="auto"/>
              </w:rPr>
            </w:pPr>
            <w:r>
              <w:rPr>
                <w:rFonts w:ascii="Arial" w:cs="Arial" w:eastAsia="Arial" w:hAnsi="Arial"/>
                <w:sz w:val="14"/>
                <w:szCs w:val="14"/>
                <w:b w:val="1"/>
                <w:bCs w:val="1"/>
                <w:color w:val="auto"/>
              </w:rPr>
              <w:t>Percent</w:t>
            </w:r>
          </w:p>
        </w:tc>
      </w:tr>
      <w:tr>
        <w:trPr>
          <w:trHeight w:val="196"/>
        </w:trPr>
        <w:tc>
          <w:tcPr>
            <w:tcW w:w="4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3,252.5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3,242.3</w:t>
            </w:r>
          </w:p>
        </w:tc>
        <w:tc>
          <w:tcPr>
            <w:tcW w:w="10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6,143.3</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6,037.9</w:t>
            </w:r>
          </w:p>
        </w:tc>
        <w:tc>
          <w:tcPr>
            <w:tcW w:w="10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2</w:t>
            </w:r>
          </w:p>
        </w:tc>
      </w:tr>
      <w:tr>
        <w:trPr>
          <w:trHeight w:val="264"/>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2,384.2</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2,342.7</w:t>
            </w:r>
          </w:p>
        </w:tc>
        <w:tc>
          <w:tcPr>
            <w:tcW w:w="10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2</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4,585.6</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4,510.9</w:t>
            </w:r>
          </w:p>
        </w:tc>
        <w:tc>
          <w:tcPr>
            <w:tcW w:w="10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2</w:t>
            </w:r>
          </w:p>
        </w:tc>
      </w:tr>
      <w:tr>
        <w:trPr>
          <w:trHeight w:val="277"/>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5,636.7</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5,585.0</w:t>
            </w:r>
          </w:p>
        </w:tc>
        <w:tc>
          <w:tcPr>
            <w:tcW w:w="10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10,728.9</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10,548.8</w:t>
            </w:r>
          </w:p>
        </w:tc>
        <w:tc>
          <w:tcPr>
            <w:tcW w:w="10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2</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4"/>
                <w:szCs w:val="14"/>
                <w:color w:val="auto"/>
              </w:rPr>
            </w:pPr>
          </w:p>
        </w:tc>
      </w:tr>
      <w:tr>
        <w:trPr>
          <w:trHeight w:val="190"/>
        </w:trPr>
        <w:tc>
          <w:tcPr>
            <w:tcW w:w="2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1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1340" w:type="dxa"/>
            <w:vAlign w:val="bottom"/>
          </w:tcPr>
          <w:p>
            <w:pPr>
              <w:spacing w:after="0"/>
              <w:rPr>
                <w:sz w:val="16"/>
                <w:szCs w:val="16"/>
                <w:color w:val="auto"/>
              </w:rPr>
            </w:pPr>
          </w:p>
        </w:tc>
      </w:tr>
      <w:tr>
        <w:trPr>
          <w:trHeight w:val="276"/>
        </w:trPr>
        <w:tc>
          <w:tcPr>
            <w:tcW w:w="2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 vs. 2018</w:t>
            </w:r>
          </w:p>
        </w:tc>
        <w:tc>
          <w:tcPr>
            <w:tcW w:w="1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 vs. 2018</w:t>
            </w:r>
          </w:p>
        </w:tc>
        <w:tc>
          <w:tcPr>
            <w:tcW w:w="1340" w:type="dxa"/>
            <w:vAlign w:val="bottom"/>
            <w:tcBorders>
              <w:bottom w:val="single" w:sz="8" w:color="auto"/>
            </w:tcBorders>
          </w:tcPr>
          <w:p>
            <w:pPr>
              <w:spacing w:after="0"/>
              <w:rPr>
                <w:sz w:val="24"/>
                <w:szCs w:val="24"/>
                <w:color w:val="auto"/>
              </w:rPr>
            </w:pPr>
          </w:p>
        </w:tc>
      </w:tr>
      <w:tr>
        <w:trPr>
          <w:trHeight w:val="264"/>
        </w:trPr>
        <w:tc>
          <w:tcPr>
            <w:tcW w:w="28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U.S.</w:t>
            </w: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Outside U.S.</w:t>
            </w:r>
          </w:p>
        </w:tc>
        <w:tc>
          <w:tcPr>
            <w:tcW w:w="16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U.S.</w:t>
            </w: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Outside U.S.</w:t>
            </w: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70"/>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9 %</w:t>
            </w:r>
          </w:p>
        </w:tc>
        <w:tc>
          <w:tcPr>
            <w:tcW w:w="16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6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560" w:type="dxa"/>
            <w:vAlign w:val="bottom"/>
          </w:tcPr>
          <w:p>
            <w:pPr>
              <w:jc w:val="right"/>
              <w:ind w:right="259"/>
              <w:spacing w:after="0"/>
              <w:rPr>
                <w:sz w:val="20"/>
                <w:szCs w:val="20"/>
                <w:color w:val="auto"/>
              </w:rPr>
            </w:pPr>
            <w:r>
              <w:rPr>
                <w:rFonts w:ascii="Arial" w:cs="Arial" w:eastAsia="Arial" w:hAnsi="Arial"/>
                <w:sz w:val="18"/>
                <w:szCs w:val="18"/>
                <w:color w:val="auto"/>
              </w:rPr>
              <w:t>(1)</w:t>
            </w:r>
          </w:p>
        </w:tc>
        <w:tc>
          <w:tcPr>
            <w:tcW w:w="1600" w:type="dxa"/>
            <w:vAlign w:val="bottom"/>
          </w:tcPr>
          <w:p>
            <w:pPr>
              <w:jc w:val="right"/>
              <w:ind w:right="394"/>
              <w:spacing w:after="0"/>
              <w:rPr>
                <w:sz w:val="20"/>
                <w:szCs w:val="20"/>
                <w:color w:val="auto"/>
              </w:rPr>
            </w:pPr>
            <w:r>
              <w:rPr>
                <w:rFonts w:ascii="Arial" w:cs="Arial" w:eastAsia="Arial" w:hAnsi="Arial"/>
                <w:sz w:val="18"/>
                <w:szCs w:val="18"/>
                <w:color w:val="auto"/>
              </w:rPr>
              <w:t>(3)</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(4)</w:t>
            </w:r>
          </w:p>
        </w:tc>
        <w:tc>
          <w:tcPr>
            <w:tcW w:w="1500" w:type="dxa"/>
            <w:vAlign w:val="bottom"/>
          </w:tcPr>
          <w:p>
            <w:pPr>
              <w:jc w:val="right"/>
              <w:ind w:right="219"/>
              <w:spacing w:after="0"/>
              <w:rPr>
                <w:sz w:val="20"/>
                <w:szCs w:val="20"/>
                <w:color w:val="auto"/>
              </w:rPr>
            </w:pPr>
            <w:r>
              <w:rPr>
                <w:rFonts w:ascii="Arial" w:cs="Arial" w:eastAsia="Arial" w:hAnsi="Arial"/>
                <w:sz w:val="18"/>
                <w:szCs w:val="18"/>
                <w:color w:val="auto"/>
              </w:rPr>
              <w:t>(2)</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(3)</w:t>
            </w:r>
          </w:p>
        </w:tc>
      </w:tr>
      <w:tr>
        <w:trPr>
          <w:trHeight w:val="27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8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(6)</w:t>
            </w:r>
          </w:p>
        </w:tc>
        <w:tc>
          <w:tcPr>
            <w:tcW w:w="16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(5)</w:t>
            </w:r>
          </w:p>
        </w:tc>
        <w:tc>
          <w:tcPr>
            <w:tcW w:w="13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r>
      <w:tr>
        <w:trPr>
          <w:trHeight w:val="277"/>
        </w:trPr>
        <w:tc>
          <w:tcPr>
            <w:tcW w:w="282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2 %</w:t>
            </w: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2 %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1"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In the U.S. for the three and six months ended June 30, 2019, the volume increase was primarily driven by Trulicity</w:t>
      </w:r>
      <w:r>
        <w:rPr>
          <w:rFonts w:ascii="Arial" w:cs="Arial" w:eastAsia="Arial" w:hAnsi="Arial"/>
          <w:sz w:val="21"/>
          <w:szCs w:val="21"/>
          <w:color w:val="auto"/>
          <w:vertAlign w:val="superscript"/>
        </w:rPr>
        <w:t>®</w:t>
      </w:r>
      <w:r>
        <w:rPr>
          <w:rFonts w:ascii="Arial" w:cs="Arial" w:eastAsia="Arial" w:hAnsi="Arial"/>
          <w:sz w:val="18"/>
          <w:szCs w:val="18"/>
          <w:color w:val="auto"/>
        </w:rPr>
        <w:t>, Taltz</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Alimta, Verzenio</w:t>
      </w:r>
      <w:r>
        <w:rPr>
          <w:rFonts w:ascii="Arial" w:cs="Arial" w:eastAsia="Arial" w:hAnsi="Arial"/>
          <w:sz w:val="21"/>
          <w:szCs w:val="21"/>
          <w:color w:val="auto"/>
          <w:vertAlign w:val="superscript"/>
        </w:rPr>
        <w:t>®</w:t>
      </w:r>
      <w:r>
        <w:rPr>
          <w:rFonts w:ascii="Arial" w:cs="Arial" w:eastAsia="Arial" w:hAnsi="Arial"/>
          <w:sz w:val="18"/>
          <w:szCs w:val="18"/>
          <w:color w:val="auto"/>
        </w:rPr>
        <w:t>, and Basaglar</w:t>
      </w:r>
      <w:r>
        <w:rPr>
          <w:rFonts w:ascii="Arial" w:cs="Arial" w:eastAsia="Arial" w:hAnsi="Arial"/>
          <w:sz w:val="21"/>
          <w:szCs w:val="21"/>
          <w:color w:val="auto"/>
          <w:vertAlign w:val="superscript"/>
        </w:rPr>
        <w:t>®</w:t>
      </w:r>
      <w:r>
        <w:rPr>
          <w:rFonts w:ascii="Arial" w:cs="Arial" w:eastAsia="Arial" w:hAnsi="Arial"/>
          <w:sz w:val="18"/>
          <w:szCs w:val="18"/>
          <w:color w:val="auto"/>
        </w:rPr>
        <w:t>, largely offset by decreased volume for products that have lost exclusivity, including Cialis and Adcirca, as well as the impact from the impending withdrawal of Lartruvo. Price for certain medicines was negatively impacted by increased coverage gap funding requirements in Medicare Part D, primarily driven by Trulicity and Humalog.</w:t>
      </w:r>
    </w:p>
    <w:p>
      <w:pPr>
        <w:spacing w:after="0" w:line="105"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Outside the U.S. for the three and six months ended June 30, 2019, the volume increase was primarily driven by Trulicity, Olumiant</w:t>
      </w:r>
      <w:r>
        <w:rPr>
          <w:rFonts w:ascii="Arial" w:cs="Arial" w:eastAsia="Arial" w:hAnsi="Arial"/>
          <w:sz w:val="21"/>
          <w:szCs w:val="21"/>
          <w:color w:val="auto"/>
          <w:vertAlign w:val="superscript"/>
        </w:rPr>
        <w:t>®</w:t>
      </w:r>
      <w:r>
        <w:rPr>
          <w:rFonts w:ascii="Arial" w:cs="Arial" w:eastAsia="Arial" w:hAnsi="Arial"/>
          <w:sz w:val="18"/>
          <w:szCs w:val="18"/>
          <w:color w:val="auto"/>
        </w:rPr>
        <w:t>, and Taltz, largely offset by the unfavorable impact of foreign exchange rates and, to a lesser extent, lower realized prices.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7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 following table summarizes our revenue activity by product: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480" w:type="dxa"/>
            <w:vAlign w:val="bottom"/>
          </w:tcPr>
          <w:p>
            <w:pPr>
              <w:spacing w:after="0"/>
              <w:rPr>
                <w:sz w:val="22"/>
                <w:szCs w:val="22"/>
                <w:color w:val="auto"/>
              </w:rPr>
            </w:pPr>
          </w:p>
        </w:tc>
      </w:tr>
      <w:tr>
        <w:trPr>
          <w:trHeight w:val="27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792.1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236.4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1,028.5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779.8</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32</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Humalog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396.1</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281.5</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677.6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769.8</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341.7</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236.1</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577.8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555.9</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4</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172.8</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188.0</w:t>
            </w:r>
          </w:p>
        </w:tc>
        <w:tc>
          <w:tcPr>
            <w:tcW w:w="4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360.8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434.5</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(17)</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Taltz</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268.1</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85.7</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353.8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220.1</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61</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220.1</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102.6</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322.6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346.0</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(7)</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232.2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58.6</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290.7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201.8</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44</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Cyramza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89.8</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152.0</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241.8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218.8</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11</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142.6</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89.3</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231.9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147.2</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58</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35.1</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165.1</w:t>
            </w:r>
          </w:p>
        </w:tc>
        <w:tc>
          <w:tcPr>
            <w:tcW w:w="4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538.7</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(63)</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Cymbalta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18.1</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169.0</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187.2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181.9</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136.9</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22.4</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159.3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166.4</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(4)</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 (4)</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64.5</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89.5</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153.9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141.7</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9</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Verzenio</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105.2</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28.7</w:t>
            </w:r>
          </w:p>
        </w:tc>
        <w:tc>
          <w:tcPr>
            <w:tcW w:w="4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133.9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57.7</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9.3</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95.1</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104.3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128.0</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(18)</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Olumiant</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10.7</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91.7</w:t>
            </w:r>
          </w:p>
        </w:tc>
        <w:tc>
          <w:tcPr>
            <w:tcW w:w="4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102.4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44.7</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Strattera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21.2</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61.4</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114.2</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(28)</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Emgality</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33.8</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0.5</w:t>
            </w:r>
          </w:p>
        </w:tc>
        <w:tc>
          <w:tcPr>
            <w:tcW w:w="4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products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162.2</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230.6</w:t>
            </w: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393.1</w:t>
            </w: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537.8</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(27)</w:t>
            </w:r>
          </w:p>
        </w:tc>
      </w:tr>
      <w:tr>
        <w:trPr>
          <w:trHeight w:val="277"/>
        </w:trPr>
        <w:tc>
          <w:tcPr>
            <w:tcW w:w="412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3,252.5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2,384.2</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5,636.7</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5,585.0</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1</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7"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Humalog revenue includes Insulin Lispro.</w:t>
      </w:r>
    </w:p>
    <w:p>
      <w:pPr>
        <w:spacing w:after="0" w:line="9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3"/>
          <w:szCs w:val="13"/>
          <w:color w:val="auto"/>
        </w:rPr>
        <w:t xml:space="preserve"> and Synjardy</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06"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4"/>
          </w:tcPr>
          <w:p>
            <w:pPr>
              <w:ind w:left="600"/>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4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4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460" w:type="dxa"/>
            <w:vAlign w:val="bottom"/>
          </w:tcPr>
          <w:p>
            <w:pPr>
              <w:spacing w:after="0"/>
              <w:rPr>
                <w:sz w:val="22"/>
                <w:szCs w:val="22"/>
                <w:color w:val="auto"/>
              </w:rPr>
            </w:pPr>
          </w:p>
        </w:tc>
      </w:tr>
      <w:tr>
        <w:trPr>
          <w:trHeight w:val="270"/>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Outside U.S.</w:t>
            </w:r>
          </w:p>
        </w:tc>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6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1,457.7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450.6</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1,908.3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1,458.1</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31</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 xml:space="preserve">Humalog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844.8</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563.7</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1,408.4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1,561.5</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(10)</w:t>
            </w: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623.5</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453.5</w:t>
            </w: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1,076.9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1,055.5</w:t>
            </w:r>
          </w:p>
        </w:tc>
        <w:tc>
          <w:tcPr>
            <w:tcW w:w="146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w:t>
            </w: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298.7</w:t>
            </w:r>
          </w:p>
        </w:tc>
        <w:tc>
          <w:tcPr>
            <w:tcW w:w="30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375.0</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673.7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747.8</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(10)</w:t>
            </w:r>
          </w:p>
        </w:tc>
      </w:tr>
      <w:tr>
        <w:trPr>
          <w:trHeight w:val="27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421.3</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199.0</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671.9</w:t>
            </w:r>
          </w:p>
        </w:tc>
        <w:tc>
          <w:tcPr>
            <w:tcW w:w="146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(8)</w:t>
            </w: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Taltz</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449.0</w:t>
            </w:r>
          </w:p>
        </w:tc>
        <w:tc>
          <w:tcPr>
            <w:tcW w:w="30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157.4</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606.3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366.5</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65</w:t>
            </w:r>
          </w:p>
        </w:tc>
      </w:tr>
      <w:tr>
        <w:trPr>
          <w:trHeight w:val="27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430.3</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111.8</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367.8</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47</w:t>
            </w: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178.4</w:t>
            </w:r>
          </w:p>
        </w:tc>
        <w:tc>
          <w:tcPr>
            <w:tcW w:w="30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330.0</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508.4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1,034.1</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(51)</w:t>
            </w:r>
          </w:p>
        </w:tc>
      </w:tr>
      <w:tr>
        <w:trPr>
          <w:trHeight w:val="27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164.9</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275.2</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402.4</w:t>
            </w:r>
          </w:p>
        </w:tc>
        <w:tc>
          <w:tcPr>
            <w:tcW w:w="146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9</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267.8</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167.7</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435.5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298.2</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46</w:t>
            </w: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28.4</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322.9</w:t>
            </w: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351.5</w:t>
            </w:r>
          </w:p>
        </w:tc>
        <w:tc>
          <w:tcPr>
            <w:tcW w:w="146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(4)</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111.8</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174.0</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285.9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282.8</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1</w:t>
            </w: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250.3</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27.5</w:t>
            </w: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277.7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316.1</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(12)</w:t>
            </w: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Verzenio</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198.7</w:t>
            </w:r>
          </w:p>
        </w:tc>
        <w:tc>
          <w:tcPr>
            <w:tcW w:w="30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44.6</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243.3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87.4</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7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18.6</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193.0</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250.6</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(16)</w:t>
            </w: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Olumiant</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17.1</w:t>
            </w:r>
          </w:p>
        </w:tc>
        <w:tc>
          <w:tcPr>
            <w:tcW w:w="30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167.4</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184.5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76.9</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7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22.7</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126.1</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244.9</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(39)</w:t>
            </w: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Emgality</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46.0</w:t>
            </w:r>
          </w:p>
        </w:tc>
        <w:tc>
          <w:tcPr>
            <w:tcW w:w="30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2.6</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48.5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products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313.3</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443.6</w:t>
            </w: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757.5</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974.8</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(22)</w:t>
            </w:r>
          </w:p>
        </w:tc>
      </w:tr>
      <w:tr>
        <w:trPr>
          <w:trHeight w:val="277"/>
        </w:trPr>
        <w:tc>
          <w:tcPr>
            <w:tcW w:w="408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6,143.3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4,585.6</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10,728.9</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10,548.8</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2</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7"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Humalog revenue includes Insulin Lispro.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 and Synjardy.</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p>
    <w:p>
      <w:pPr>
        <w:spacing w:after="0" w:line="9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Revenue of Trulicity, a treatment for type 2 diabetes, increased 29 percent and 28 percent in the U.S. during the three and six months ended June 30, 2019, respectively, primarily driven by increased demand, partially offset by lower realized prices due to higher contracted rebates, increased coverage gap funding requirements in Medicare Part D, and changes in segment mix. Revenue outside the U.S. increased 41 percent and 42 percent during the three and six months ended June 30, 2019, respectively, primarily driven by increased volume, partially offset by the unfavorable impact of foreign exchange rates and, to a lesser extent, lower realized prices.</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Revenue of Humalog, our injectable human insulin analog for the treatment of diabetes, decreased 15 percent and 13 percent in the U.S. during the three and six months ended June 30, 2019, respectively, driven by lower realized prices due to higher contracted rebates, increased coverage gap funding requirements in Medicare Part D, and the impact of patient affordability programs, and, to a lesser extent, decreased demand. Revenue outside the U.S. decreased 8 percent and 5 percent during the three and six months ended June 30, 2019, respectively. The decrease during the three months ended June 30, 2019 was driven by the unfavorable impact of foreign exchange rates and, to a lesser extent, decreased volume. The decrease during the six months ended June 30, 2019 was primarily driven by the unfavorable impact of foreign exchange rates, partially offset by increased volume. A competitor launched a similar version of insulin lispro in the U.S. in the second quarter of 2018 and in certain European markets in 2017. While it is difficult to estimate the severity of the impact of similar insulin lispro products entering the market, we do not expect and have not experienced a rapid and severe decline in revenue. However, due to the impact of competition and due to pricing pressure in the U.S. and some international markets, we expect some price declines and loss of market share to continue over time. Additionally, in the second quarter of 2019, we launched our own insulin lispro authorized generic.</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56" w:right="239" w:bottom="1440" w:gutter="0" w:footer="0" w:header="0"/>
        </w:sectPr>
      </w:pPr>
    </w:p>
    <w:bookmarkStart w:id="45" w:name="page46"/>
    <w:bookmarkEnd w:id="45"/>
    <w:p>
      <w:pPr>
        <w:ind w:right="160"/>
        <w:spacing w:after="0" w:line="253" w:lineRule="auto"/>
        <w:rPr>
          <w:sz w:val="20"/>
          <w:szCs w:val="20"/>
          <w:color w:val="auto"/>
        </w:rPr>
      </w:pPr>
      <w:r>
        <w:rPr>
          <w:rFonts w:ascii="Arial" w:cs="Arial" w:eastAsia="Arial" w:hAnsi="Arial"/>
          <w:sz w:val="18"/>
          <w:szCs w:val="18"/>
          <w:color w:val="auto"/>
        </w:rPr>
        <w:t>Revenue of Alimta, a treatment for various cancers, increased 21 percent and 18 percent in the U.S. during the three and six months ended June 30, 2019, respectively, primarily driven by increased demand and, to a lesser extent, the impact of buying patterns. Revenue outside the U.S. decreased 14 percent in the three and six months ended June 30, 2019, driven by decreased volume resulting from the entry of generic pemetrexed in Germany and, to a lesser extent, the unfavorable impact of foreign exchange rates. We have faced and remain exposed to generic entry in multiple countries, which has eroded revenue and is likely to continue to erode revenue from current levels.</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decreased 23 percent and 14 percent in the U.S. during the three and six months ended June 30, 2019, respectively, primarily due to decreased demand and, to a lesser extent, lower realized prices. Revenue outside the U.S. decreased 10 percent during the three months ended June 30, 2019 driven by the unfavorable impact of foreign exchange rates and decreased volume. Revenue decreased 6 percent during the six months ended June 30, 2019 driven by the unfavorable impact of foreign exchange rates and, to a lesser extent, decreased volume and lower realized prices. Our formulation patents for Forteo expired in December 2018 and our use patents will expire in August 2019 in major European markets and the U.S. Both the formulation patent and the use patent expire in August 2019 in Japan. While it is difficult to estimate the severity of the impact of generic and/or biosimilar competition in these markets, we expect a rapid and severe decline in revenue in the U.S. as a result of the U.S. patent expirations. Outside the U.S., we expect a decline in revenue as a result of patent expirations, however the decline may not be rapid and severe.</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Humulin, an injectable human insulin for the treatment of diabetes, decreased 8 percent in the U.S. during the three and six months ended June 30, 2019. The decrease during the three months ended June 30, 2019 was driven by lower realized prices due to higher contracted rebates, changes in segment mix, and increased coverage gap funding in Medicare Part D, partially offset by increased demand. The decrease during the six months ended June 30, 2019 was driven primarily by lower realized prices due to changes in estimates to rebates and discounts, changes in segment mix, and increased coverage gap funding in Medicare Part D, partially offset by increased volume. Revenue outside the U.S. decreased 4 percent and 6 percent during the three and six months ended June 30, 2019, respectively, due to the unfavorable impact of foreign exchange rates and, to a lesser extent, lower realized prices, partially offset by increased volume.</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Revenue of Taltz, a product for the treatment of moderate-to-severe plaque psoriasis and active psoriatic arthritis, increased 54 percent and 58 percent in the U.S. during the three and six months ended June 30, 2019, respectively, driven by increased demand. The increase during six months ended June 30, 2019 was partially offset by lower realized prices. Revenue outside the U.S. increased 84 percent and 92 percent during the three and six months ended June 30, 2019, respectively, primarily driven by increased volume from recent launches, partially offset by the unfavorable impact of foreign exchange rates.</w:t>
      </w:r>
    </w:p>
    <w:p>
      <w:pPr>
        <w:spacing w:after="0" w:line="9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Revenue of Basaglar, a long-acting human insulin analog for the treatment of diabetes, increased 48 percent and 52 percent in the U.S. during the three and six months ended June 30, 2019, respectively, primarily driven by increased demand and higher realized prices. Revenue outside the U.S. increased 29 percent and 32 percent during the three and six months ended June 30, 2019, respectively, primarily driven by increased volume, partially offset by the unfavorable impact of foreign exchange rates. See Note 4 to the consolidated condensed financial statements for information regarding our collaboration with Boehringer Ingelheim involving Basaglar.</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 of Cialis, a treatment for erectile dysfunction and benign prostatic hyperplasia, decreased 90 percent and 73 percent in the U.S. during the three and six months ended June 30, 2019, respectively, driven by decreased demand due to generic competition. Revenue outside the U.S. decreased 14 percent during the three months ended June 30, 2019 driven by decreased demand due to generic competition, the unfavorable impact of foreign exchange rates and, to a lesser extent, lower realized prices. Revenue decreased 12 percent during the six months ended June 30, 2019 driven by the unfavorable impact of foreign exchange rates, decreased demand due to generic competition and, to a lesser extent, lower realized prices. We have faced and remain exposed to generic competition following the loss of exclusivity, which has eroded revenue and is likely to continue to rapidly and severely erode revenue from current levels. See "Executive Overview - Other Matters - Patent Matters" for more information.</w:t>
      </w:r>
    </w:p>
    <w:p>
      <w:pPr>
        <w:spacing w:after="0" w:line="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 of Cyramza, a treatment for various cancers, increased 19 percent and 15 percent in the U.S. during the three and six months ended June 30, 2019, respectively, driven by increased demand. Revenue outside the U.S. increased 6 percent during the three and six months ended June 30, 2019 driven by increased volume, partially offset by the unfavorable impact of foreign exchange rates.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06" w:right="239" w:bottom="1440" w:gutter="0" w:footer="0" w:header="0"/>
        </w:sectPr>
      </w:pPr>
    </w:p>
    <w:bookmarkStart w:id="46" w:name="page47"/>
    <w:bookmarkEnd w:id="46"/>
    <w:p>
      <w:pPr>
        <w:ind w:right="80"/>
        <w:spacing w:after="0" w:line="252" w:lineRule="auto"/>
        <w:rPr>
          <w:sz w:val="20"/>
          <w:szCs w:val="20"/>
          <w:color w:val="auto"/>
        </w:rPr>
      </w:pPr>
      <w:r>
        <w:rPr>
          <w:rFonts w:ascii="Arial" w:cs="Arial" w:eastAsia="Arial" w:hAnsi="Arial"/>
          <w:sz w:val="18"/>
          <w:szCs w:val="18"/>
          <w:color w:val="auto"/>
        </w:rPr>
        <w:t>Revenue of Jardiance, a treatment for type 2 diabetes and to reduce the risk of cardiovascular death in adult patients with type 2 diabetes and established cardiovascular disease, increased 67 percent and 48 percent in the U.S. during the three and six months ended June 30, 2019, respectively, driven by increased demand. Revenue outside the U.S. increased 45 percent and 43 percent during the three and six months ended June 30, 2019, respectively, primarily driven by increased volume, partially offset by the unfavorable impact of foreign exchange rates. See Note 4 to the consolidated condensed financial statements for information regarding our collaboration with Boehringer Ingelheim involving Jardiance.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Gross margin as a percent of revenue increased 2.1 percentage points to 80.0 percent and increased 1.6 percentage points to 78.9 percent for the three and six months ended June 30, 2019, respectively. The increase in gross margin percent for the three months ended June 30, 2019 was primarily due to the favorable effect of foreign exchange rates on international inventories sold, lower intangible amortization expense, and greater manufacturing efficiencies, partially offset by unfavorable product mix and the impact of lower realized prices on revenue. The increase in gross margin percent for the six months ended June 30, 2019 was primarily due to the favorable effect of foreign exchange rates on international inventories sold and lower intangible amortization expense, partially offset by unfavorable product mix, charges resulting from the suspension of promotion of Lartruvo, and the negative impact of price on revenue.</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Research and development expenses increased 10 percent to $1.40 billion and 11 percent to $2.63 billion for the three and six months ended June 30, 2019, respectively, driven by higher development expenses for late-stage assets.</w:t>
      </w:r>
    </w:p>
    <w:p>
      <w:pPr>
        <w:spacing w:after="0" w:line="8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Marketing, selling, and administrative expenses increased 7 percent to $ 1.59 billion and 10 percent to $3.10 billion for the three and six months ended June 30, 2019, respectively, primarily due to increased marketing expenses to support the recent U.S. launch of Emgality, as well as other recent product launches.</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recognized $25.0 million and $161.9 million of acquired IPR&amp;D charges for the three and six months ended June 30, 2019, respectively. The charge for the three months ended June 30, 2019 was related to the collaboration with Avidity. The six months ended June 30, 2019 also included charges related to the the collaborations with AC Immune and ImmuNext. We recognized $1.62 billion of acquired IPR&amp;D charges for the three and six months ended June 30, 2018 related to the acquisitions of ARMO and AurKa, as well as the collaboration with Sigilon. See Note 3 to the consolidated condensed financial statements for additional information.</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There were no asset impairment, restructuring, and other special charges recognized during the three months ended June 30, 2019. We recognized income of $ 25.5 million related to asset impairment, restructuring, and other special charges for the three months ended June 30, 2018 primarily due to a reduction in actual severance costs incurred associated with the efforts to reduce our cost structure. We recognized asset impairment, restructuring, and other special charges of $423.9 million and $ 31.3 million for the six months ended June 30, 2019 and 2018, respectively. The charges for the six months ended June 30, 2019 included $400.7 million related to the acquisition of Loxo, substantially all of which is associated with the accelerated vesting of Loxo employee equity awards.</w:t>
      </w:r>
    </w:p>
    <w:p>
      <w:pPr>
        <w:spacing w:after="0" w:line="10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Other–net, (income) expense was expense of $32.4 million and income of $53.6 million for the three and six months ended June 30, 2019, respectively, compared with income of $46.6 million and $116.1 million for the three and six months ended June 30, 2018, respectively. See Note 13 to the consolidated condensed financial statements for additional information.</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effective tax rate was 9.5 percent for the three months ended June 30, 2019 as it reflects a net discrete tax benefit resulting from the resolution of certain global income tax audits. The effective tax rate for the six months ended June 30, 2019 was 14.1 percent as it reflects the non-deductibility of accelerated vesting of Loxo employee equity awards as part of the closing of the acquisition of Loxo, tax expenses associated with the suspension of promotion of Lartruvo, as well as the net discrete tax benefit resulting from the resolution of certain global income tax audits. During the three months ended June 30, 2018, we incurred $273.3 million of income tax expense, despite earning $41.7 million of income before income taxes as a result of the non-deductible acquired IPR&amp;D charges totaling $1.56 billion related to the acquisitions of ARMO and AurKa.The effective tax rate for the six months ended June 30, 2018 was 33.5 percent as it also reflected these non-deductible charges. See Note 9 to the consolidated condensed financial statements for additional information.</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706"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Cash and cash equivalents decreased to $2.29 billion as of June 30, 2019, compared with $7.32 billion as of December 31, 2018. Refer to the consolidated condensed statements of cash flows for additional information on the significant sources and uses of cash for the six months ended June 30, 2019 and 2018.</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$1.93 billion and $2.09 billion as of June 30, 2019 and December 31, 2018, respectively. See Note 7 to the consolidated condensed financial statements for additional information.</w:t>
      </w:r>
    </w:p>
    <w:p>
      <w:pPr>
        <w:spacing w:after="0" w:line="8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Total debt increased to $15.79 billion as of June 30, 2019, compared with $10.30 billion as of December 31, 2018. The increase primarily related to the net proceeds of $4.45 billion from the issuance of senior notes in February 2019. The proceeds from these notes were used to fund the acquisition of Loxo and for general corporate purposes. See Note 7 to the consolidated condensed financial statements for additional information.</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June 30, 2019, we had a total of $5.42 billion of committed bank credit facilities, $5.00 billion of which is available to support our commercial paper program. In January 2019, we entered into a $4.00 billion credit facility to support our commercial paper program, which was terminated upon closing of the February 2019 debt offering. We believe that amounts accessible through existing commercial paper markets should be adequate to fund short-term borrowing needs.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we had $2.40 billion remaining under our $8.00 billion share repurchase program authorized in June 2018.</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under our share repurchase program, and capital expenditures.</w:t>
      </w:r>
    </w:p>
    <w:p>
      <w:pPr>
        <w:spacing w:after="0" w:line="88"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which resulted in a reduction in shares of our common stock outstanding by approximately 65 million as of that date.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"Executive Overview - Other Matters - Foreign Currency Exchange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Full-year 2019 EPS is now anticipated to be in the range of $8.58 to $8.68. We still expect 2019 revenue of between $22.0 billion and $22.5 billion. Revenue growth is expected to be driven by volume from Trulicity, Taltz, Basaglar, Jardiance, Verzenio, Cyramza and Olumiant. Revenue growth is also expected to benefit from the recent launch of Emgality and could benefit from the potential approval and launch of other medicines in 2019. Revenue growth is expected to be partially offset by lower revenue for Cialis and other products that have lost patent exclusivity. Revenue growth is also expected to be partially offset by the negative impact of foreign exchange rates, continued low- to mid-single digit realized price declines in the U.S. driven primarily by rebates and legislated increases to Medicare Part D cost sharing, patient affordability programs, price declines in some international markets, and the impact of the impending product withdrawal of Lartruvo.</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margin as a percent of revenue is still expected to be approximately 79.0 percent. Research and development expenses are still expected to be in the range of $5.5 billion to $5.7 billion. Marketing, selling, and administrative expenses are now expected to be in the range of $5.9 billion to $6.1 billion. Other—net, (income) expense is now expected to be expense of up to $150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2019 tax rate is now expected to be in the range of 14 percent to 15 percent.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7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 The information contained in, or that can be accessed through, our website is not a part of, or incorporated by reference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right="60" w:hanging="652"/>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ind w:left="660" w:right="14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David A. Ricks, chairman, president, and chief executive officer, and Joshua L. Smiley, senior vice president and chief financial officer, evaluated our disclosure controls and procedures as of June 30, 2019, and concluded that they were effective.</w:t>
      </w:r>
    </w:p>
    <w:p>
      <w:pPr>
        <w:spacing w:after="0" w:line="75" w:lineRule="exact"/>
        <w:rPr>
          <w:rFonts w:ascii="Arial" w:cs="Arial" w:eastAsia="Arial" w:hAnsi="Arial"/>
          <w:sz w:val="18"/>
          <w:szCs w:val="18"/>
          <w:color w:val="auto"/>
        </w:rPr>
      </w:pPr>
    </w:p>
    <w:p>
      <w:pPr>
        <w:ind w:left="660" w:right="100" w:hanging="652"/>
        <w:spacing w:after="0" w:line="28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second quarter of 2019,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76" w:right="259" w:bottom="1440" w:gutter="0" w:footer="0" w:header="0"/>
        </w:sectPr>
      </w:pPr>
    </w:p>
    <w:bookmarkStart w:id="49" w:name="page50"/>
    <w:bookmarkEnd w:id="49"/>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Consolidated Condensed Financial Statements for information on various legal proceedings, including but not limited to:</w:t>
      </w:r>
    </w:p>
    <w:p>
      <w:pPr>
        <w:spacing w:after="0" w:line="144"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liability litigation involving Cymbalta;</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litigation in Brazil regarding the Cosmopolis facility;</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proceedings involving Adocia; and</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insulin pricing litigation and investigations.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jc w:val="both"/>
        <w:ind w:right="70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the Legal Proceedings disclosures in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(Part I, Item 3) and our Quarterly Report on Form 10-Q for the quarter ended March 31, 2019 (See Part II, Item 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Liability Litigation</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We are named along with Takeda Chemical Industries, Ltd. and Takeda affiliates (collectively, Takeda) as a defendant in four purported 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liability class actions in Canada related to Actos, which we commercialized with Takeda in Canada until 2009, including one in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(Casseres et al. v. Takeda Pharmaceutical North America, Inc.,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 v. Eli Lilly et al.</w:t>
      </w:r>
      <w:r>
        <w:rPr>
          <w:rFonts w:ascii="Arial" w:cs="Arial" w:eastAsia="Arial" w:hAnsi="Arial"/>
          <w:sz w:val="18"/>
          <w:szCs w:val="18"/>
          <w:color w:val="auto"/>
        </w:rPr>
        <w:t>), one in Saskatchewan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Weiler v. Takeda Canada Inc.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Inc. et al.</w:t>
      </w:r>
      <w:r>
        <w:rPr>
          <w:rFonts w:ascii="Arial" w:cs="Arial" w:eastAsia="Arial" w:hAnsi="Arial"/>
          <w:sz w:val="18"/>
          <w:szCs w:val="18"/>
          <w:color w:val="auto"/>
        </w:rPr>
        <w:t>). In general, plaintiffs in these actions alleged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Actos caused or contributed to their bladder cancer. We believe these lawsuits are without merit, and we and Takeda are defending against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them vigorously.</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named as a defendant in approximately 470 Axiron personal injury/product liability lawsuits in the U.S. involving approximately 470 plaintiffs. In about one-third of the cases, other manufacturers of testosterone are named as co-defendants. Nearly all of these lawsuits have been consolidated in a federal multi-district litigation in the U.S. District Court for the Northern District of Illinois. A small number of lawsuits have been filed in state courts. The cases generally allege cardiovascular and related injuries. We have reached agreement on a settlement framework that provides for a comprehensive resolution of nearly all of these personal injury claims alleging cardiovascular and related injuries from Axiron treatment. There can be no assurances, however, that a final settlement will be reached. We have also been engaged in litigation with Medical Mutual of Ohio (“MMO”), which filed a class action complaint against multiple manufacturers of testosterone products, including us, in the U.S. District Court for the Northern District of Illinois, on behalf of third-party payers who paid for those products and is seeking damages under the Federal Racketeer Influenced and Corrupt Organizations Act. MMO's motion for class certification was denied, and in February 2019, the District Court granted summary judgment in favor of defendants, dismissing MMO's lawsuit with prejudice. MMO’s appeal of this dismissal is currently pending before the U.S. Court of Appeals for the Seventh Circuit. We continue to believe all of these lawsuits are without merit and are defending against them vigorously.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Patent Matters</w:t>
      </w:r>
    </w:p>
    <w:p>
      <w:pPr>
        <w:spacing w:after="0" w:line="30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Canada, several generic companies previously challenged the validity of our Zyprexa compound patent. In 2012, the Canadian Federal Court of Appeals denied appeal on the lower court's decision that certain patent claims were invalid for lack of utility. In 2013, our petition for leave to appeal the decision to the Supreme Court of Canada was denied. Two of the generic companies, Apotex and Teva Canada Limited (Teva Canada), pursued claims for damages arising from our enforcement of the patent under Canadian regulations. In 2017, the court issued a ruling that Teva Canada is entitled to damages and the Canadian Federal Court of Appeals affirmed the lower court ruling in 2018. In November 2018, the Supreme Court of Canada denied our leave application and, in April 2019, the Supreme Court of Canada denied our motion to reconsider. This matter against Teva Canada is now closed. The claims sought by Apotex differ from Teva Canada and instead seek compensation based on novel legal theories under the Statute of Monopolies, Trade-Mark Act, and common law. The Apotex litigation is ongoing, and trial is expected in 2020.</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9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Other Matters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ind w:right="6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Item 1A of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There have been no material changes from the risk factors previously disclosed in our Annual Report.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3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June 30,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 Number of Shares</w:t>
            </w:r>
          </w:p>
        </w:tc>
        <w:tc>
          <w:tcPr>
            <w:tcW w:w="2180" w:type="dxa"/>
            <w:vAlign w:val="bottom"/>
          </w:tcPr>
          <w:p>
            <w:pPr>
              <w:jc w:val="center"/>
              <w:ind w:right="20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Purchased as Part of</w:t>
            </w: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40" w:type="dxa"/>
            <w:vAlign w:val="bottom"/>
          </w:tcPr>
          <w:p>
            <w:pPr>
              <w:spacing w:after="0"/>
              <w:rPr>
                <w:sz w:val="14"/>
                <w:szCs w:val="1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 Number of</w:t>
            </w:r>
          </w:p>
        </w:tc>
        <w:tc>
          <w:tcPr>
            <w:tcW w:w="17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Publicly Announced</w:t>
            </w:r>
          </w:p>
        </w:tc>
        <w:tc>
          <w:tcPr>
            <w:tcW w:w="218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40" w:type="dxa"/>
            <w:vAlign w:val="bottom"/>
          </w:tcPr>
          <w:p>
            <w:pPr>
              <w:spacing w:after="0"/>
              <w:rPr>
                <w:sz w:val="14"/>
                <w:szCs w:val="1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Shares Purchased</w:t>
            </w: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Average Price Paid</w:t>
            </w:r>
          </w:p>
        </w:tc>
        <w:tc>
          <w:tcPr>
            <w:tcW w:w="2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Plans or Programs</w:t>
            </w: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Plans or Programs</w:t>
            </w:r>
          </w:p>
        </w:tc>
      </w:tr>
      <w:tr>
        <w:trPr>
          <w:trHeight w:val="196"/>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2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per Share</w:t>
            </w:r>
          </w:p>
        </w:tc>
        <w:tc>
          <w:tcPr>
            <w:tcW w:w="27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2019</w:t>
            </w:r>
          </w:p>
        </w:tc>
        <w:tc>
          <w:tcPr>
            <w:tcW w:w="212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   $</w:t>
            </w: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   $</w:t>
            </w: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3,100.0</w:t>
            </w: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May 2019</w:t>
            </w: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21"/>
              <w:spacing w:after="0"/>
              <w:rPr>
                <w:sz w:val="20"/>
                <w:szCs w:val="20"/>
                <w:color w:val="auto"/>
              </w:rPr>
            </w:pPr>
            <w:r>
              <w:rPr>
                <w:rFonts w:ascii="Arial" w:cs="Arial" w:eastAsia="Arial" w:hAnsi="Arial"/>
                <w:sz w:val="18"/>
                <w:szCs w:val="18"/>
                <w:color w:val="auto"/>
              </w:rPr>
              <w:t>3,100.0</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2019</w:t>
            </w:r>
          </w:p>
        </w:tc>
        <w:tc>
          <w:tcPr>
            <w:tcW w:w="1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5,430</w:t>
            </w: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128.91</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5,430</w:t>
            </w:r>
          </w:p>
        </w:tc>
        <w:tc>
          <w:tcPr>
            <w:tcW w:w="34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2,400.0</w:t>
            </w:r>
          </w:p>
        </w:tc>
      </w:tr>
      <w:tr>
        <w:trPr>
          <w:trHeight w:val="264"/>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5,430</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128.91</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5,430</w:t>
            </w:r>
          </w:p>
        </w:tc>
        <w:tc>
          <w:tcPr>
            <w:tcW w:w="340" w:type="dxa"/>
            <w:vAlign w:val="bottom"/>
          </w:tcPr>
          <w:p>
            <w:pPr>
              <w:spacing w:after="0"/>
              <w:rPr>
                <w:sz w:val="22"/>
                <w:szCs w:val="22"/>
                <w:color w:val="auto"/>
              </w:rPr>
            </w:pPr>
          </w:p>
        </w:tc>
        <w:tc>
          <w:tcPr>
            <w:tcW w:w="2180" w:type="dxa"/>
            <w:vAlign w:val="bottom"/>
          </w:tcPr>
          <w:p>
            <w:pPr>
              <w:spacing w:after="0"/>
              <w:rPr>
                <w:sz w:val="22"/>
                <w:szCs w:val="22"/>
                <w:color w:val="auto"/>
              </w:rPr>
            </w:pPr>
          </w:p>
        </w:tc>
      </w:tr>
    </w:tbl>
    <w:p>
      <w:pPr>
        <w:spacing w:after="0" w:line="10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During the three months ended June 30, 2019, we repurchased $700.0 million of shares under the $8.00 billion share repurchase program authorized in June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420"/>
          </w:cols>
          <w:pgMar w:left="240" w:top="576"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Amended Articles of Incorporation</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David A. Ricks, Chairman, President, and Chief Executive Officer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Joshua L. Smiley, Senior Vice President and Chief Financial Officer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576"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Index to 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63" w:lineRule="exact"/>
        <w:rPr>
          <w:sz w:val="20"/>
          <w:szCs w:val="20"/>
          <w:color w:val="auto"/>
        </w:rPr>
      </w:pPr>
    </w:p>
    <w:p>
      <w:pPr>
        <w:ind w:left="2660" w:right="260" w:hanging="2633"/>
        <w:spacing w:after="0" w:line="246" w:lineRule="auto"/>
        <w:tabs>
          <w:tab w:leader="none" w:pos="2640" w:val="left"/>
        </w:tabs>
        <w:rPr>
          <w:rFonts w:ascii="Arial" w:cs="Arial" w:eastAsia="Arial" w:hAnsi="Arial"/>
          <w:sz w:val="18"/>
          <w:szCs w:val="18"/>
          <w:u w:val="single" w:color="auto"/>
          <w:color w:val="0000FF"/>
        </w:rPr>
      </w:pPr>
      <w:r>
        <w:rPr>
          <w:rFonts w:ascii="Arial" w:cs="Arial" w:eastAsia="Arial" w:hAnsi="Arial"/>
          <w:sz w:val="18"/>
          <w:szCs w:val="18"/>
          <w:color w:val="auto"/>
        </w:rPr>
        <w:t>EXHIBIT 3.1</w:t>
      </w:r>
      <w:r>
        <w:rPr>
          <w:sz w:val="20"/>
          <w:szCs w:val="20"/>
          <w:color w:val="auto"/>
        </w:rPr>
        <w:tab/>
      </w:r>
      <w:hyperlink r:id="rId49">
        <w:r>
          <w:rPr>
            <w:rFonts w:ascii="Arial" w:cs="Arial" w:eastAsia="Arial" w:hAnsi="Arial"/>
            <w:sz w:val="18"/>
            <w:szCs w:val="18"/>
            <w:u w:val="single" w:color="auto"/>
            <w:color w:val="0000FF"/>
          </w:rPr>
          <w:t>Amended Articles of Incorporation are incorporated by reference to Exhibit 3.1 to the Company's Report on</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Form 10-K for the year ended December 31, 2013</w:t>
        </w:r>
      </w:hyperlink>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color w:val="auto"/>
              </w:rPr>
              <w:t>EXHIBIT 3.2</w:t>
            </w:r>
          </w:p>
        </w:tc>
        <w:tc>
          <w:tcPr>
            <w:tcW w:w="8460" w:type="dxa"/>
            <w:vAlign w:val="bottom"/>
            <w:tcBorders>
              <w:bottom w:val="single" w:sz="8" w:color="0000FF"/>
            </w:tcBorders>
            <w:gridSpan w:val="5"/>
          </w:tcPr>
          <w:p>
            <w:pPr>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By-laws, as amended, are incorporated by reference to Exhibit 99.1 to the Company's Report on Form 8-K</w:t>
              </w:r>
            </w:hyperlink>
          </w:p>
        </w:tc>
      </w:tr>
      <w:tr>
        <w:trPr>
          <w:trHeight w:val="183"/>
        </w:trPr>
        <w:tc>
          <w:tcPr>
            <w:tcW w:w="2620" w:type="dxa"/>
            <w:vAlign w:val="bottom"/>
          </w:tcPr>
          <w:p>
            <w:pPr>
              <w:spacing w:after="0"/>
              <w:rPr>
                <w:sz w:val="15"/>
                <w:szCs w:val="15"/>
                <w:color w:val="auto"/>
              </w:rPr>
            </w:pPr>
          </w:p>
        </w:tc>
        <w:tc>
          <w:tcPr>
            <w:tcW w:w="1820" w:type="dxa"/>
            <w:vAlign w:val="bottom"/>
            <w:tcBorders>
              <w:bottom w:val="single" w:sz="8" w:color="0000FF"/>
            </w:tcBorders>
          </w:tcPr>
          <w:p>
            <w:pPr>
              <w:spacing w:after="0" w:line="182"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dated August 29, 2017</w:t>
              </w:r>
            </w:hyperlink>
          </w:p>
        </w:tc>
        <w:tc>
          <w:tcPr>
            <w:tcW w:w="6640" w:type="dxa"/>
            <w:vAlign w:val="bottom"/>
            <w:gridSpan w:val="4"/>
          </w:tcPr>
          <w:p>
            <w:pPr>
              <w:spacing w:after="0"/>
              <w:rPr>
                <w:sz w:val="15"/>
                <w:szCs w:val="15"/>
                <w:color w:val="auto"/>
              </w:rPr>
            </w:pPr>
          </w:p>
        </w:tc>
      </w:tr>
      <w:tr>
        <w:trPr>
          <w:trHeight w:val="561"/>
        </w:trPr>
        <w:tc>
          <w:tcPr>
            <w:tcW w:w="2620" w:type="dxa"/>
            <w:vAlign w:val="bottom"/>
          </w:tcPr>
          <w:p>
            <w:pPr>
              <w:spacing w:after="0"/>
              <w:rPr>
                <w:sz w:val="20"/>
                <w:szCs w:val="20"/>
                <w:color w:val="auto"/>
              </w:rPr>
            </w:pPr>
            <w:r>
              <w:rPr>
                <w:rFonts w:ascii="Arial" w:cs="Arial" w:eastAsia="Arial" w:hAnsi="Arial"/>
                <w:sz w:val="18"/>
                <w:szCs w:val="18"/>
                <w:color w:val="auto"/>
              </w:rPr>
              <w:t>EXHIBIT 31.1</w:t>
            </w:r>
          </w:p>
        </w:tc>
        <w:tc>
          <w:tcPr>
            <w:tcW w:w="8460" w:type="dxa"/>
            <w:vAlign w:val="bottom"/>
            <w:gridSpan w:val="5"/>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Rule 13a-14(a) Certification of David A. Ricks, Chairman, President, and Chief Executive Officer</w:t>
              </w:r>
            </w:hyperlink>
          </w:p>
        </w:tc>
      </w:tr>
      <w:tr>
        <w:trPr>
          <w:trHeight w:val="20"/>
        </w:trPr>
        <w:tc>
          <w:tcPr>
            <w:tcW w:w="26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561"/>
        </w:trPr>
        <w:tc>
          <w:tcPr>
            <w:tcW w:w="2620" w:type="dxa"/>
            <w:vAlign w:val="bottom"/>
          </w:tcPr>
          <w:p>
            <w:pPr>
              <w:spacing w:after="0"/>
              <w:rPr>
                <w:sz w:val="20"/>
                <w:szCs w:val="20"/>
                <w:color w:val="auto"/>
              </w:rPr>
            </w:pPr>
            <w:r>
              <w:rPr>
                <w:rFonts w:ascii="Arial" w:cs="Arial" w:eastAsia="Arial" w:hAnsi="Arial"/>
                <w:sz w:val="18"/>
                <w:szCs w:val="18"/>
                <w:color w:val="auto"/>
              </w:rPr>
              <w:t>EXHIBIT 31.2</w:t>
            </w:r>
          </w:p>
        </w:tc>
        <w:tc>
          <w:tcPr>
            <w:tcW w:w="782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56">
              <w:r>
                <w:rPr>
                  <w:rFonts w:ascii="Arial" w:cs="Arial" w:eastAsia="Arial" w:hAnsi="Arial"/>
                  <w:sz w:val="18"/>
                  <w:szCs w:val="18"/>
                  <w:color w:val="0000FF"/>
                  <w:w w:val="99"/>
                </w:rPr>
                <w:t>Rule 13a-14(a) Certification of Joshua L. Smiley, Senior Vice President and Chief Financial Officer</w:t>
              </w:r>
            </w:hyperlink>
          </w:p>
        </w:tc>
        <w:tc>
          <w:tcPr>
            <w:tcW w:w="640" w:type="dxa"/>
            <w:vAlign w:val="bottom"/>
          </w:tcPr>
          <w:p>
            <w:pPr>
              <w:spacing w:after="0"/>
              <w:rPr>
                <w:sz w:val="24"/>
                <w:szCs w:val="24"/>
                <w:color w:val="auto"/>
              </w:rPr>
            </w:pPr>
          </w:p>
        </w:tc>
      </w:tr>
      <w:tr>
        <w:trPr>
          <w:trHeight w:val="561"/>
        </w:trPr>
        <w:tc>
          <w:tcPr>
            <w:tcW w:w="2620" w:type="dxa"/>
            <w:vAlign w:val="bottom"/>
          </w:tcPr>
          <w:p>
            <w:pPr>
              <w:spacing w:after="0"/>
              <w:rPr>
                <w:sz w:val="20"/>
                <w:szCs w:val="20"/>
                <w:color w:val="auto"/>
              </w:rPr>
            </w:pPr>
            <w:r>
              <w:rPr>
                <w:rFonts w:ascii="Arial" w:cs="Arial" w:eastAsia="Arial" w:hAnsi="Arial"/>
                <w:sz w:val="18"/>
                <w:szCs w:val="18"/>
                <w:color w:val="auto"/>
              </w:rPr>
              <w:t>EXHIBIT 32.</w:t>
            </w:r>
          </w:p>
        </w:tc>
        <w:tc>
          <w:tcPr>
            <w:tcW w:w="206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Section 1350 Certification</w:t>
              </w:r>
            </w:hyperlink>
          </w:p>
        </w:tc>
        <w:tc>
          <w:tcPr>
            <w:tcW w:w="6400" w:type="dxa"/>
            <w:vAlign w:val="bottom"/>
            <w:gridSpan w:val="3"/>
          </w:tcPr>
          <w:p>
            <w:pPr>
              <w:spacing w:after="0"/>
              <w:rPr>
                <w:sz w:val="24"/>
                <w:szCs w:val="24"/>
                <w:color w:val="auto"/>
              </w:rPr>
            </w:pPr>
          </w:p>
        </w:tc>
      </w:tr>
      <w:tr>
        <w:trPr>
          <w:trHeight w:val="601"/>
        </w:trPr>
        <w:tc>
          <w:tcPr>
            <w:tcW w:w="2620" w:type="dxa"/>
            <w:vAlign w:val="bottom"/>
          </w:tcPr>
          <w:p>
            <w:pPr>
              <w:spacing w:after="0"/>
              <w:rPr>
                <w:sz w:val="20"/>
                <w:szCs w:val="20"/>
                <w:color w:val="auto"/>
              </w:rPr>
            </w:pPr>
            <w:r>
              <w:rPr>
                <w:rFonts w:ascii="Arial" w:cs="Arial" w:eastAsia="Arial" w:hAnsi="Arial"/>
                <w:sz w:val="18"/>
                <w:szCs w:val="18"/>
                <w:color w:val="auto"/>
              </w:rPr>
              <w:t>EXHIBIT 101.</w:t>
            </w:r>
          </w:p>
        </w:tc>
        <w:tc>
          <w:tcPr>
            <w:tcW w:w="8460" w:type="dxa"/>
            <w:vAlign w:val="bottom"/>
            <w:gridSpan w:val="5"/>
          </w:tcPr>
          <w:p>
            <w:pPr>
              <w:spacing w:after="0"/>
              <w:rPr>
                <w:sz w:val="20"/>
                <w:szCs w:val="20"/>
                <w:color w:val="auto"/>
              </w:rPr>
            </w:pPr>
            <w:r>
              <w:rPr>
                <w:rFonts w:ascii="Arial" w:cs="Arial" w:eastAsia="Arial" w:hAnsi="Arial"/>
                <w:sz w:val="18"/>
                <w:szCs w:val="18"/>
                <w:color w:val="auto"/>
              </w:rPr>
              <w:t>Interactive Data Files</w:t>
            </w:r>
          </w:p>
        </w:tc>
      </w:tr>
      <w:tr>
        <w:trPr>
          <w:trHeight w:val="446"/>
        </w:trPr>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0" w:type="dxa"/>
            <w:vAlign w:val="bottom"/>
            <w:gridSpan w:val="3"/>
          </w:tcPr>
          <w:p>
            <w:pPr>
              <w:ind w:left="520"/>
              <w:spacing w:after="0"/>
              <w:rPr>
                <w:sz w:val="20"/>
                <w:szCs w:val="20"/>
                <w:color w:val="auto"/>
              </w:rPr>
            </w:pPr>
            <w:r>
              <w:rPr>
                <w:rFonts w:ascii="Arial" w:cs="Arial" w:eastAsia="Arial" w:hAnsi="Arial"/>
                <w:sz w:val="18"/>
                <w:szCs w:val="18"/>
                <w:b w:val="1"/>
                <w:bCs w:val="1"/>
                <w:color w:val="auto"/>
              </w:rPr>
              <w:t>Signatures</w:t>
            </w:r>
          </w:p>
        </w:tc>
      </w:tr>
    </w:tbl>
    <w:p>
      <w:pPr>
        <w:spacing w:after="0" w:line="242" w:lineRule="exact"/>
        <w:rPr>
          <w:sz w:val="20"/>
          <w:szCs w:val="20"/>
          <w:color w:val="auto"/>
        </w:rPr>
      </w:pPr>
    </w:p>
    <w:p>
      <w:pPr>
        <w:ind w:right="160"/>
        <w:spacing w:after="0" w:line="44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1"/>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August 2, 2019</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August 2, 2019</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20"/>
          </w:cols>
          <w:pgMar w:left="240" w:top="57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certify that:</w:t>
      </w:r>
    </w:p>
    <w:p>
      <w:pPr>
        <w:spacing w:after="0" w:line="17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August 2, 2019</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41"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Quarterly Report on Form 10-Q for the quarter ended June 30, 2019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37"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August 2, 2019</w:t>
      </w:r>
      <w:r>
        <w:rPr>
          <w:sz w:val="20"/>
          <w:szCs w:val="20"/>
          <w:color w:val="auto"/>
        </w:rPr>
        <w:tab/>
      </w:r>
      <w:r>
        <w:rPr>
          <w:rFonts w:ascii="Arial" w:cs="Arial" w:eastAsia="Arial" w:hAnsi="Arial"/>
          <w:sz w:val="17"/>
          <w:szCs w:val="17"/>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August 2, 2019</w:t>
      </w:r>
      <w:r>
        <w:rPr>
          <w:sz w:val="20"/>
          <w:szCs w:val="20"/>
          <w:color w:val="auto"/>
        </w:rPr>
        <w:tab/>
      </w:r>
      <w:r>
        <w:rPr>
          <w:rFonts w:ascii="Arial" w:cs="Arial" w:eastAsia="Arial" w:hAnsi="Arial"/>
          <w:sz w:val="17"/>
          <w:szCs w:val="17"/>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60"/>
          </w:cols>
          <w:pgMar w:left="240" w:top="760" w:right="29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EXHIBIT 31.2 Rule 13a-14(a) Certification of Joshua L. Smiley, Senior Vice President and Chief Financial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Joshua L. Smiley, certify that:</w:t>
      </w:r>
    </w:p>
    <w:p>
      <w:pPr>
        <w:spacing w:after="0" w:line="17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August 2, 2019</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00"/>
      </w:cols>
      <w:pgMar w:left="240" w:top="8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10" Type="http://schemas.openxmlformats.org/officeDocument/2006/relationships/hyperlink" Target="http://www.sec.gov/Archives/edgar/data/59478/000005947819000082/lly-20181231x10xk.htm" TargetMode="External"/><Relationship Id="rId11" Type="http://schemas.openxmlformats.org/officeDocument/2006/relationships/hyperlink" Target="http://www.sec.gov/Archives/edgar/data/59478/000005947819000174/lly-3312019x10q.htm" TargetMode="External"/><Relationship Id="rId49" Type="http://schemas.openxmlformats.org/officeDocument/2006/relationships/hyperlink" Target="http://www.sec.gov/Archives/edgar/data/59478/000005947814000078/lly-20131231x10kexhibit31.htm" TargetMode="External"/><Relationship Id="rId50" Type="http://schemas.openxmlformats.org/officeDocument/2006/relationships/hyperlink" Target="http://www.sec.gov/Archives/edgar/data/59478/000005947817000189/bylawsasamendment829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2019-12-28T09:02:32Z</dcterms:created>
  <dcterms:modified xsi:type="dcterms:W3CDTF">2019-12-28T09:02:32Z</dcterms:modified>
</cp:coreProperties>
</file>