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1640" w:type="dxa"/>
        <w:tblCellMar>
          <w:top w:w="0" w:type="dxa"/>
          <w:left w:w="0" w:type="dxa"/>
          <w:bottom w:w="0" w:type="dxa"/>
          <w:right w:w="0" w:type="dxa"/>
        </w:tblCellMar>
      </w:tblPr>
      <w:tr>
        <w:trPr>
          <w:trHeight w:val="243"/>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49"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9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66"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95" w:lineRule="exact"/>
        <w:rPr>
          <w:sz w:val="24"/>
          <w:szCs w:val="24"/>
          <w:color w:val="auto"/>
        </w:rPr>
      </w:pPr>
    </w:p>
    <w:p>
      <w:pPr>
        <w:jc w:val="both"/>
        <w:ind w:right="28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pacing w:after="0" w:line="85" w:lineRule="exact"/>
        <w:rPr>
          <w:sz w:val="24"/>
          <w:szCs w:val="24"/>
          <w:color w:val="auto"/>
        </w:rPr>
      </w:pPr>
    </w:p>
    <w:p>
      <w:pPr>
        <w:ind w:left="40"/>
        <w:spacing w:after="0" w:line="208" w:lineRule="exact"/>
        <w:tabs>
          <w:tab w:leader="none" w:pos="3240" w:val="left"/>
          <w:tab w:leader="none" w:pos="576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Non-accelerated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Smaller reporting Company </w:t>
      </w:r>
      <w:r>
        <w:rPr>
          <w:rFonts w:ascii="Times New Roman" w:cs="Times New Roman" w:eastAsia="Times New Roman" w:hAnsi="Times New Roman"/>
          <w:sz w:val="18"/>
          <w:szCs w:val="18"/>
          <w:color w:val="auto"/>
        </w:rPr>
        <w:t>o</w:t>
      </w:r>
    </w:p>
    <w:p>
      <w:pPr>
        <w:spacing w:after="0" w:line="370"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(Do not check if a smaller reporting company)</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7"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5" w:lineRule="exact"/>
        <w:rPr>
          <w:sz w:val="24"/>
          <w:szCs w:val="24"/>
          <w:color w:val="auto"/>
        </w:rPr>
      </w:pPr>
    </w:p>
    <w:p>
      <w:pPr>
        <w:ind w:right="60"/>
        <w:spacing w:after="0" w:line="271"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85"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October 17, 2016:</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7"/>
                <w:szCs w:val="17"/>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5"/>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1,103,948,230</w:t>
            </w:r>
          </w:p>
        </w:tc>
      </w:tr>
      <w:tr>
        <w:trPr>
          <w:trHeight w:val="145"/>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1" w:right="239" w:bottom="1440" w:gutter="0" w:footer="0" w:header="0"/>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September 30, 2016</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40" w:type="dxa"/>
            <w:vAlign w:val="bottom"/>
            <w:gridSpan w:val="1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w:t>
              </w:r>
            </w:hyperlink>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1800" w:type="dxa"/>
            <w:vAlign w:val="bottom"/>
            <w:gridSpan w:val="5"/>
          </w:tcPr>
          <w:p>
            <w:pPr>
              <w:spacing w:after="0"/>
              <w:rPr>
                <w:sz w:val="21"/>
                <w:szCs w:val="21"/>
                <w:color w:val="auto"/>
              </w:rPr>
            </w:pPr>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730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Results of Operations and Financial Condition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5"/>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Revenue</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39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Financial Condition</w:t>
              </w:r>
            </w:hyperlink>
          </w:p>
        </w:tc>
        <w:tc>
          <w:tcPr>
            <w:tcW w:w="1340" w:type="dxa"/>
            <w:vAlign w:val="bottom"/>
            <w:gridSpan w:val="4"/>
          </w:tcPr>
          <w:p>
            <w:pPr>
              <w:spacing w:after="0"/>
              <w:rPr>
                <w:sz w:val="21"/>
                <w:szCs w:val="21"/>
                <w:color w:val="auto"/>
              </w:rPr>
            </w:pPr>
          </w:p>
        </w:tc>
        <w:tc>
          <w:tcPr>
            <w:tcW w:w="4180" w:type="dxa"/>
            <w:vAlign w:val="bottom"/>
            <w:gridSpan w:val="8"/>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Financial Expectations</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Available Information on our Website</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1A.</w:t>
              </w:r>
            </w:hyperlink>
          </w:p>
        </w:tc>
        <w:tc>
          <w:tcPr>
            <w:tcW w:w="730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730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860" w:type="dxa"/>
            <w:vAlign w:val="bottom"/>
            <w:gridSpan w:val="3"/>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Signatures</w:t>
              </w:r>
            </w:hyperlink>
          </w:p>
        </w:tc>
        <w:tc>
          <w:tcPr>
            <w:tcW w:w="24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Index to Exhibits</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497"/>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4"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particular, information appearing under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w:t>
      </w:r>
    </w:p>
    <w:p>
      <w:pPr>
        <w:spacing w:after="0" w:line="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Securities and Exchange Commission (SEC), including our Annual Report on Form 10-K for the year ended December 31, 2015, particularly under the captions “Forward-Looking Statements” and “Risk Factors.”</w:t>
      </w:r>
    </w:p>
    <w:p>
      <w:pPr>
        <w:spacing w:after="0" w:line="55" w:lineRule="exact"/>
        <w:rPr>
          <w:sz w:val="20"/>
          <w:szCs w:val="20"/>
          <w:color w:val="auto"/>
        </w:rPr>
      </w:pPr>
    </w:p>
    <w:p>
      <w:pPr>
        <w:jc w:val="both"/>
        <w:ind w:right="460"/>
        <w:spacing w:after="0" w:line="271"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0"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2"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8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Asset impairment, restructuring, and other special charges (Note 5)</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8)</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560" w:hanging="535"/>
        <w:spacing w:after="0"/>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5,191.7   </w:t>
      </w:r>
      <w:r>
        <w:rPr>
          <w:rFonts w:ascii="Arial" w:cs="Arial" w:eastAsia="Arial" w:hAnsi="Arial"/>
          <w:sz w:val="18"/>
          <w:szCs w:val="18"/>
          <w:color w:val="auto"/>
        </w:rPr>
        <w:t xml:space="preserve">$4,959.7   </w:t>
      </w:r>
      <w:r>
        <w:rPr>
          <w:rFonts w:ascii="Arial" w:cs="Arial" w:eastAsia="Arial" w:hAnsi="Arial"/>
          <w:sz w:val="18"/>
          <w:szCs w:val="18"/>
          <w:b w:val="1"/>
          <w:bCs w:val="1"/>
          <w:color w:val="auto"/>
        </w:rPr>
        <w:t>$   15,461.6</w:t>
      </w:r>
      <w:r>
        <w:rPr>
          <w:rFonts w:ascii="Arial" w:cs="Arial" w:eastAsia="Arial" w:hAnsi="Arial"/>
          <w:sz w:val="18"/>
          <w:szCs w:val="18"/>
          <w:color w:val="auto"/>
        </w:rPr>
        <w:t xml:space="preserve">   $    14,583.1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1,400.9</w:t>
            </w: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1,236.9</w:t>
            </w: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4,188.9</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3,648.0</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1,236.4</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1,143.4</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3,793.3</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3,352.2</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1,565.4</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1,575.7</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4,661.9</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4,734.6</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336.0</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45.5</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234.9</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222.8</w:t>
            </w:r>
          </w:p>
        </w:tc>
      </w:tr>
      <w:tr>
        <w:trPr>
          <w:trHeight w:val="271"/>
        </w:trPr>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(27.2)</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100.6</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50"/>
        </w:trPr>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4,221.0</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3,911.9</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12,979.6</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12,237.7</w:t>
            </w:r>
          </w:p>
        </w:tc>
      </w:tr>
      <w:tr>
        <w:trPr>
          <w:trHeight w:val="249"/>
        </w:trPr>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970.7</w:t>
            </w: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1,047.8</w:t>
            </w: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2,482.0</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2,345.4</w:t>
            </w:r>
          </w:p>
        </w:tc>
      </w:tr>
      <w:tr>
        <w:trPr>
          <w:trHeight w:val="271"/>
        </w:trPr>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192.7</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248.1</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516.2</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415.4</w:t>
            </w:r>
          </w:p>
        </w:tc>
      </w:tr>
      <w:tr>
        <w:trPr>
          <w:trHeight w:val="258"/>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778.0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799.7</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1,965.8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1,930.0</w:t>
            </w:r>
          </w:p>
        </w:tc>
      </w:tr>
    </w:tbl>
    <w:p>
      <w:pPr>
        <w:spacing w:after="0" w:line="200" w:lineRule="exact"/>
        <w:rPr>
          <w:sz w:val="20"/>
          <w:szCs w:val="20"/>
          <w:color w:val="auto"/>
        </w:rPr>
      </w:pPr>
    </w:p>
    <w:p>
      <w:pPr>
        <w:sectPr>
          <w:pgSz w:w="11900" w:h="16838" w:orient="portrait"/>
          <w:cols w:equalWidth="0" w:num="2">
            <w:col w:w="5520" w:space="500"/>
            <w:col w:w="5400"/>
          </w:cols>
          <w:pgMar w:left="240" w:top="557" w:right="239" w:bottom="1440"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2"/>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0.74</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0.75</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77"/>
        </w:trPr>
        <w:tc>
          <w:tcPr>
            <w:tcW w:w="5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0.73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1.85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0"/>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8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9"/>
        </w:trPr>
        <w:tc>
          <w:tcPr>
            <w:tcW w:w="5180" w:type="dxa"/>
            <w:vAlign w:val="bottom"/>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1,057.7</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1,061.4</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1,058.4</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1,062.4</w:t>
            </w:r>
          </w:p>
        </w:tc>
      </w:tr>
      <w:tr>
        <w:trPr>
          <w:trHeight w:val="271"/>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1,060.8</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1,065.2</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1,061.1</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1,066.0</w:t>
            </w:r>
          </w:p>
        </w:tc>
      </w:tr>
      <w:tr>
        <w:trPr>
          <w:trHeight w:val="324"/>
        </w:trPr>
        <w:tc>
          <w:tcPr>
            <w:tcW w:w="5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369"/>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8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459"/>
        </w:trPr>
        <w:tc>
          <w:tcPr>
            <w:tcW w:w="518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4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2015</w:t>
            </w:r>
          </w:p>
        </w:tc>
      </w:tr>
      <w:tr>
        <w:trPr>
          <w:trHeight w:val="26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778.0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799.7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1,965.8</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1,930.0</w:t>
            </w:r>
          </w:p>
        </w:tc>
      </w:tr>
      <w:tr>
        <w:trPr>
          <w:trHeight w:val="269"/>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 (Note 11)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113.5</w:t>
            </w:r>
          </w:p>
        </w:tc>
        <w:tc>
          <w:tcPr>
            <w:tcW w:w="5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323.0</w:t>
            </w:r>
          </w:p>
        </w:tc>
        <w:tc>
          <w:tcPr>
            <w:tcW w:w="5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(675.2)</w:t>
            </w:r>
          </w:p>
        </w:tc>
      </w:tr>
      <w:tr>
        <w:trPr>
          <w:trHeight w:val="25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891.5</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535.9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2,288.8</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1,254.8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September 30, 2016</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2015</w:t>
            </w:r>
          </w:p>
        </w:tc>
      </w:tr>
      <w:tr>
        <w:trPr>
          <w:trHeight w:val="26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3,489.0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3,666.4</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18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737.8</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785.4</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$44.7 (2016)</w:t>
            </w:r>
            <w:r>
              <w:rPr>
                <w:rFonts w:ascii="Arial" w:cs="Arial" w:eastAsia="Arial" w:hAnsi="Arial"/>
                <w:sz w:val="18"/>
                <w:szCs w:val="18"/>
                <w:color w:val="auto"/>
              </w:rPr>
              <w:t xml:space="preserve"> and $44.3 (2015)</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3,848.5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3,513.0</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672.9</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558.6</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3,881.2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3,445.8</w:t>
            </w:r>
          </w:p>
        </w:tc>
      </w:tr>
      <w:tr>
        <w:trPr>
          <w:trHeight w:val="269"/>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756.5</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604.4</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13,385.9</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12,573.6</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(Note 6)</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5,027.0</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3,646.6</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4,007.7</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4,039.9</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 net</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4,638.5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5,034.8</w:t>
            </w:r>
          </w:p>
        </w:tc>
      </w:tr>
      <w:tr>
        <w:trPr>
          <w:trHeight w:val="269"/>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Sundry</w:t>
            </w: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2,279.3</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2,220.5</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15,952.5</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14,941.8</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Property and Equipment</w:t>
            </w: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 buildings, equipment, and construction in progress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17,237.8</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16,660.9</w:t>
            </w:r>
          </w:p>
        </w:tc>
      </w:tr>
      <w:tr>
        <w:trPr>
          <w:trHeight w:val="269"/>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(8,985.9)</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(8,607.4)</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8,251.9</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8,053.5</w:t>
            </w:r>
          </w:p>
        </w:tc>
      </w:tr>
      <w:tr>
        <w:trPr>
          <w:trHeight w:val="271"/>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37,590.3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35,568.9</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641.5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1,161.2</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1,338.2</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738.5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967.0</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18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3,547.5</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2,560.1</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183.0</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358.9</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2,001.1</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2,460.3</w:t>
            </w:r>
          </w:p>
        </w:tc>
      </w:tr>
      <w:tr>
        <w:trPr>
          <w:trHeight w:val="264"/>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8,272.8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8,229.6</w:t>
            </w: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8,707.3</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7,972.4</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9)</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2,077.8</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2,160.3</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18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805.6</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868.9</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2,111.0</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1,747.4</w:t>
            </w:r>
          </w:p>
        </w:tc>
      </w:tr>
      <w:tr>
        <w:trPr>
          <w:trHeight w:val="264"/>
        </w:trPr>
        <w:tc>
          <w:tcPr>
            <w:tcW w:w="764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13,701.7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12,749.0</w:t>
            </w: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10)</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Eli Lilly and Company Shareholders’ Equity (Note 7)</w:t>
            </w: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690.4</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5,648.6</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5,552.1</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16,601.6</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16,011.8</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180" w:type="dxa"/>
            <w:vAlign w:val="bottom"/>
          </w:tcPr>
          <w:p>
            <w:pPr>
              <w:spacing w:after="0"/>
              <w:rPr>
                <w:sz w:val="23"/>
                <w:szCs w:val="23"/>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11)</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(4,257.7)</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(4,580.7)</w:t>
            </w:r>
          </w:p>
        </w:tc>
      </w:tr>
      <w:tr>
        <w:trPr>
          <w:trHeight w:val="269"/>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(80.5)</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15,589.2</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14,571.3</w:t>
            </w:r>
          </w:p>
        </w:tc>
      </w:tr>
      <w:tr>
        <w:trPr>
          <w:trHeight w:val="269"/>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26.6</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15,615.8</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14,590.3</w:t>
            </w:r>
          </w:p>
        </w:tc>
      </w:tr>
      <w:tr>
        <w:trPr>
          <w:trHeight w:val="271"/>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37,590.3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35,568.9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4" w:right="239" w:bottom="56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4" w:right="239" w:bottom="565"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3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Nine Months Ended</w:t>
      </w:r>
    </w:p>
    <w:p>
      <w:pPr>
        <w:spacing w:after="0" w:line="2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September 30,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65"/>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1,965.8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1,930.0</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1"/>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1,152.0</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1,084.3</w:t>
            </w:r>
          </w:p>
        </w:tc>
      </w:tr>
      <w:tr>
        <w:trPr>
          <w:trHeight w:val="269"/>
        </w:trPr>
        <w:tc>
          <w:tcPr>
            <w:tcW w:w="7620" w:type="dxa"/>
            <w:vAlign w:val="bottom"/>
          </w:tcPr>
          <w:p>
            <w:pPr>
              <w:ind w:left="180"/>
              <w:spacing w:after="0"/>
              <w:rPr>
                <w:sz w:val="20"/>
                <w:szCs w:val="20"/>
                <w:color w:val="auto"/>
              </w:rPr>
            </w:pPr>
            <w:r>
              <w:rPr>
                <w:rFonts w:ascii="Arial" w:cs="Arial" w:eastAsia="Arial" w:hAnsi="Arial"/>
                <w:sz w:val="18"/>
                <w:szCs w:val="18"/>
                <w:color w:val="auto"/>
              </w:rPr>
              <w:t>Change in deferred income taxes</w:t>
            </w:r>
          </w:p>
        </w:tc>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350.8</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(671.0)</w:t>
            </w:r>
          </w:p>
        </w:tc>
      </w:tr>
      <w:tr>
        <w:trPr>
          <w:trHeight w:val="271"/>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188.5</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159.4</w:t>
            </w:r>
          </w:p>
        </w:tc>
      </w:tr>
      <w:tr>
        <w:trPr>
          <w:trHeight w:val="269"/>
        </w:trPr>
        <w:tc>
          <w:tcPr>
            <w:tcW w:w="7620" w:type="dxa"/>
            <w:vAlign w:val="bottom"/>
          </w:tcPr>
          <w:p>
            <w:pPr>
              <w:ind w:left="180"/>
              <w:spacing w:after="0"/>
              <w:rPr>
                <w:sz w:val="20"/>
                <w:szCs w:val="20"/>
                <w:color w:val="auto"/>
              </w:rPr>
            </w:pPr>
            <w:r>
              <w:rPr>
                <w:rFonts w:ascii="Arial" w:cs="Arial" w:eastAsia="Arial" w:hAnsi="Arial"/>
                <w:sz w:val="18"/>
                <w:szCs w:val="18"/>
                <w:color w:val="auto"/>
              </w:rPr>
              <w:t>Net payments for terminations of interest rate swaps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(3.4)</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71"/>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336.0</w:t>
            </w:r>
          </w:p>
        </w:tc>
      </w:tr>
      <w:tr>
        <w:trPr>
          <w:trHeight w:val="269"/>
        </w:trPr>
        <w:tc>
          <w:tcPr>
            <w:tcW w:w="7620" w:type="dxa"/>
            <w:vAlign w:val="bottom"/>
          </w:tcPr>
          <w:p>
            <w:pPr>
              <w:ind w:left="1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(1,215.8)</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(963.6)</w:t>
            </w:r>
          </w:p>
        </w:tc>
      </w:tr>
      <w:tr>
        <w:trPr>
          <w:trHeight w:val="27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non-cash operating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296.2</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279.5</w:t>
            </w:r>
          </w:p>
        </w:tc>
      </w:tr>
      <w:tr>
        <w:trPr>
          <w:trHeight w:val="264"/>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2,734.1</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1,968.5</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Net purchases of property and equipment</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(627.2)</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(686.0)</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short-term investments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1,245.9</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1,585.8</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(425.7)</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(764.2)</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 of noncurrent investments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1,606.8</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2,271.8</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noncurrent investments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(3,640.7)</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(2,673.4)</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released for acquisition (Note 3)</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5,405.6</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(45.0)</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(5,287.8)</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product rights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410.0</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Purchase of in-process research and development</w:t>
            </w:r>
          </w:p>
        </w:tc>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(386.0)</w:t>
            </w:r>
          </w:p>
        </w:tc>
      </w:tr>
      <w:tr>
        <w:trPr>
          <w:trHeight w:val="266"/>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investing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(75.1)</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68"/>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Used for Investing Activities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(1,961.0)</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(226.9)</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(1,617.4)</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(1,594.0)</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short-term borrowings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1,206.6</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4,454.6</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long-term debt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(0.2)</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w:t>
            </w:r>
          </w:p>
        </w:tc>
      </w:tr>
      <w:tr>
        <w:trPr>
          <w:trHeight w:val="265"/>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common stock</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(300.1)</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(496.6)</w:t>
            </w:r>
          </w:p>
        </w:tc>
      </w:tr>
      <w:tr>
        <w:trPr>
          <w:trHeight w:val="274"/>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(121.8)</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r>
      <w:tr>
        <w:trPr>
          <w:trHeight w:val="264"/>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Used for Financing Activities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(834.6)</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(2,239.6)</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(115.9)</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78"/>
        </w:trPr>
        <w:tc>
          <w:tcPr>
            <w:tcW w:w="7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(177.4)</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r>
      <w:tr>
        <w:trPr>
          <w:trHeight w:val="265"/>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January 1</w:t>
            </w: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3,666.4</w:t>
            </w:r>
          </w:p>
        </w:tc>
        <w:tc>
          <w:tcPr>
            <w:tcW w:w="5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3,871.6</w:t>
            </w:r>
          </w:p>
        </w:tc>
      </w:tr>
      <w:tr>
        <w:trPr>
          <w:trHeight w:val="27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September 30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3,489.0</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3,238.8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revenues, expenses, and related disclosures at the date of the financial statements and during the reporting period. Actual results could differ from those estimates.</w:t>
      </w:r>
    </w:p>
    <w:p>
      <w:pPr>
        <w:spacing w:after="0" w:line="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2015. We issue our financial statements by filing with the Securities and Exchange Commission and have evaluated subsequent events up to the time of the filing.</w:t>
      </w:r>
    </w:p>
    <w:p>
      <w:pPr>
        <w:spacing w:after="0" w:line="5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Certain reclassifications have been made to prior periods in the consolidated condensed financial statements and accompanying notes to conform with the current presentation.</w:t>
      </w:r>
    </w:p>
    <w:p>
      <w:pPr>
        <w:spacing w:after="0" w:line="37"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73"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following table provides a brief description of accounting standards that have not yet been adopted and could have a material effect on our financial statements: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360" w:type="dxa"/>
            <w:vAlign w:val="bottom"/>
          </w:tcPr>
          <w:p>
            <w:pPr>
              <w:ind w:left="8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203"/>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Description</w:t>
            </w:r>
          </w:p>
        </w:tc>
        <w:tc>
          <w:tcPr>
            <w:tcW w:w="2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significant matters</w:t>
            </w:r>
          </w:p>
        </w:tc>
      </w:tr>
      <w:tr>
        <w:trPr>
          <w:trHeight w:val="201"/>
        </w:trPr>
        <w:tc>
          <w:tcPr>
            <w:tcW w:w="22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Accounting Standards</w:t>
            </w:r>
          </w:p>
        </w:tc>
        <w:tc>
          <w:tcPr>
            <w:tcW w:w="36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This standard will replace existing revenue</w:t>
            </w:r>
          </w:p>
        </w:tc>
        <w:tc>
          <w:tcPr>
            <w:tcW w:w="2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This standard is effective</w:t>
            </w:r>
          </w:p>
        </w:tc>
        <w:tc>
          <w:tcPr>
            <w:tcW w:w="3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We are in the process of evaluating the</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recognition standards and will require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January 1, 2018, but we</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impact of the adoption of the standard,</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from Contracts with</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entities to recognize revenues to depict the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are permitted to adopt</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but do not yet have enough information</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Customers</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transfer of promised goods or services to</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this standard one year</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to estimate the anticipated impact on our</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customers in an amount that reflects the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earlier if we choose. We</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consolidated financial statements.</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consideration to which the entity expects to</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intend to adopt this</w:t>
            </w: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be entitled in exchange for those goods or</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standard on January 1,</w:t>
            </w: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services. An entity can apply the new</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2018.</w:t>
            </w: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revenue standard retrospectively to each</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prior reporting period presented or with the</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cumulative effect of initially applying the</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standard recognized at the date of initial</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52"/>
        </w:trPr>
        <w:tc>
          <w:tcPr>
            <w:tcW w:w="2240" w:type="dxa"/>
            <w:vAlign w:val="bottom"/>
            <w:shd w:val="clear" w:color="auto" w:fill="CCEEFF"/>
          </w:tcPr>
          <w:p>
            <w:pPr>
              <w:spacing w:after="0"/>
              <w:rPr>
                <w:sz w:val="21"/>
                <w:szCs w:val="21"/>
                <w:color w:val="auto"/>
              </w:rPr>
            </w:pP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application in retained earnings.</w:t>
            </w:r>
          </w:p>
        </w:tc>
        <w:tc>
          <w:tcPr>
            <w:tcW w:w="218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r>
      <w:tr>
        <w:trPr>
          <w:trHeight w:val="679"/>
        </w:trPr>
        <w:tc>
          <w:tcPr>
            <w:tcW w:w="2240" w:type="dxa"/>
            <w:vAlign w:val="bottom"/>
          </w:tcPr>
          <w:p>
            <w:pPr>
              <w:spacing w:after="0"/>
              <w:rPr>
                <w:sz w:val="24"/>
                <w:szCs w:val="24"/>
                <w:color w:val="auto"/>
              </w:rPr>
            </w:pPr>
          </w:p>
        </w:tc>
        <w:tc>
          <w:tcPr>
            <w:tcW w:w="3640" w:type="dxa"/>
            <w:vAlign w:val="bottom"/>
          </w:tcPr>
          <w:p>
            <w:pPr>
              <w:ind w:left="3420"/>
              <w:spacing w:after="0"/>
              <w:rPr>
                <w:sz w:val="20"/>
                <w:szCs w:val="20"/>
                <w:color w:val="auto"/>
              </w:rPr>
            </w:pPr>
            <w:r>
              <w:rPr>
                <w:rFonts w:ascii="Arial" w:cs="Arial" w:eastAsia="Arial" w:hAnsi="Arial"/>
                <w:sz w:val="18"/>
                <w:szCs w:val="18"/>
                <w:color w:val="auto"/>
              </w:rPr>
              <w:t>8</w:t>
            </w:r>
          </w:p>
        </w:tc>
        <w:tc>
          <w:tcPr>
            <w:tcW w:w="218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420"/>
          </w:cols>
          <w:pgMar w:left="240" w:top="574" w:right="239" w:bottom="1440" w:gutter="0" w:footer="0" w:header="0"/>
        </w:sectPr>
      </w:pPr>
    </w:p>
    <w:bookmarkStart w:id="8" w:name="page9"/>
    <w:bookmarkEnd w:id="8"/>
    <w:p>
      <w:pPr>
        <w:ind w:left="8140"/>
        <w:spacing w:after="0"/>
        <w:rPr>
          <w:sz w:val="20"/>
          <w:szCs w:val="20"/>
          <w:color w:val="auto"/>
        </w:rPr>
      </w:pPr>
      <w:r>
        <w:rPr>
          <w:rFonts w:ascii="Arial" w:cs="Arial" w:eastAsia="Arial" w:hAnsi="Arial"/>
          <w:sz w:val="14"/>
          <w:szCs w:val="14"/>
          <w:b w:val="1"/>
          <w:bCs w:val="1"/>
          <w:color w:val="auto"/>
        </w:rPr>
        <w:t>Effect on the financial statements or other</w:t>
      </w:r>
    </w:p>
    <w:p>
      <w:pPr>
        <w:spacing w:after="0" w:line="21" w:lineRule="exact"/>
        <w:rPr>
          <w:sz w:val="20"/>
          <w:szCs w:val="20"/>
          <w:color w:val="auto"/>
        </w:rPr>
      </w:pPr>
    </w:p>
    <w:p>
      <w:pPr>
        <w:ind w:left="40"/>
        <w:spacing w:after="0"/>
        <w:tabs>
          <w:tab w:leader="none" w:pos="2320" w:val="left"/>
          <w:tab w:leader="none" w:pos="5960" w:val="left"/>
          <w:tab w:leader="none" w:pos="812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4"/>
          <w:szCs w:val="14"/>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41"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spacing w:after="0" w:line="13"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color w:val="auto"/>
        </w:rPr>
        <w:t xml:space="preserve">Update 2016-01, </w:t>
      </w:r>
      <w:r>
        <w:rPr>
          <w:rFonts w:ascii="Arial" w:cs="Arial" w:eastAsia="Arial" w:hAnsi="Arial"/>
          <w:sz w:val="18"/>
          <w:szCs w:val="18"/>
          <w:i w:val="1"/>
          <w:iCs w:val="1"/>
          <w:color w:val="auto"/>
        </w:rPr>
        <w:t>Financial</w:t>
      </w:r>
      <w:r>
        <w:rPr>
          <w:sz w:val="20"/>
          <w:szCs w:val="20"/>
          <w:color w:val="auto"/>
        </w:rPr>
        <w:tab/>
      </w:r>
      <w:r>
        <w:rPr>
          <w:rFonts w:ascii="Arial" w:cs="Arial" w:eastAsia="Arial" w:hAnsi="Arial"/>
          <w:sz w:val="17"/>
          <w:szCs w:val="17"/>
          <w:color w:val="auto"/>
        </w:rPr>
        <w:t>recognize changes in the fair value of</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Instruments - Overall:</w:t>
      </w:r>
      <w:r>
        <w:rPr>
          <w:sz w:val="20"/>
          <w:szCs w:val="20"/>
          <w:color w:val="auto"/>
        </w:rPr>
        <w:tab/>
      </w:r>
      <w:r>
        <w:rPr>
          <w:rFonts w:ascii="Arial" w:cs="Arial" w:eastAsia="Arial" w:hAnsi="Arial"/>
          <w:sz w:val="17"/>
          <w:szCs w:val="17"/>
          <w:color w:val="auto"/>
        </w:rPr>
        <w:t>equity investments with readily</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Recognition and</w:t>
      </w:r>
      <w:r>
        <w:rPr>
          <w:sz w:val="20"/>
          <w:szCs w:val="20"/>
          <w:color w:val="auto"/>
        </w:rPr>
        <w:tab/>
      </w:r>
      <w:r>
        <w:rPr>
          <w:rFonts w:ascii="Arial" w:cs="Arial" w:eastAsia="Arial" w:hAnsi="Arial"/>
          <w:sz w:val="17"/>
          <w:szCs w:val="17"/>
          <w:color w:val="auto"/>
        </w:rPr>
        <w:t>determinable fair values in net income</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Measurement of Financial</w:t>
      </w:r>
      <w:r>
        <w:rPr>
          <w:sz w:val="20"/>
          <w:szCs w:val="20"/>
          <w:color w:val="auto"/>
        </w:rPr>
        <w:tab/>
      </w:r>
      <w:r>
        <w:rPr>
          <w:rFonts w:ascii="Arial" w:cs="Arial" w:eastAsia="Arial" w:hAnsi="Arial"/>
          <w:sz w:val="17"/>
          <w:szCs w:val="17"/>
          <w:color w:val="auto"/>
        </w:rPr>
        <w:t>(except for investments accounted for</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Assets and Financial</w:t>
      </w:r>
      <w:r>
        <w:rPr>
          <w:sz w:val="20"/>
          <w:szCs w:val="20"/>
          <w:color w:val="auto"/>
        </w:rPr>
        <w:tab/>
      </w:r>
      <w:r>
        <w:rPr>
          <w:rFonts w:ascii="Arial" w:cs="Arial" w:eastAsia="Arial" w:hAnsi="Arial"/>
          <w:sz w:val="17"/>
          <w:szCs w:val="17"/>
          <w:color w:val="auto"/>
        </w:rPr>
        <w:t>under the equity method of accounting or</w:t>
      </w:r>
    </w:p>
    <w:p>
      <w:pPr>
        <w:ind w:left="40"/>
        <w:spacing w:after="0" w:line="235" w:lineRule="auto"/>
        <w:tabs>
          <w:tab w:leader="none" w:pos="2320" w:val="left"/>
        </w:tabs>
        <w:rPr>
          <w:sz w:val="20"/>
          <w:szCs w:val="20"/>
          <w:color w:val="auto"/>
        </w:rPr>
      </w:pPr>
      <w:r>
        <w:rPr>
          <w:rFonts w:ascii="Arial" w:cs="Arial" w:eastAsia="Arial" w:hAnsi="Arial"/>
          <w:sz w:val="18"/>
          <w:szCs w:val="18"/>
          <w:i w:val="1"/>
          <w:iCs w:val="1"/>
          <w:color w:val="auto"/>
        </w:rPr>
        <w:t>Liabilities</w:t>
      </w:r>
      <w:r>
        <w:rPr>
          <w:sz w:val="20"/>
          <w:szCs w:val="20"/>
          <w:color w:val="auto"/>
        </w:rPr>
        <w:tab/>
      </w:r>
      <w:r>
        <w:rPr>
          <w:rFonts w:ascii="Arial" w:cs="Arial" w:eastAsia="Arial" w:hAnsi="Arial"/>
          <w:sz w:val="18"/>
          <w:szCs w:val="18"/>
          <w:color w:val="auto"/>
        </w:rPr>
        <w:t>those that result in consolidation of the</w:t>
      </w:r>
    </w:p>
    <w:p>
      <w:pPr>
        <w:ind w:left="2340"/>
        <w:spacing w:after="0" w:line="259" w:lineRule="auto"/>
        <w:rPr>
          <w:sz w:val="20"/>
          <w:szCs w:val="20"/>
          <w:color w:val="auto"/>
        </w:rPr>
      </w:pPr>
      <w:r>
        <w:rPr>
          <w:rFonts w:ascii="Arial" w:cs="Arial" w:eastAsia="Arial" w:hAnsi="Arial"/>
          <w:sz w:val="17"/>
          <w:szCs w:val="17"/>
          <w:color w:val="auto"/>
        </w:rPr>
        <w:t>investee). An entity should apply the new standard through a cumulative effect adjustment to retained earnings as of the beginning of the fiscal year of adoption.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This standard is effective January 1, 2018. Early adoption of the majority of the amendments in this standard is not permitted, however, early application of certain amendments is permitted. We intend to fully adopt this standard on January 1, 2018.</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are unable to estimate the impact of adopting this standard as the significance of the impact will depend upon our equity investments as of the date of adoption.</w:t>
      </w:r>
    </w:p>
    <w:p>
      <w:pPr>
        <w:spacing w:after="0" w:line="1228" w:lineRule="exact"/>
        <w:rPr>
          <w:sz w:val="20"/>
          <w:szCs w:val="20"/>
          <w:color w:val="auto"/>
        </w:rPr>
      </w:pPr>
    </w:p>
    <w:p>
      <w:pPr>
        <w:sectPr>
          <w:pgSz w:w="11900" w:h="16838" w:orient="portrait"/>
          <w:cols w:equalWidth="0" w:num="3">
            <w:col w:w="5600" w:space="380"/>
            <w:col w:w="1980" w:space="180"/>
            <w:col w:w="328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Accounting Standards</w:t>
            </w:r>
          </w:p>
        </w:tc>
        <w:tc>
          <w:tcPr>
            <w:tcW w:w="3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This standard was issued to increase</w:t>
            </w:r>
          </w:p>
        </w:tc>
        <w:tc>
          <w:tcPr>
            <w:tcW w:w="21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This standard is effective</w:t>
            </w:r>
          </w:p>
        </w:tc>
        <w:tc>
          <w:tcPr>
            <w:tcW w:w="3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We are in the process of determining our</w:t>
            </w:r>
          </w:p>
        </w:tc>
      </w:tr>
      <w:tr>
        <w:trPr>
          <w:trHeight w:val="203"/>
        </w:trPr>
        <w:tc>
          <w:tcPr>
            <w:tcW w:w="2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Update 2016-02, </w:t>
            </w:r>
            <w:r>
              <w:rPr>
                <w:rFonts w:ascii="Arial" w:cs="Arial" w:eastAsia="Arial" w:hAnsi="Arial"/>
                <w:sz w:val="18"/>
                <w:szCs w:val="18"/>
                <w:i w:val="1"/>
                <w:iCs w:val="1"/>
                <w:color w:val="auto"/>
              </w:rPr>
              <w:t>Leases</w:t>
            </w: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transparency and comparability among</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January 1, 2019, with</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approach to adopting the standard, as</w:t>
            </w: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organizations by recognizing lease assets</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early adoption permitted.</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well as the anticipated impact on our</w:t>
            </w: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lease liabilities, including leases</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We intend to adopt this</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consolidated financial statements.</w:t>
            </w: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classified as operating leases under current</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standard on January 1,</w:t>
            </w: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GAAP, on the balance sheet and requiring</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2019.</w:t>
            </w: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disclosures about leasing</w:t>
            </w:r>
          </w:p>
        </w:tc>
        <w:tc>
          <w:tcPr>
            <w:tcW w:w="2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arrangements. This standard requires a</w:t>
            </w:r>
          </w:p>
        </w:tc>
        <w:tc>
          <w:tcPr>
            <w:tcW w:w="2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modified retrospective approach to</w:t>
            </w:r>
          </w:p>
        </w:tc>
        <w:tc>
          <w:tcPr>
            <w:tcW w:w="2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43"/>
        </w:trPr>
        <w:tc>
          <w:tcPr>
            <w:tcW w:w="2160" w:type="dxa"/>
            <w:vAlign w:val="bottom"/>
            <w:shd w:val="clear" w:color="auto" w:fill="CCEEFF"/>
          </w:tcPr>
          <w:p>
            <w:pPr>
              <w:spacing w:after="0"/>
              <w:rPr>
                <w:sz w:val="21"/>
                <w:szCs w:val="21"/>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adoption.</w:t>
            </w:r>
          </w:p>
        </w:tc>
        <w:tc>
          <w:tcPr>
            <w:tcW w:w="216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r>
      <w:tr>
        <w:trPr>
          <w:trHeight w:val="185"/>
        </w:trPr>
        <w:tc>
          <w:tcPr>
            <w:tcW w:w="2160" w:type="dxa"/>
            <w:vAlign w:val="bottom"/>
            <w:shd w:val="clear" w:color="auto" w:fill="CCEEFF"/>
          </w:tcPr>
          <w:p>
            <w:pPr>
              <w:spacing w:after="0"/>
              <w:rPr>
                <w:sz w:val="16"/>
                <w:szCs w:val="16"/>
                <w:color w:val="auto"/>
              </w:rPr>
            </w:pPr>
          </w:p>
        </w:tc>
        <w:tc>
          <w:tcPr>
            <w:tcW w:w="37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r>
    </w:tbl>
    <w:p>
      <w:pPr>
        <w:spacing w:after="0" w:line="4" w:lineRule="exact"/>
        <w:rPr>
          <w:sz w:val="20"/>
          <w:szCs w:val="20"/>
          <w:color w:val="auto"/>
        </w:rPr>
      </w:pPr>
    </w:p>
    <w:p>
      <w:pPr>
        <w:sectPr>
          <w:pgSz w:w="11900" w:h="16838" w:orient="portrait"/>
          <w:cols w:equalWidth="0" w:num="1">
            <w:col w:w="11420"/>
          </w:cols>
          <w:pgMar w:left="240" w:top="908" w:right="239" w:bottom="1440" w:gutter="0" w:footer="0" w:header="0"/>
          <w:type w:val="continuous"/>
        </w:sectPr>
      </w:pPr>
    </w:p>
    <w:p>
      <w:pPr>
        <w:ind w:left="40"/>
        <w:spacing w:after="0"/>
        <w:tabs>
          <w:tab w:leader="none" w:pos="232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spacing w:after="0" w:line="13"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color w:val="auto"/>
        </w:rPr>
        <w:t>Update 2016-09,</w:t>
      </w:r>
      <w:r>
        <w:rPr>
          <w:sz w:val="20"/>
          <w:szCs w:val="20"/>
          <w:color w:val="auto"/>
        </w:rPr>
        <w:tab/>
      </w:r>
      <w:r>
        <w:rPr>
          <w:rFonts w:ascii="Arial" w:cs="Arial" w:eastAsia="Arial" w:hAnsi="Arial"/>
          <w:sz w:val="17"/>
          <w:szCs w:val="17"/>
          <w:color w:val="auto"/>
        </w:rPr>
        <w:t>recognize all excess tax benefits and tax</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Compensation - Stock</w:t>
      </w:r>
      <w:r>
        <w:rPr>
          <w:sz w:val="20"/>
          <w:szCs w:val="20"/>
          <w:color w:val="auto"/>
        </w:rPr>
        <w:tab/>
      </w:r>
      <w:r>
        <w:rPr>
          <w:rFonts w:ascii="Arial" w:cs="Arial" w:eastAsia="Arial" w:hAnsi="Arial"/>
          <w:sz w:val="17"/>
          <w:szCs w:val="17"/>
          <w:color w:val="auto"/>
        </w:rPr>
        <w:t>deficiencies in the statement of operations</w:t>
      </w:r>
    </w:p>
    <w:p>
      <w:pPr>
        <w:ind w:left="40"/>
        <w:spacing w:after="0" w:line="235" w:lineRule="auto"/>
        <w:tabs>
          <w:tab w:leader="none" w:pos="2320" w:val="left"/>
        </w:tabs>
        <w:rPr>
          <w:sz w:val="20"/>
          <w:szCs w:val="20"/>
          <w:color w:val="auto"/>
        </w:rPr>
      </w:pPr>
      <w:r>
        <w:rPr>
          <w:rFonts w:ascii="Arial" w:cs="Arial" w:eastAsia="Arial" w:hAnsi="Arial"/>
          <w:sz w:val="18"/>
          <w:szCs w:val="18"/>
          <w:i w:val="1"/>
          <w:iCs w:val="1"/>
          <w:color w:val="auto"/>
        </w:rPr>
        <w:t>Compensation:</w:t>
      </w:r>
      <w:r>
        <w:rPr>
          <w:sz w:val="20"/>
          <w:szCs w:val="20"/>
          <w:color w:val="auto"/>
        </w:rPr>
        <w:tab/>
      </w:r>
      <w:r>
        <w:rPr>
          <w:rFonts w:ascii="Arial" w:cs="Arial" w:eastAsia="Arial" w:hAnsi="Arial"/>
          <w:sz w:val="18"/>
          <w:szCs w:val="18"/>
          <w:color w:val="auto"/>
        </w:rPr>
        <w:t>as a discrete item in the reporting period in</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Improvements to</w:t>
      </w:r>
      <w:r>
        <w:rPr>
          <w:sz w:val="20"/>
          <w:szCs w:val="20"/>
          <w:color w:val="auto"/>
        </w:rPr>
        <w:tab/>
      </w:r>
      <w:r>
        <w:rPr>
          <w:rFonts w:ascii="Arial" w:cs="Arial" w:eastAsia="Arial" w:hAnsi="Arial"/>
          <w:sz w:val="17"/>
          <w:szCs w:val="17"/>
          <w:color w:val="auto"/>
        </w:rPr>
        <w:t>which they occur. The standard also allows</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Employee Share-Based</w:t>
      </w:r>
      <w:r>
        <w:rPr>
          <w:sz w:val="20"/>
          <w:szCs w:val="20"/>
          <w:color w:val="auto"/>
        </w:rPr>
        <w:tab/>
      </w:r>
      <w:r>
        <w:rPr>
          <w:rFonts w:ascii="Arial" w:cs="Arial" w:eastAsia="Arial" w:hAnsi="Arial"/>
          <w:sz w:val="17"/>
          <w:szCs w:val="17"/>
          <w:color w:val="auto"/>
        </w:rPr>
        <w:t>an employer to withhold up to the maximum</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Payment Accounting</w:t>
      </w:r>
      <w:r>
        <w:rPr>
          <w:sz w:val="20"/>
          <w:szCs w:val="20"/>
          <w:color w:val="auto"/>
        </w:rPr>
        <w:tab/>
      </w:r>
      <w:r>
        <w:rPr>
          <w:rFonts w:ascii="Arial" w:cs="Arial" w:eastAsia="Arial" w:hAnsi="Arial"/>
          <w:sz w:val="17"/>
          <w:szCs w:val="17"/>
          <w:color w:val="auto"/>
        </w:rPr>
        <w:t>statutory tax rate and still qualify for equity</w:t>
      </w:r>
    </w:p>
    <w:p>
      <w:pPr>
        <w:ind w:left="2340" w:right="120"/>
        <w:spacing w:after="0" w:line="236" w:lineRule="auto"/>
        <w:rPr>
          <w:sz w:val="20"/>
          <w:szCs w:val="20"/>
          <w:color w:val="auto"/>
        </w:rPr>
      </w:pPr>
      <w:r>
        <w:rPr>
          <w:rFonts w:ascii="Arial" w:cs="Arial" w:eastAsia="Arial" w:hAnsi="Arial"/>
          <w:sz w:val="18"/>
          <w:szCs w:val="18"/>
          <w:color w:val="auto"/>
        </w:rPr>
        <w:t>classification. Classification of excess tax benefits on the statement of cash flows should be classified as an operating activity, and employee taxes paid when an employer withholds shares for tax-withholding purposes should be classified as a financing activity. The provisions that affect the statement of operations will be effective prospectively in the year of adoption and the provisions that affect the statement of cash flows will be effective retrospectively.</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7"/>
          <w:szCs w:val="17"/>
          <w:color w:val="auto"/>
        </w:rPr>
        <w:t>This standard is effective January 1, 2017. Early adoption is permitted. We are evaluating our anticipated date of adoption.</w:t>
      </w:r>
    </w:p>
    <w:p>
      <w:pPr>
        <w:spacing w:after="0" w:line="20" w:lineRule="exact"/>
        <w:rPr>
          <w:sz w:val="20"/>
          <w:szCs w:val="20"/>
          <w:color w:val="auto"/>
        </w:rPr>
      </w:pPr>
      <w:r>
        <w:rPr>
          <w:sz w:val="20"/>
          <w:szCs w:val="20"/>
          <w:color w:val="auto"/>
        </w:rPr>
        <w:br w:type="column"/>
      </w:r>
    </w:p>
    <w:p>
      <w:pPr>
        <w:ind w:right="120"/>
        <w:spacing w:after="0" w:line="238" w:lineRule="auto"/>
        <w:rPr>
          <w:sz w:val="20"/>
          <w:szCs w:val="20"/>
          <w:color w:val="auto"/>
        </w:rPr>
      </w:pPr>
      <w:r>
        <w:rPr>
          <w:rFonts w:ascii="Arial" w:cs="Arial" w:eastAsia="Arial" w:hAnsi="Arial"/>
          <w:sz w:val="18"/>
          <w:szCs w:val="18"/>
          <w:color w:val="auto"/>
        </w:rPr>
        <w:t>We do not believe the impact of adopting this standard will have a material impact on our consolidated financial statements. We cannot predict the impact on our consolidated financial statements in future reporting periods following adoption as this will be dependent upon various factors including the number of shares issued and changes in the price of our stock between the grant date and settlement date.</w:t>
      </w:r>
    </w:p>
    <w:p>
      <w:pPr>
        <w:spacing w:after="0" w:line="1611" w:lineRule="exact"/>
        <w:rPr>
          <w:sz w:val="20"/>
          <w:szCs w:val="20"/>
          <w:color w:val="auto"/>
        </w:rPr>
      </w:pPr>
    </w:p>
    <w:p>
      <w:pPr>
        <w:sectPr>
          <w:pgSz w:w="11900" w:h="16838" w:orient="portrait"/>
          <w:cols w:equalWidth="0" w:num="3">
            <w:col w:w="5820" w:space="160"/>
            <w:col w:w="1980" w:space="180"/>
            <w:col w:w="328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w:t>
            </w:r>
          </w:p>
        </w:tc>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This standard will require entities to</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This standard is effective</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 are in the process of determining the</w:t>
            </w:r>
          </w:p>
        </w:tc>
      </w:tr>
      <w:tr>
        <w:trPr>
          <w:trHeight w:val="203"/>
        </w:trPr>
        <w:tc>
          <w:tcPr>
            <w:tcW w:w="2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Update 2016-16, </w:t>
            </w:r>
            <w:r>
              <w:rPr>
                <w:rFonts w:ascii="Arial" w:cs="Arial" w:eastAsia="Arial" w:hAnsi="Arial"/>
                <w:sz w:val="18"/>
                <w:szCs w:val="18"/>
                <w:i w:val="1"/>
                <w:iCs w:val="1"/>
                <w:color w:val="auto"/>
              </w:rPr>
              <w:t>Income</w:t>
            </w:r>
          </w:p>
        </w:tc>
        <w:tc>
          <w:tcPr>
            <w:tcW w:w="3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recognize the income tax consequences of</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January 1, 2018, with</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anticipated impact on our consolidated</w:t>
            </w:r>
          </w:p>
        </w:tc>
      </w:tr>
      <w:tr>
        <w:trPr>
          <w:trHeight w:val="203"/>
        </w:trPr>
        <w:tc>
          <w:tcPr>
            <w:tcW w:w="2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Taxes: Intra-Entity</w:t>
            </w:r>
          </w:p>
        </w:tc>
        <w:tc>
          <w:tcPr>
            <w:tcW w:w="3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intra-entity transfers of assets other than</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early adoption permitted.</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financial statements.</w:t>
            </w:r>
          </w:p>
        </w:tc>
      </w:tr>
      <w:tr>
        <w:trPr>
          <w:trHeight w:val="203"/>
        </w:trPr>
        <w:tc>
          <w:tcPr>
            <w:tcW w:w="2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Transfers of Assets Other</w:t>
            </w:r>
          </w:p>
        </w:tc>
        <w:tc>
          <w:tcPr>
            <w:tcW w:w="3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inventory at the time of transfer. This</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 are evaluating our</w:t>
            </w:r>
          </w:p>
        </w:tc>
        <w:tc>
          <w:tcPr>
            <w:tcW w:w="3360" w:type="dxa"/>
            <w:vAlign w:val="bottom"/>
            <w:shd w:val="clear" w:color="auto" w:fill="CCEEFF"/>
          </w:tcPr>
          <w:p>
            <w:pPr>
              <w:spacing w:after="0"/>
              <w:rPr>
                <w:sz w:val="17"/>
                <w:szCs w:val="17"/>
                <w:color w:val="auto"/>
              </w:rPr>
            </w:pPr>
          </w:p>
        </w:tc>
      </w:tr>
      <w:tr>
        <w:trPr>
          <w:trHeight w:val="203"/>
        </w:trPr>
        <w:tc>
          <w:tcPr>
            <w:tcW w:w="2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Than Inventory</w:t>
            </w:r>
          </w:p>
        </w:tc>
        <w:tc>
          <w:tcPr>
            <w:tcW w:w="3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standard requires a modified retrospective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anticipated date of</w:t>
            </w:r>
          </w:p>
        </w:tc>
        <w:tc>
          <w:tcPr>
            <w:tcW w:w="3360" w:type="dxa"/>
            <w:vAlign w:val="bottom"/>
            <w:shd w:val="clear" w:color="auto" w:fill="CCEEFF"/>
          </w:tcPr>
          <w:p>
            <w:pPr>
              <w:spacing w:after="0"/>
              <w:rPr>
                <w:sz w:val="17"/>
                <w:szCs w:val="17"/>
                <w:color w:val="auto"/>
              </w:rPr>
            </w:pPr>
          </w:p>
        </w:tc>
      </w:tr>
      <w:tr>
        <w:trPr>
          <w:trHeight w:val="243"/>
        </w:trPr>
        <w:tc>
          <w:tcPr>
            <w:tcW w:w="2200" w:type="dxa"/>
            <w:vAlign w:val="bottom"/>
            <w:shd w:val="clear" w:color="auto" w:fill="CCEEFF"/>
          </w:tcPr>
          <w:p>
            <w:pPr>
              <w:spacing w:after="0"/>
              <w:rPr>
                <w:sz w:val="21"/>
                <w:szCs w:val="21"/>
                <w:color w:val="auto"/>
              </w:rPr>
            </w:pPr>
          </w:p>
        </w:tc>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approach to adoption.</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adoption.</w:t>
            </w:r>
          </w:p>
        </w:tc>
        <w:tc>
          <w:tcPr>
            <w:tcW w:w="3360" w:type="dxa"/>
            <w:vAlign w:val="bottom"/>
            <w:shd w:val="clear" w:color="auto" w:fill="CCEEFF"/>
          </w:tcPr>
          <w:p>
            <w:pPr>
              <w:spacing w:after="0"/>
              <w:rPr>
                <w:sz w:val="21"/>
                <w:szCs w:val="21"/>
                <w:color w:val="auto"/>
              </w:rPr>
            </w:pPr>
          </w:p>
        </w:tc>
      </w:tr>
      <w:tr>
        <w:trPr>
          <w:trHeight w:val="185"/>
        </w:trPr>
        <w:tc>
          <w:tcPr>
            <w:tcW w:w="22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r>
      <w:tr>
        <w:trPr>
          <w:trHeight w:val="679"/>
        </w:trPr>
        <w:tc>
          <w:tcPr>
            <w:tcW w:w="2200" w:type="dxa"/>
            <w:vAlign w:val="bottom"/>
          </w:tcPr>
          <w:p>
            <w:pPr>
              <w:spacing w:after="0"/>
              <w:rPr>
                <w:sz w:val="24"/>
                <w:szCs w:val="24"/>
                <w:color w:val="auto"/>
              </w:rPr>
            </w:pPr>
          </w:p>
        </w:tc>
        <w:tc>
          <w:tcPr>
            <w:tcW w:w="3680" w:type="dxa"/>
            <w:vAlign w:val="bottom"/>
          </w:tcPr>
          <w:p>
            <w:pPr>
              <w:ind w:left="3460"/>
              <w:spacing w:after="0"/>
              <w:rPr>
                <w:sz w:val="20"/>
                <w:szCs w:val="20"/>
                <w:color w:val="auto"/>
              </w:rPr>
            </w:pPr>
            <w:r>
              <w:rPr>
                <w:rFonts w:ascii="Arial" w:cs="Arial" w:eastAsia="Arial" w:hAnsi="Arial"/>
                <w:sz w:val="18"/>
                <w:szCs w:val="18"/>
                <w:color w:val="auto"/>
              </w:rPr>
              <w:t>9</w:t>
            </w:r>
          </w:p>
        </w:tc>
        <w:tc>
          <w:tcPr>
            <w:tcW w:w="218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420"/>
          </w:cols>
          <w:pgMar w:left="240" w:top="908"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Acquisitions</w:t>
      </w:r>
    </w:p>
    <w:p>
      <w:pPr>
        <w:spacing w:after="0" w:line="17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On January 1, 2015, we completed the acquisition of Novartis Animal Health (Novartis AH). Additionally, on October 1, 2015, Bristol-Myers Squibb Company and E.R. Squibb (collectively, BMS) transferred to us their commercialization rights with respect to Erbitux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(U.S.) and Canada (collectively, North America) through a modification of our existing arrangement. See Note 4 for additional information related to the Erbitux arrangement. We also had an immaterial acquisition of a business in April 2016. These transactions were accounted for as business combinations under the acquisition method of accounting. Under this method, the assets acquired and liabilities assumed were recorded at their respective fair values as of the acquisition dates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dates of acquisition.</w:t>
      </w:r>
    </w:p>
    <w:p>
      <w:pPr>
        <w:spacing w:after="0" w:line="7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October 2016, we announced an agreement to acquire Boehringer Ingelheim Vetmedica, Inc.'s U.S. feline, canine, and rabies vaccine portfolio in an all-cash transaction for approximately $885 million, including the estimated cost of acquired inventory. Under the terms of the agreement, we will acquire a manufacturing and research and development site, a U.S. vaccine portfolio including vaccines used for the treatment of bordetella, Lyme disease, rabies, and parvovirus, among others, as well as several pipeline assets. This transaction will be accounted for as a business combination under the acquisition method of accounting and is expected to close by early 2017, subject to approval by the U.S. Federal Trade Commission. The closing is also subject to antitrust approval and the closing of a previously announced asset swap transaction between Boehringer Ingelheim and Sanofi SA.</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acquisitions of businesses, we also acquired assets in development in the nine months ended September 30, 2015, which are further discussed in this note below in Asset Acquisitions. Upon acquisition, the acquired in-process research and development (IPR&amp;D) related to these products was immediately written off as an expense because the products had no alternative future use. For the three and nine months ended September 30, 2016, as well as for the three months ended September 30, 2015, we recorded no acquired IPR&amp;D charges. There were acquired IPR&amp;D charges of $336.0 million for the nine months ended September 30, 2015, which included the transactions discussed below in Asset Acquisitions and the upfront fee of $200.0 million related to tanezumab. See Note 4 for additional information related to the tanezumab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On January 1, 2015, we acquired from Novartis AG all of the shares of certain Novartis subsidiaries and the assets and liabilities of other Novartis subsidiaries that were exclusively related to the Novartis AH business in an all-cash transaction for a total purchase price of $5.28 billion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$5.41 billion of which was funded by cash held in escrow at December 31, 2014.</w:t>
      </w:r>
    </w:p>
    <w:p>
      <w:pPr>
        <w:spacing w:after="0" w:line="5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As a condition to the clearance of the transaction under the Hart-Scott-Rodino Antitrust Improvements Act, following the closing of the acquisition of Novartis AH, we divested certain animal health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w:t>
      </w:r>
    </w:p>
    <w:p>
      <w:pPr>
        <w:spacing w:after="0" w:line="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acquired Novartis AH business consisted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1, 2015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380.2</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298.0</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1,953.0</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199.9</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 (primarily the U.S. Sentinel rights)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422.7</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Accrued retirement benefits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5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55"/>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3,012.0</w:t>
            </w:r>
          </w:p>
        </w:tc>
      </w:tr>
      <w:tr>
        <w:trPr>
          <w:trHeight w:val="25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2,271.1</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5,283.1</w:t>
            </w:r>
          </w:p>
        </w:tc>
      </w:tr>
    </w:tbl>
    <w:p>
      <w:pPr>
        <w:spacing w:after="0" w:line="95" w:lineRule="exact"/>
        <w:rPr>
          <w:sz w:val="20"/>
          <w:szCs w:val="20"/>
          <w:color w:val="auto"/>
        </w:rPr>
      </w:pPr>
    </w:p>
    <w:p>
      <w:pPr>
        <w:ind w:left="180" w:right="220" w:hanging="172"/>
        <w:spacing w:after="0" w:line="239"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19 years.</w:t>
      </w:r>
    </w:p>
    <w:p>
      <w:pPr>
        <w:spacing w:after="0" w:line="77" w:lineRule="exact"/>
        <w:rPr>
          <w:rFonts w:ascii="Arial" w:cs="Arial" w:eastAsia="Arial" w:hAnsi="Arial"/>
          <w:sz w:val="17"/>
          <w:szCs w:val="17"/>
          <w:color w:val="auto"/>
          <w:vertAlign w:val="superscript"/>
        </w:rPr>
      </w:pPr>
    </w:p>
    <w:p>
      <w:pPr>
        <w:jc w:val="both"/>
        <w:ind w:left="180" w:hanging="172"/>
        <w:spacing w:after="0"/>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Novartis AH with our legacy animal health business, future unidentified projects and products, and the assembled workforce of Novartis AH. Approximately $1.0 billion of the goodwill associated with this acquisition is deductible for tax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9"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The following table and narrative summarize our asset acquisitions during the nine months ended September 30, 2015. There were no asset acquisitions during the nine months ended September 30, 2016.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right"/>
              <w:ind w:right="157"/>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4"/>
        </w:trPr>
        <w:tc>
          <w:tcPr>
            <w:tcW w:w="30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Counterparty</w:t>
            </w:r>
          </w:p>
        </w:tc>
        <w:tc>
          <w:tcPr>
            <w:tcW w:w="34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Compound(s) or Therapy</w:t>
            </w:r>
          </w:p>
        </w:tc>
        <w:tc>
          <w:tcPr>
            <w:tcW w:w="16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spacing w:after="0"/>
              <w:rPr>
                <w:sz w:val="17"/>
                <w:szCs w:val="17"/>
                <w:color w:val="auto"/>
              </w:rPr>
            </w:pPr>
          </w:p>
        </w:tc>
        <w:tc>
          <w:tcPr>
            <w:tcW w:w="34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Monoclonal antibody targeting protein</w:t>
            </w:r>
          </w:p>
        </w:tc>
        <w:tc>
          <w:tcPr>
            <w:tcW w:w="16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spacing w:after="0"/>
              <w:rPr>
                <w:sz w:val="21"/>
                <w:szCs w:val="21"/>
                <w:color w:val="auto"/>
              </w:rPr>
            </w:pPr>
          </w:p>
        </w:tc>
        <w:tc>
          <w:tcPr>
            <w:tcW w:w="3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CD-20</w:t>
            </w:r>
          </w:p>
        </w:tc>
        <w:tc>
          <w:tcPr>
            <w:tcW w:w="16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Innovent Biologics, Inc. (Innovent)</w:t>
            </w:r>
          </w:p>
        </w:tc>
        <w:tc>
          <w:tcPr>
            <w:tcW w:w="340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Immuno-oncology molecules</w:t>
            </w:r>
          </w:p>
        </w:tc>
        <w:tc>
          <w:tcPr>
            <w:tcW w:w="16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8"/>
              </w:rPr>
              <w:t>March 2015</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xml:space="preserve">Pre-clinical </w:t>
            </w:r>
            <w:r>
              <w:rPr>
                <w:rFonts w:ascii="Arial" w:cs="Arial" w:eastAsia="Arial" w:hAnsi="Arial"/>
                <w:sz w:val="21"/>
                <w:szCs w:val="21"/>
                <w:color w:val="auto"/>
                <w:w w:val="96"/>
                <w:vertAlign w:val="superscript"/>
              </w:rPr>
              <w:t>(2)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58"/>
        </w:trPr>
        <w:tc>
          <w:tcPr>
            <w:tcW w:w="3060" w:type="dxa"/>
            <w:vAlign w:val="bottom"/>
            <w:shd w:val="clear" w:color="auto" w:fill="CCEEFF"/>
          </w:tcPr>
          <w:p>
            <w:pPr>
              <w:spacing w:after="0"/>
              <w:rPr>
                <w:sz w:val="5"/>
                <w:szCs w:val="5"/>
                <w:color w:val="auto"/>
              </w:rPr>
            </w:pPr>
          </w:p>
        </w:tc>
        <w:tc>
          <w:tcPr>
            <w:tcW w:w="3400" w:type="dxa"/>
            <w:vAlign w:val="bottom"/>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10"/>
        </w:trPr>
        <w:tc>
          <w:tcPr>
            <w:tcW w:w="3060" w:type="dxa"/>
            <w:vAlign w:val="bottom"/>
            <w:tcBorders>
              <w:bottom w:val="single" w:sz="8" w:color="auto"/>
            </w:tcBorders>
            <w:shd w:val="clear" w:color="auto" w:fill="CCEEFF"/>
          </w:tcPr>
          <w:p>
            <w:pPr>
              <w:spacing w:after="0"/>
              <w:rPr>
                <w:sz w:val="24"/>
                <w:szCs w:val="24"/>
                <w:color w:val="auto"/>
              </w:rPr>
            </w:pPr>
          </w:p>
        </w:tc>
        <w:tc>
          <w:tcPr>
            <w:tcW w:w="3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cMet monoclonal antibody</w:t>
            </w:r>
          </w:p>
        </w:tc>
        <w:tc>
          <w:tcPr>
            <w:tcW w:w="16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Hanmi Pharmaceutical Co., Ltd. (Hanmi) BTK Inhibitor - HM71224</w:t>
            </w:r>
          </w:p>
        </w:tc>
        <w:tc>
          <w:tcPr>
            <w:tcW w:w="1640" w:type="dxa"/>
            <w:vAlign w:val="bottom"/>
          </w:tcPr>
          <w:p>
            <w:pPr>
              <w:jc w:val="center"/>
              <w:ind w:right="54"/>
              <w:spacing w:after="0"/>
              <w:rPr>
                <w:sz w:val="20"/>
                <w:szCs w:val="20"/>
                <w:color w:val="auto"/>
              </w:rPr>
            </w:pPr>
            <w:r>
              <w:rPr>
                <w:rFonts w:ascii="Arial" w:cs="Arial" w:eastAsia="Arial" w:hAnsi="Arial"/>
                <w:sz w:val="18"/>
                <w:szCs w:val="18"/>
                <w:color w:val="auto"/>
              </w:rPr>
              <w:t>April 2015</w:t>
            </w:r>
          </w:p>
        </w:tc>
        <w:tc>
          <w:tcPr>
            <w:tcW w:w="1540" w:type="dxa"/>
            <w:vAlign w:val="bottom"/>
          </w:tcPr>
          <w:p>
            <w:pPr>
              <w:jc w:val="center"/>
              <w:spacing w:after="0"/>
              <w:rPr>
                <w:sz w:val="20"/>
                <w:szCs w:val="20"/>
                <w:color w:val="auto"/>
              </w:rPr>
            </w:pPr>
            <w:r>
              <w:rPr>
                <w:rFonts w:ascii="Arial" w:cs="Arial" w:eastAsia="Arial" w:hAnsi="Arial"/>
                <w:sz w:val="18"/>
                <w:szCs w:val="18"/>
                <w:color w:val="auto"/>
              </w:rPr>
              <w:t>Phase I</w:t>
            </w:r>
          </w:p>
        </w:tc>
        <w:tc>
          <w:tcPr>
            <w:tcW w:w="36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
        </w:trPr>
        <w:tc>
          <w:tcPr>
            <w:tcW w:w="30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BioNTech AG (BioNTech)</w:t>
            </w:r>
          </w:p>
        </w:tc>
        <w:tc>
          <w:tcPr>
            <w:tcW w:w="3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Cancer immunotherapies</w:t>
            </w:r>
          </w:p>
        </w:tc>
        <w:tc>
          <w:tcPr>
            <w:tcW w:w="16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8"/>
              </w:rPr>
              <w:t>May 2015</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
        </w:trPr>
        <w:tc>
          <w:tcPr>
            <w:tcW w:w="306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w:t>
      </w:r>
    </w:p>
    <w:p>
      <w:pPr>
        <w:spacing w:after="0" w:line="100"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Prior to acquisition, Innovent's monoclonal antibody targeting protein CD-20 had received investigational new drug approval in China to begin Phase I development.</w:t>
      </w:r>
    </w:p>
    <w:p>
      <w:pPr>
        <w:spacing w:after="0" w:line="66"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 connection with the arrangements described herein, our partners may be entitled to future royalties based on sales should these products be approved for commercialization and/or milestones based on the successful progress of the compounds through the development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6" w:right="239" w:bottom="1440" w:gutter="0" w:footer="0" w:header="0"/>
        </w:sectPr>
      </w:pPr>
    </w:p>
    <w:bookmarkStart w:id="11" w:name="page12"/>
    <w:bookmarkEnd w:id="11"/>
    <w:p>
      <w:pPr>
        <w:ind w:right="160"/>
        <w:spacing w:after="0" w:line="260" w:lineRule="auto"/>
        <w:rPr>
          <w:sz w:val="20"/>
          <w:szCs w:val="20"/>
          <w:color w:val="auto"/>
        </w:rPr>
      </w:pPr>
      <w:r>
        <w:rPr>
          <w:rFonts w:ascii="Arial" w:cs="Arial" w:eastAsia="Arial" w:hAnsi="Arial"/>
          <w:sz w:val="18"/>
          <w:szCs w:val="18"/>
          <w:color w:val="auto"/>
        </w:rPr>
        <w:t>Our collaboration agreement with Innovent is to develop and commercialize a portfolio of cancer treatments. In China, we will be responsible for the commercialization efforts, while Innovent will lead the development and manufacturing efforts. Innovent also has co-promotion rights in China. We will be responsible for development, manufacturing, and commercialization efforts of Innovent's pre-clinical immuno-oncology molecules outside of China. Separate from the collaboration, we will continue the development of our cMet monoclonal antibody gene outside of China.</w:t>
      </w:r>
    </w:p>
    <w:p>
      <w:pPr>
        <w:spacing w:after="0" w:line="67" w:lineRule="exact"/>
        <w:rPr>
          <w:sz w:val="20"/>
          <w:szCs w:val="20"/>
          <w:color w:val="auto"/>
        </w:rPr>
      </w:pPr>
    </w:p>
    <w:p>
      <w:pPr>
        <w:jc w:val="both"/>
        <w:ind w:right="920"/>
        <w:spacing w:after="0" w:line="271" w:lineRule="auto"/>
        <w:rPr>
          <w:sz w:val="20"/>
          <w:szCs w:val="20"/>
          <w:color w:val="auto"/>
        </w:rPr>
      </w:pPr>
      <w:r>
        <w:rPr>
          <w:rFonts w:ascii="Arial" w:cs="Arial" w:eastAsia="Arial" w:hAnsi="Arial"/>
          <w:sz w:val="18"/>
          <w:szCs w:val="18"/>
          <w:color w:val="auto"/>
        </w:rPr>
        <w:t>Our collaboration agreement with Hanmi is to develop and commercialize Hanmi's compound being investigated for the treatment of autoimmune and other diseases. We have rights to the molecule for all indications on a worldwide basis excluding Korea. We will be responsible for leading development, regulatory, manufacturing, and commercial efforts in our territories.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Our research collaboration with BioNTech is to discover novel cancer immunotherapies.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revenues, while other sources of revenue (e.g., royalties and profit-sharing due from our partner) are included in collaboration and other revenue.</w:t>
      </w:r>
    </w:p>
    <w:p>
      <w:pPr>
        <w:spacing w:after="0" w:line="70"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following table summarizes our collaboration and other revenue, which is included in revenue in the consolidated condensed statements of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216.5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215.2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607.3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644.7</w:t>
            </w:r>
          </w:p>
        </w:tc>
      </w:tr>
    </w:tbl>
    <w:p>
      <w:pPr>
        <w:spacing w:after="0" w:line="13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Boehringer Ingelheim Diabetes Collaboration</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6"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table below summarizes significant regulatory and commercialization events and milestones (received) paid for the compounds included in this collaboration: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Milestones</w:t>
            </w:r>
          </w:p>
        </w:tc>
        <w:tc>
          <w:tcPr>
            <w:tcW w:w="1240" w:type="dxa"/>
            <w:vAlign w:val="bottom"/>
          </w:tcPr>
          <w:p>
            <w:pPr>
              <w:spacing w:after="0"/>
              <w:rPr>
                <w:sz w:val="14"/>
                <w:szCs w:val="14"/>
                <w:color w:val="auto"/>
              </w:rPr>
            </w:pPr>
          </w:p>
        </w:tc>
      </w:tr>
      <w:tr>
        <w:trPr>
          <w:trHeight w:val="204"/>
        </w:trPr>
        <w:tc>
          <w:tcPr>
            <w:tcW w:w="254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Product Status</w:t>
            </w:r>
          </w:p>
        </w:tc>
        <w:tc>
          <w:tcPr>
            <w:tcW w:w="1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7"/>
                <w:szCs w:val="17"/>
                <w:b w:val="1"/>
                <w:bCs w:val="1"/>
                <w:color w:val="auto"/>
                <w:vertAlign w:val="superscript"/>
              </w:rPr>
              <w:t>(1)</w:t>
            </w:r>
          </w:p>
        </w:tc>
      </w:tr>
      <w:tr>
        <w:trPr>
          <w:trHeight w:val="208"/>
        </w:trPr>
        <w:tc>
          <w:tcPr>
            <w:tcW w:w="2540" w:type="dxa"/>
            <w:vAlign w:val="bottom"/>
          </w:tcPr>
          <w:p>
            <w:pPr>
              <w:ind w:left="700"/>
              <w:spacing w:after="0"/>
              <w:rPr>
                <w:sz w:val="20"/>
                <w:szCs w:val="20"/>
                <w:color w:val="auto"/>
              </w:rPr>
            </w:pPr>
            <w:r>
              <w:rPr>
                <w:rFonts w:ascii="Arial" w:cs="Arial" w:eastAsia="Arial" w:hAnsi="Arial"/>
                <w:sz w:val="14"/>
                <w:szCs w:val="14"/>
                <w:b w:val="1"/>
                <w:bCs w:val="1"/>
                <w:color w:val="auto"/>
              </w:rPr>
              <w:t>Product Family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Japan</w:t>
            </w:r>
          </w:p>
        </w:tc>
        <w:tc>
          <w:tcPr>
            <w:tcW w:w="1560" w:type="dxa"/>
            <w:vAlign w:val="bottom"/>
          </w:tcPr>
          <w:p>
            <w:pPr>
              <w:jc w:val="center"/>
              <w:ind w:left="54"/>
              <w:spacing w:after="0"/>
              <w:rPr>
                <w:sz w:val="20"/>
                <w:szCs w:val="20"/>
                <w:color w:val="auto"/>
              </w:rPr>
            </w:pPr>
            <w:r>
              <w:rPr>
                <w:rFonts w:ascii="Arial" w:cs="Arial" w:eastAsia="Arial" w:hAnsi="Arial"/>
                <w:sz w:val="14"/>
                <w:szCs w:val="14"/>
                <w:b w:val="1"/>
                <w:bCs w:val="1"/>
                <w:color w:val="auto"/>
                <w:w w:val="98"/>
              </w:rPr>
              <w:t>Year</w:t>
            </w:r>
          </w:p>
        </w:tc>
        <w:tc>
          <w:tcPr>
            <w:tcW w:w="62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Amount</w:t>
            </w:r>
          </w:p>
        </w:tc>
      </w:tr>
      <w:tr>
        <w:trPr>
          <w:trHeight w:val="56"/>
        </w:trPr>
        <w:tc>
          <w:tcPr>
            <w:tcW w:w="25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62"/>
        </w:trPr>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89"/>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Launched 2011</w:t>
            </w:r>
          </w:p>
        </w:tc>
        <w:tc>
          <w:tcPr>
            <w:tcW w:w="1840" w:type="dxa"/>
            <w:vAlign w:val="bottom"/>
          </w:tcPr>
          <w:p>
            <w:pPr>
              <w:jc w:val="center"/>
              <w:spacing w:after="0"/>
              <w:rPr>
                <w:sz w:val="20"/>
                <w:szCs w:val="20"/>
                <w:color w:val="auto"/>
              </w:rPr>
            </w:pPr>
            <w:r>
              <w:rPr>
                <w:rFonts w:ascii="Arial" w:cs="Arial" w:eastAsia="Arial" w:hAnsi="Arial"/>
                <w:sz w:val="18"/>
                <w:szCs w:val="18"/>
                <w:color w:val="auto"/>
                <w:w w:val="98"/>
              </w:rPr>
              <w:t>Launched 2011</w:t>
            </w: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Launched 2011</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2"/>
        </w:trPr>
        <w:tc>
          <w:tcPr>
            <w:tcW w:w="2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(5)</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446.4</w:t>
            </w:r>
          </w:p>
        </w:tc>
      </w:tr>
      <w:tr>
        <w:trPr>
          <w:trHeight w:val="262"/>
        </w:trPr>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89"/>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2"/>
        </w:trPr>
        <w:tc>
          <w:tcPr>
            <w:tcW w:w="2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(5)</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299.5</w:t>
            </w:r>
          </w:p>
        </w:tc>
      </w:tr>
      <w:tr>
        <w:trPr>
          <w:trHeight w:val="262"/>
        </w:trPr>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(187.5)</w:t>
            </w:r>
          </w:p>
        </w:tc>
      </w:tr>
      <w:tr>
        <w:trPr>
          <w:trHeight w:val="289"/>
        </w:trPr>
        <w:tc>
          <w:tcPr>
            <w:tcW w:w="2540" w:type="dxa"/>
            <w:vAlign w:val="bottom"/>
          </w:tcPr>
          <w:p>
            <w:pPr>
              <w:ind w:left="40"/>
              <w:spacing w:after="0"/>
              <w:rPr>
                <w:sz w:val="20"/>
                <w:szCs w:val="20"/>
                <w:color w:val="auto"/>
              </w:rPr>
            </w:pPr>
            <w:r>
              <w:rPr>
                <w:rFonts w:ascii="Arial" w:cs="Arial" w:eastAsia="Arial" w:hAnsi="Arial"/>
                <w:sz w:val="18"/>
                <w:szCs w:val="18"/>
                <w:color w:val="auto"/>
              </w:rPr>
              <w:t>Basaglar</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 xml:space="preserve">Approved </w:t>
            </w:r>
            <w:r>
              <w:rPr>
                <w:rFonts w:ascii="Arial" w:cs="Arial" w:eastAsia="Arial" w:hAnsi="Arial"/>
                <w:sz w:val="21"/>
                <w:szCs w:val="21"/>
                <w:color w:val="auto"/>
                <w:w w:val="94"/>
                <w:vertAlign w:val="superscript"/>
              </w:rPr>
              <w:t>(4)</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2015</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2"/>
        </w:trPr>
        <w:tc>
          <w:tcPr>
            <w:tcW w:w="2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(5)</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bl>
    <w:p>
      <w:pPr>
        <w:spacing w:after="0" w:line="95" w:lineRule="exact"/>
        <w:rPr>
          <w:sz w:val="20"/>
          <w:szCs w:val="20"/>
          <w:color w:val="auto"/>
        </w:rPr>
      </w:pPr>
    </w:p>
    <w:p>
      <w:pPr>
        <w:ind w:left="180" w:right="40" w:hanging="172"/>
        <w:spacing w:after="0" w:line="235" w:lineRule="auto"/>
        <w:tabs>
          <w:tab w:leader="none" w:pos="167"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Europe and Japan, milestone payments received were recorded as deferred revenue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Jentadueto is included in the Trajenta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Glyxambi and Synjardy are included in the Jardiance family of product results.</w:t>
      </w:r>
    </w:p>
    <w:p>
      <w:pPr>
        <w:spacing w:after="0" w:line="75" w:lineRule="exact"/>
        <w:rPr>
          <w:rFonts w:ascii="Arial" w:cs="Arial" w:eastAsia="Arial" w:hAnsi="Arial"/>
          <w:sz w:val="18"/>
          <w:szCs w:val="18"/>
          <w:color w:val="auto"/>
          <w:vertAlign w:val="superscript"/>
        </w:rPr>
      </w:pPr>
    </w:p>
    <w:p>
      <w:pPr>
        <w:ind w:left="180" w:right="100" w:hanging="172"/>
        <w:spacing w:after="0" w:line="236" w:lineRule="auto"/>
        <w:tabs>
          <w:tab w:leader="none" w:pos="167"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 September 2015, we entered into a settlement agreement to resolve patent infringement litigation filed by Sanofi-Aventis U.S. LLC, which markets Lantus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(insulin glargine). As part of the settlement agreement, the parties agreed that Basaglar can be launched in the U.S. beginning on December 15, 2016. Basaglar received U.S. Food and Drug Administration (FDA) approval in December 2015. As a result of receiving FDA approval, we received a $187.5 million milestone payment from Boehringer Ingelheim in the first quarter of 2016, which was recorded as deferred revenue and, upon product launch, will be amortized through the term of the collaboration to collaboration and other revenue.</w:t>
      </w:r>
    </w:p>
    <w:p>
      <w:pPr>
        <w:spacing w:after="0" w:line="6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cumulative amount represents the total amounts as of the end of the reporting period that have been (deferred) or capitalized since the start of this collaboration.</w:t>
      </w:r>
    </w:p>
    <w:p>
      <w:pPr>
        <w:spacing w:after="0" w:line="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revenues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compounds it contributes to the collaboration. These performance payments result in the owner of the compound retaining a greater share of the agreed upon gross margin of that product.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115.4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92.7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330.8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255.0</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Jardiance</w:t>
            </w:r>
          </w:p>
        </w:tc>
        <w:tc>
          <w:tcPr>
            <w:tcW w:w="2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8"/>
                <w:szCs w:val="18"/>
                <w:b w:val="1"/>
                <w:bCs w:val="1"/>
                <w:color w:val="auto"/>
              </w:rPr>
              <w:t>47.5</w:t>
            </w:r>
          </w:p>
        </w:tc>
        <w:tc>
          <w:tcPr>
            <w:tcW w:w="340" w:type="dxa"/>
            <w:vAlign w:val="bottom"/>
          </w:tcPr>
          <w:p>
            <w:pPr>
              <w:spacing w:after="0"/>
              <w:rPr>
                <w:sz w:val="23"/>
                <w:szCs w:val="23"/>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8"/>
                <w:szCs w:val="18"/>
                <w:b w:val="1"/>
                <w:bCs w:val="1"/>
                <w:color w:val="auto"/>
              </w:rPr>
              <w:t>125.8</w:t>
            </w:r>
          </w:p>
        </w:tc>
        <w:tc>
          <w:tcPr>
            <w:tcW w:w="34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45.7</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Our revenue related to Basaglar was not significant for the three and nine months ended September 30, 2016 and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3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Erbitux</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North America (Merck KGaA). Certain rights to Erbitux outside North America will remain with Merck KGaA (Merck) upon expiration of that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revenues - BMS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Net product revenues - third party</w:t>
            </w:r>
          </w:p>
        </w:tc>
        <w:tc>
          <w:tcPr>
            <w:tcW w:w="24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b w:val="1"/>
                <w:bCs w:val="1"/>
                <w:color w:val="auto"/>
              </w:rPr>
              <w:t>155.9</w:t>
            </w:r>
          </w:p>
        </w:tc>
        <w:tc>
          <w:tcPr>
            <w:tcW w:w="34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b w:val="1"/>
                <w:bCs w:val="1"/>
                <w:color w:val="auto"/>
              </w:rPr>
              <w:t>455.8</w:t>
            </w:r>
          </w:p>
        </w:tc>
        <w:tc>
          <w:tcPr>
            <w:tcW w:w="34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28.7</w:t>
            </w:r>
          </w:p>
        </w:tc>
        <w:tc>
          <w:tcPr>
            <w:tcW w:w="3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88.2</w:t>
            </w: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77.5</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286.2</w:t>
            </w:r>
          </w:p>
        </w:tc>
      </w:tr>
      <w:tr>
        <w:trPr>
          <w:trHeight w:val="258"/>
        </w:trPr>
        <w:tc>
          <w:tcPr>
            <w:tcW w:w="694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184.6</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85.9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533.3</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308.8</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1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Pursuant to commercial agreements with BMS, we had been co-developing Erbitux in North America with BMS exclusively. A separate agreement grants co-exclusive rights among Merck, BMS, and us in Japan and expires in 2032.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 consideration to BMS based upon a tiered percentage of net sales of Erbitux in North America estimated to average 38 percent through September 2018. The transfer of the commercialization rights was accounted for as an acquisition of a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October 1, 2015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602.1</w:t>
            </w:r>
          </w:p>
        </w:tc>
      </w:tr>
      <w:tr>
        <w:trPr>
          <w:trHeight w:val="252"/>
        </w:trPr>
        <w:tc>
          <w:tcPr>
            <w:tcW w:w="1004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232.2</w:t>
            </w:r>
          </w:p>
        </w:tc>
      </w:tr>
      <w:tr>
        <w:trPr>
          <w:trHeight w:val="261"/>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52"/>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r>
      <w:tr>
        <w:trPr>
          <w:trHeight w:val="262"/>
        </w:trPr>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663.3</w:t>
            </w:r>
          </w:p>
        </w:tc>
      </w:tr>
      <w:tr>
        <w:trPr>
          <w:trHeight w:val="264"/>
        </w:trPr>
        <w:tc>
          <w:tcPr>
            <w:tcW w:w="10040" w:type="dxa"/>
            <w:vAlign w:val="bottom"/>
          </w:tcPr>
          <w:p>
            <w:pPr>
              <w:ind w:left="40"/>
              <w:spacing w:after="0"/>
              <w:rPr>
                <w:sz w:val="20"/>
                <w:szCs w:val="20"/>
                <w:color w:val="auto"/>
              </w:rPr>
            </w:pPr>
            <w:r>
              <w:rPr>
                <w:rFonts w:ascii="Arial" w:cs="Arial" w:eastAsia="Arial" w:hAnsi="Arial"/>
                <w:sz w:val="18"/>
                <w:szCs w:val="18"/>
                <w:color w:val="auto"/>
              </w:rPr>
              <w:t xml:space="preserve">Total consideration - contingent consideration liability </w:t>
            </w:r>
            <w:r>
              <w:rPr>
                <w:rFonts w:ascii="Arial" w:cs="Arial" w:eastAsia="Arial" w:hAnsi="Arial"/>
                <w:sz w:val="21"/>
                <w:szCs w:val="21"/>
                <w:color w:val="auto"/>
                <w:vertAlign w:val="superscript"/>
              </w:rPr>
              <w:t>(2)</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w:t>
            </w:r>
          </w:p>
        </w:tc>
      </w:tr>
    </w:tbl>
    <w:p>
      <w:pPr>
        <w:spacing w:after="0" w:line="95" w:lineRule="exact"/>
        <w:rPr>
          <w:sz w:val="20"/>
          <w:szCs w:val="20"/>
          <w:color w:val="auto"/>
        </w:rPr>
      </w:pPr>
    </w:p>
    <w:p>
      <w:pPr>
        <w:ind w:left="180" w:right="500" w:hanging="172"/>
        <w:spacing w:after="0" w:line="239" w:lineRule="auto"/>
        <w:tabs>
          <w:tab w:leader="none" w:pos="153"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are being amortized to cost of sales using the straight-line method through the co-development period in North America as set forth in the original agreement, which was scheduled to expire in September 2018.</w:t>
      </w:r>
    </w:p>
    <w:p>
      <w:pPr>
        <w:spacing w:after="0" w:line="77"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See Note 6 for discussion on the estimation of the contingent consideration liability.</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Including the Erbitux business as if we had acquired it on January 1, 2015, our combined consolidated unaudited pro forma revenue and total Erbitux revenue would have been approximately $5.0 billion and $150 million, respectively, for the three months ended September 30, 2015, and $14.8 billion and $560 million, respectively, for the nine months ended September 30, 2015. This unaudited pro forma financial information adjusts the historical consolidated revenue to give effect to pro forma events that are directly attributable to the acquisition. There would have been no material change to our historical consolidated net income. The unaudited pro forma financial information is not necessarily indicative of what our consolidated revenues would have been had we completed the acquisition on January 1, 2015. In addition, the unaudited pro forma financial information does not attempt to project the future results of operations of our combined company.</w:t>
      </w:r>
    </w:p>
    <w:p>
      <w:pPr>
        <w:spacing w:after="0" w:line="6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Until the effective date of the transfer of the business, the arrangements between us and BMS were as set forth in this paragraph. Erbitux research and development and other costs were shared by both companies according to a predetermined ratio. Responsibilities associated with clinical and other ongoing studies were apportioned between the parties under the agreements. Collaborative reimbursements due to us for supply of clinical trial materials; for research and development; and for a portion of marketing, selling, and administrative expenses were recorded as a reduction to the respective expense line items on the consolidated statement of operations. We received a distribution fee in the form of a royalty from BMS, based on a percentage of net sales in North America, which was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8" w:right="239" w:bottom="1440" w:gutter="0" w:footer="0" w:header="0"/>
        </w:sectPr>
      </w:pPr>
    </w:p>
    <w:bookmarkStart w:id="14" w:name="page15"/>
    <w:bookmarkEnd w:id="14"/>
    <w:p>
      <w:pPr>
        <w:ind w:right="40"/>
        <w:spacing w:after="0" w:line="264" w:lineRule="auto"/>
        <w:rPr>
          <w:sz w:val="20"/>
          <w:szCs w:val="20"/>
          <w:color w:val="auto"/>
        </w:rPr>
      </w:pPr>
      <w:r>
        <w:rPr>
          <w:rFonts w:ascii="Arial" w:cs="Arial" w:eastAsia="Arial" w:hAnsi="Arial"/>
          <w:sz w:val="18"/>
          <w:szCs w:val="18"/>
          <w:color w:val="auto"/>
        </w:rPr>
        <w:t>recorded in collaboration and other revenue. Royalties due to third parties were recorded as a reduction of collaboration and other revenue, net of any royalty reimbursements due from third parties. We were responsible for the manufacture and supply of all requirements of Erbitux in bulk-form active pharmaceutical ingredient (API) for clinical and commercial use in North America, and BMS purchased all of its requirements of API from us, subject to certain stipulations per the agreement. Sales of Erbitux API to BMS were reported in net product revenues.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1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55" w:lineRule="exact"/>
        <w:rPr>
          <w:sz w:val="20"/>
          <w:szCs w:val="20"/>
          <w:color w:val="auto"/>
        </w:rPr>
      </w:pPr>
    </w:p>
    <w:p>
      <w:pPr>
        <w:jc w:val="both"/>
        <w:ind w:right="740"/>
        <w:spacing w:after="0" w:line="271"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p>
      <w:pPr>
        <w:spacing w:after="0" w:line="83"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Territory</w:t>
            </w:r>
          </w:p>
        </w:tc>
        <w:tc>
          <w:tcPr>
            <w:tcW w:w="29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rPr>
              <w:t>Marketing Rights</w:t>
            </w:r>
          </w:p>
        </w:tc>
        <w:tc>
          <w:tcPr>
            <w:tcW w:w="5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Selling Party</w:t>
            </w:r>
          </w:p>
        </w:tc>
        <w:tc>
          <w:tcPr>
            <w:tcW w:w="0" w:type="dxa"/>
            <w:vAlign w:val="bottom"/>
          </w:tcPr>
          <w:p>
            <w:pPr>
              <w:spacing w:after="0"/>
              <w:rPr>
                <w:sz w:val="1"/>
                <w:szCs w:val="1"/>
                <w:color w:val="auto"/>
              </w:rPr>
            </w:pPr>
          </w:p>
        </w:tc>
      </w:tr>
      <w:tr>
        <w:trPr>
          <w:trHeight w:val="265"/>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U.S.</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6"/>
              </w:rPr>
              <w:t>Lilly</w:t>
            </w:r>
          </w:p>
        </w:tc>
        <w:tc>
          <w:tcPr>
            <w:tcW w:w="0" w:type="dxa"/>
            <w:vAlign w:val="bottom"/>
          </w:tcPr>
          <w:p>
            <w:pPr>
              <w:spacing w:after="0"/>
              <w:rPr>
                <w:sz w:val="1"/>
                <w:szCs w:val="1"/>
                <w:color w:val="auto"/>
              </w:rPr>
            </w:pPr>
          </w:p>
        </w:tc>
      </w:tr>
      <w:tr>
        <w:trPr>
          <w:trHeight w:val="207"/>
        </w:trPr>
        <w:tc>
          <w:tcPr>
            <w:tcW w:w="3120" w:type="dxa"/>
            <w:vAlign w:val="bottom"/>
            <w:vMerge w:val="restart"/>
          </w:tcPr>
          <w:p>
            <w:pPr>
              <w:jc w:val="center"/>
              <w:ind w:right="154"/>
              <w:spacing w:after="0"/>
              <w:rPr>
                <w:sz w:val="20"/>
                <w:szCs w:val="20"/>
                <w:color w:val="auto"/>
              </w:rPr>
            </w:pPr>
            <w:r>
              <w:rPr>
                <w:rFonts w:ascii="Arial" w:cs="Arial" w:eastAsia="Arial" w:hAnsi="Arial"/>
                <w:sz w:val="18"/>
                <w:szCs w:val="18"/>
                <w:color w:val="auto"/>
                <w:w w:val="99"/>
              </w:rPr>
              <w:t>Major European markets</w:t>
            </w:r>
          </w:p>
        </w:tc>
        <w:tc>
          <w:tcPr>
            <w:tcW w:w="2980" w:type="dxa"/>
            <w:vAlign w:val="bottom"/>
            <w:vMerge w:val="restart"/>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tcPr>
          <w:p>
            <w:pPr>
              <w:jc w:val="center"/>
              <w:ind w:right="74"/>
              <w:spacing w:after="0"/>
              <w:rPr>
                <w:sz w:val="20"/>
                <w:szCs w:val="20"/>
                <w:color w:val="auto"/>
              </w:rPr>
            </w:pPr>
            <w:r>
              <w:rPr>
                <w:rFonts w:ascii="Arial" w:cs="Arial" w:eastAsia="Arial" w:hAnsi="Arial"/>
                <w:sz w:val="18"/>
                <w:szCs w:val="18"/>
                <w:color w:val="auto"/>
                <w:w w:val="99"/>
              </w:rPr>
              <w:t>Pre-January 1, 2016, Lilly</w:t>
            </w:r>
          </w:p>
        </w:tc>
        <w:tc>
          <w:tcPr>
            <w:tcW w:w="0" w:type="dxa"/>
            <w:vAlign w:val="bottom"/>
          </w:tcPr>
          <w:p>
            <w:pPr>
              <w:spacing w:after="0"/>
              <w:rPr>
                <w:sz w:val="1"/>
                <w:szCs w:val="1"/>
                <w:color w:val="auto"/>
              </w:rPr>
            </w:pPr>
          </w:p>
        </w:tc>
      </w:tr>
      <w:tr>
        <w:trPr>
          <w:trHeight w:val="135"/>
        </w:trPr>
        <w:tc>
          <w:tcPr>
            <w:tcW w:w="312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5320" w:type="dxa"/>
            <w:vAlign w:val="bottom"/>
            <w:vMerge w:val="restart"/>
          </w:tcPr>
          <w:p>
            <w:pPr>
              <w:jc w:val="center"/>
              <w:ind w:right="74"/>
              <w:spacing w:after="0"/>
              <w:rPr>
                <w:sz w:val="20"/>
                <w:szCs w:val="20"/>
                <w:color w:val="auto"/>
              </w:rPr>
            </w:pPr>
            <w:r>
              <w:rPr>
                <w:rFonts w:ascii="Arial" w:cs="Arial" w:eastAsia="Arial" w:hAnsi="Arial"/>
                <w:sz w:val="18"/>
                <w:szCs w:val="18"/>
                <w:color w:val="auto"/>
                <w:w w:val="99"/>
              </w:rPr>
              <w:t>Post-January 1, 2016, Daiichi Sankyo</w:t>
            </w:r>
          </w:p>
        </w:tc>
        <w:tc>
          <w:tcPr>
            <w:tcW w:w="0" w:type="dxa"/>
            <w:vAlign w:val="bottom"/>
          </w:tcPr>
          <w:p>
            <w:pPr>
              <w:spacing w:after="0"/>
              <w:rPr>
                <w:sz w:val="1"/>
                <w:szCs w:val="1"/>
                <w:color w:val="auto"/>
              </w:rPr>
            </w:pPr>
          </w:p>
        </w:tc>
      </w:tr>
      <w:tr>
        <w:trPr>
          <w:trHeight w:val="113"/>
        </w:trPr>
        <w:tc>
          <w:tcPr>
            <w:tcW w:w="31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Japan</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Exclusive</w:t>
            </w:r>
          </w:p>
        </w:tc>
        <w:tc>
          <w:tcPr>
            <w:tcW w:w="53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rPr>
              <w:t>Daiichi Sankyo</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Beginning January 1, 2016, while major European markets continue to be a co-promotion territory under the terms of our arrangement, Daiichi Sankyo exclusively promotes Effient in these markets. The economic results for the major European markets continue to be shared in the same proportion as they were previously.</w:t>
      </w:r>
    </w:p>
    <w:p>
      <w:pPr>
        <w:spacing w:after="0" w:line="5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continue to produce the finished product for our exclusive and co-promotion territories, including the major European markets.</w:t>
      </w:r>
    </w:p>
    <w:p>
      <w:pPr>
        <w:spacing w:after="0" w:line="5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Beginning January 1, 2016,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31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318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r>
      <w:tr>
        <w:trPr>
          <w:trHeight w:val="265"/>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127.7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132.1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394.3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382.7</w:t>
            </w:r>
          </w:p>
        </w:tc>
      </w:tr>
      <w:tr>
        <w:trPr>
          <w:trHeight w:val="463"/>
        </w:trPr>
        <w:tc>
          <w:tcPr>
            <w:tcW w:w="3180" w:type="dxa"/>
            <w:vAlign w:val="bottom"/>
          </w:tcPr>
          <w:p>
            <w:pPr>
              <w:spacing w:after="0"/>
              <w:rPr>
                <w:sz w:val="24"/>
                <w:szCs w:val="24"/>
                <w:color w:val="auto"/>
              </w:rPr>
            </w:pPr>
          </w:p>
        </w:tc>
        <w:tc>
          <w:tcPr>
            <w:tcW w:w="3760" w:type="dxa"/>
            <w:vAlign w:val="bottom"/>
          </w:tcPr>
          <w:p>
            <w:pPr>
              <w:jc w:val="right"/>
              <w:ind w:right="10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Baricitinib</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 2010, Incyte exercised its option to co-develop baricitinib in rheumatoid arthritis. The agreement calls for payments associated with certain development, success-based regulatory, and sales-based milestones. In the first quarter of 2016, we incurred milestone-related expenses of $55.0 million in connection with regulatory submissions in the U.S. and Europe which were recorded as research and development expense. As of September 30, 2016, Incyte is eligible to receive up to $360.0 million of additional payments from us contingent upon certain development and success-based regulatory milestones, of which $180.0 million relates to regulatory decisions for a first indication. Incyte is also eligible to receive up to $150.0 million of potential sales-based milestones.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Solanezumab</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an agreement with an affiliate of TPG-Axon Capital (TPG) whereby TPG funded a portion of the Phase III development of solanezumab. Under the agreement, TPG’s obligation to fund solanezumab costs ended in 2011. In exchange for its funding, TPG is eligible to receive success-based sales milestones totaling $70.2 million and mid-single digit royalties contingent upon the successful development of solanezumab. The royalties would be paid for approximately 10 years after launch of a product.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Tanezumab</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2013, we entered into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FDA's decision in March 2015 to lift the partial clinical hold on tanezumab, certain Phase III trials resumed in July 2015. Upon the FDA's lifting of the partial clinical hold and the decision to continue the collaboration with Pfizer, we paid an upfront fee of $200.0 million, which was expensed as acquired IPR&amp;D in the first quarter of 2015. In addition to this fee, Pfizer is eligible to receive up to $350.0 million in success-based regulatory milestones and up to $1.23 billion in a series of sales-based milestones, contingent upon the commercial success of tanezumab.</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BACE Inhibitor</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September 2014, we entered into a collaboration agreement with AstraZeneca UK Limited (AstraZeneca) for the worldwide co-development and co-commercialization of AstraZeneca’s AZD3293, an oral beta-secretase cleaving enzyme (BACE) inhibitor being investigated for the potential treatment of Alzheimer’s disease. We are responsible for leading development efforts, while AstraZeneca will be responsible for manufacturing efforts. If successful, both parties will take joint responsibility for commercialization. Under the agreement, both parties share equally in the ongoing development costs and, if successful, in gross margins and certain other costs associated with commercialization of the molecule. As a result of the molecule moving into Phase III testing in April 2016, we incurred a $100.0 million developmental milestone, which was recorded as research and development expense in the second quarter of 2016. AstraZeneca is eligible to receive up to an additional $350.0 million contingent upon the achievement of certain development and success-based regulatory milestones.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Summary of Commission and Profit-Share Payments</w:t>
      </w:r>
    </w:p>
    <w:p>
      <w:pPr>
        <w:spacing w:after="0" w:line="11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summarizes our aggregate amount of marketing, selling, and administrative expense associated with our commission and profit-sharing obligations for the collaborations and other arrangements described above: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4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4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r>
      <w:tr>
        <w:trPr>
          <w:trHeight w:val="265"/>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selling, and administrative</w:t>
            </w: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47.4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143.7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156.5</w:t>
            </w:r>
          </w:p>
        </w:tc>
      </w:tr>
      <w:tr>
        <w:trPr>
          <w:trHeight w:val="679"/>
        </w:trPr>
        <w:tc>
          <w:tcPr>
            <w:tcW w:w="4300" w:type="dxa"/>
            <w:vAlign w:val="bottom"/>
          </w:tcPr>
          <w:p>
            <w:pPr>
              <w:spacing w:after="0"/>
              <w:rPr>
                <w:sz w:val="24"/>
                <w:szCs w:val="24"/>
                <w:color w:val="auto"/>
              </w:rPr>
            </w:pPr>
          </w:p>
        </w:tc>
        <w:tc>
          <w:tcPr>
            <w:tcW w:w="2640" w:type="dxa"/>
            <w:vAlign w:val="bottom"/>
          </w:tcPr>
          <w:p>
            <w:pPr>
              <w:jc w:val="right"/>
              <w:ind w:right="103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9"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9"/>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26.5</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8.3</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37.0</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r>
      <w:tr>
        <w:trPr>
          <w:trHeight w:val="264"/>
        </w:trPr>
        <w:tc>
          <w:tcPr>
            <w:tcW w:w="694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8.3</w:t>
            </w:r>
          </w:p>
        </w:tc>
        <w:tc>
          <w:tcPr>
            <w:tcW w:w="34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37.0</w:t>
            </w:r>
          </w:p>
        </w:tc>
        <w:tc>
          <w:tcPr>
            <w:tcW w:w="3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65.3</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9"/>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w:t>
            </w:r>
          </w:p>
        </w:tc>
        <w:tc>
          <w:tcPr>
            <w:tcW w:w="240" w:type="dxa"/>
            <w:vAlign w:val="bottom"/>
          </w:tcPr>
          <w:p>
            <w:pPr>
              <w:spacing w:after="0"/>
              <w:rPr>
                <w:sz w:val="23"/>
                <w:szCs w:val="23"/>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23"/>
                <w:szCs w:val="23"/>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18.0</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37.2</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197.9</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139.5</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 impairment and other special charges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37.2</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30.3</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197.9</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157.5</w:t>
            </w:r>
          </w:p>
        </w:tc>
      </w:tr>
      <w:tr>
        <w:trPr>
          <w:trHeight w:val="271"/>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45.5</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234.9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222.8</w:t>
            </w:r>
          </w:p>
        </w:tc>
      </w:tr>
    </w:tbl>
    <w:p>
      <w:pPr>
        <w:spacing w:after="0" w:line="8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Severance costs recognized during the three months ended September 30, 2016 related primarily to the integration of Novartis AH. Severance costs recognized during the nine months ended September 30, 2016 related primarily to the integration of Novartis AH, as well as our decision to close an animal health manufacturing plant in Ireland. Severance costs recognized during the three and nine months ended September 30, 2015 related primarily to the integration of Novartis AH, as well as actions taken to reduce our cost structure.</w:t>
      </w:r>
    </w:p>
    <w:p>
      <w:pPr>
        <w:spacing w:after="0" w:line="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Asset impairment and other special charges recognized during the three months ended September 30, 2016 resulted primarily from integration costs related to our acquisition of Novartis AH. Asset impairment and other special charges recognized during the nine months ended September 30, 2016 resulted primarily from integration costs related to our acquisition of Novartis AH, as well as $87.2 million of asset impairment and other charges related to our decision to close an animal health manufacturing plant in Ireland. The manufacturing plant was written down to its estimated fair value, which was based primarily on recent sales of similar assets. Asset impairment and other special charges recognized during the three and nine months ended September 30, 2015 related primarily to integration costs related to our acquisition of Novartis AH. The asset impairment and other special charges recognized during the nine months ended September 30, 2015 also related to intangible asset impairments due to product rationalization resulting from our acquisition of Novartis AH.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70"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5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4" w:right="239" w:bottom="1440" w:gutter="0" w:footer="0" w:header="0"/>
        </w:sectPr>
      </w:pPr>
    </w:p>
    <w:bookmarkStart w:id="17" w:name="page18"/>
    <w:bookmarkEnd w:id="17"/>
    <w:p>
      <w:pPr>
        <w:ind w:right="400"/>
        <w:spacing w:after="0" w:line="292" w:lineRule="auto"/>
        <w:rPr>
          <w:sz w:val="20"/>
          <w:szCs w:val="20"/>
          <w:color w:val="auto"/>
        </w:rPr>
      </w:pPr>
      <w:r>
        <w:rPr>
          <w:rFonts w:ascii="Arial" w:cs="Arial" w:eastAsia="Arial" w:hAnsi="Arial"/>
          <w:sz w:val="18"/>
          <w:szCs w:val="18"/>
          <w:color w:val="auto"/>
        </w:rPr>
        <w:t>comprehensive loss. Hedge ineffectiveness is immediately recognized in earnings. Derivative contracts that are not designated as hedging instruments are recorded at fair value with the gain or loss recognized in current earnings during the period of change.</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the British pound, Japanese yen, and the Swiss franc).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September 30, 2016, we had outstanding foreign currency forward commitments to purchase 946.7 million U.S. dollars and sell 844.8 million euro, commitments to purchase 1.79 billion euro and sell 2.00 billion U.S. dollars, commitments to purchase 742.5 million U.S. dollars and sell 75.42 billion Japanese yen, commitments to purchase 192.7 million British pounds and sell 225.2 million euro, commitments to purchase 266.9 million U.S. dollars and sell 204.2 million British pounds, and commitments to purchase 192.8 million Swiss francs and sell 196.9 million U.S. dollars, which will all settle within 30 days.</w:t>
      </w:r>
    </w:p>
    <w:p>
      <w:pPr>
        <w:spacing w:after="0" w:line="7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which had carrying amounts of $3.55 billion and $2.27 billion as of September 30, 2016 and December 31, 2015, respectively, have been designated as, and are effective as, economic hedges of net investments in certain of our euro-denominated and Swiss franc-denominated operations. Our cross-currency interest rate swaps that convert a portion of our U.S. dollar-denominated floating rate debt to euro-denominated floating rate debt have also been designated as, and are effective as, economic hedges of net investments in certain of our euro-denominated foreign operations.</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 of cash flows. At September 30, 2016, substantially all of our total long-term debt is at a fixed rate. We have converted approximately 30 percent of our long-term fixed-rate notes to floating rates through the use of interest rate swaps.</w:t>
      </w:r>
    </w:p>
    <w:p>
      <w:pPr>
        <w:spacing w:after="0" w:line="69"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2015, we issued $600.0 million of 1.25 percent fixed-rate notes due March 1, 2018, $800.0 million of 2.75 percent fixed-rate notes due June 1, 2025, and $800.0 million of 3.70 percent fixed-rate notes due March 1, 2045, with interest to be paid semi-annually. The proceeds from the issuance of the notes were used primarily to repay outstanding commercial paper issued in connection with our January 2015 acquisition of Novartis AH.</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2015, we issued euro-denominated notes consisting of €600.0 million of 1.00 percent fixed-rate notes due June 2, 2022, €750.0 million of 1.63 percent fixed-rate notes due June 2, 2026, and € 750.0 million of 2.13 percent fixed-rate notes due June 3, 2030, with interest to be paid annually. The net cash proceeds of the offering of $ 2.27 billion were used primarily to purchase and redeem certain higher interest rate U.S. dollar-denominated notes and to repay outstanding commercial paper. We paid $1.95 billion to purchase and redeem notes with an aggregate principal amount of $1.65 billion and a net carrying value of $1.78 billion in June 2015, resulting in a pretax debt extinguishment loss of $166.7 million, which was included in other–net, (income) expense in our consolidated condensed statement of operations during the nine months ended September 30, 2015.</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May 2016, we issued Swiss franc-denominated notes consisting of Fr.200.0 million of 0.00 percent fixed-rate notes due May 24, 2018, Fr.600.0 million of 0.15 percent fixed-rate notes due May 24, 2024, and Fr.400.0 million of 0.45 percent fixed-rate notes due May 24, 2028, with interest to be paid annually. We are using the net cash</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84" w:right="239" w:bottom="1440" w:gutter="0" w:footer="0" w:header="0"/>
        </w:sectPr>
      </w:pPr>
    </w:p>
    <w:bookmarkStart w:id="18" w:name="page19"/>
    <w:bookmarkEnd w:id="18"/>
    <w:p>
      <w:pPr>
        <w:ind w:right="360"/>
        <w:spacing w:after="0" w:line="292" w:lineRule="auto"/>
        <w:rPr>
          <w:sz w:val="20"/>
          <w:szCs w:val="20"/>
          <w:color w:val="auto"/>
        </w:rPr>
      </w:pPr>
      <w:r>
        <w:rPr>
          <w:rFonts w:ascii="Arial" w:cs="Arial" w:eastAsia="Arial" w:hAnsi="Arial"/>
          <w:sz w:val="18"/>
          <w:szCs w:val="18"/>
          <w:color w:val="auto"/>
        </w:rPr>
        <w:t>proceeds of the offering of $1.21 billion for general corporate purposes, which may include the repayment or redemption prior to maturity of certain of our U.S. dollar denominated fixed-rate notes due March 2017.</w:t>
      </w:r>
    </w:p>
    <w:p>
      <w:pPr>
        <w:spacing w:after="0" w:line="3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Upon issuance of our underlying U.S. dollar-denominated fixed-rate notes in March 2015, we terminated forward-starting interest rate contracts in designated cash flow hedging instruments with an aggregate notional amount of $1.35 billion and paid $206.3 million in cash to the counterparties for settlement. The settlement amount represented the fair value of the forward-starting interest rate contracts at the time of termination and was recorded in other comprehensive loss.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June 2015 note purchase and redemption discussed above, we terminated certain interest rate swaps designated as fair value hedges with an aggregate notional amount of $876.0 million. As a result of the termination, we received cash of $20.2 million, which represented the fair value of the interest rate swaps at the time of termination. The related fair value adjustment was recorded as an increase to the carrying value of the underlying notes and was included as a component of the debt extinguishment loss.</w:t>
      </w:r>
    </w:p>
    <w:p>
      <w:pPr>
        <w:spacing w:after="0" w:line="118" w:lineRule="exact"/>
        <w:rPr>
          <w:sz w:val="20"/>
          <w:szCs w:val="20"/>
          <w:color w:val="auto"/>
        </w:rPr>
      </w:pPr>
    </w:p>
    <w:p>
      <w:pPr>
        <w:ind w:right="3200"/>
        <w:spacing w:after="0" w:line="410" w:lineRule="auto"/>
        <w:rPr>
          <w:sz w:val="20"/>
          <w:szCs w:val="20"/>
          <w:color w:val="auto"/>
        </w:rPr>
      </w:pPr>
      <w:r>
        <w:rPr>
          <w:rFonts w:ascii="Arial" w:cs="Arial" w:eastAsia="Arial" w:hAnsi="Arial"/>
          <w:sz w:val="18"/>
          <w:szCs w:val="18"/>
          <w:i w:val="1"/>
          <w:iCs w:val="1"/>
          <w:color w:val="auto"/>
        </w:rPr>
        <w:t xml:space="preserve">The Effect of Risk-Management Instruments on the Consolidated Condensed Statement of Operations </w:t>
      </w:r>
      <w:r>
        <w:rPr>
          <w:rFonts w:ascii="Arial" w:cs="Arial" w:eastAsia="Arial" w:hAnsi="Arial"/>
          <w:sz w:val="18"/>
          <w:szCs w:val="18"/>
          <w:color w:val="auto"/>
        </w:rPr>
        <w:t>The following effects of risk-management instruments were recognized in other–net, (income)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(18.8)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66.1</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92.4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18.8</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(92.4)</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65"/>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11.2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7"/>
        </w:trPr>
        <w:tc>
          <w:tcPr>
            <w:tcW w:w="6940" w:type="dxa"/>
            <w:vAlign w:val="bottom"/>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 hedging</w:t>
            </w:r>
          </w:p>
        </w:tc>
        <w:tc>
          <w:tcPr>
            <w:tcW w:w="240" w:type="dxa"/>
            <w:vAlign w:val="bottom"/>
          </w:tcPr>
          <w:p>
            <w:pPr>
              <w:spacing w:after="0"/>
              <w:rPr>
                <w:sz w:val="17"/>
                <w:szCs w:val="17"/>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105.6</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94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9"/>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(37.0)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(80.0)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1"/>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(4.1)</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9"/>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Pr>
          <w:p>
            <w:pPr>
              <w:spacing w:after="0"/>
              <w:rPr>
                <w:sz w:val="23"/>
                <w:szCs w:val="23"/>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31.9</w:t>
            </w:r>
          </w:p>
        </w:tc>
        <w:tc>
          <w:tcPr>
            <w:tcW w:w="30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9"/>
        </w:trPr>
        <w:tc>
          <w:tcPr>
            <w:tcW w:w="6940" w:type="dxa"/>
            <w:vAlign w:val="bottom"/>
          </w:tcPr>
          <w:p>
            <w:pPr>
              <w:ind w:left="24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tcPr>
          <w:p>
            <w:pPr>
              <w:spacing w:after="0"/>
              <w:rPr>
                <w:sz w:val="23"/>
                <w:szCs w:val="23"/>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(3.4)</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w:t>
            </w:r>
          </w:p>
        </w:tc>
      </w:tr>
    </w:tbl>
    <w:p>
      <w:pPr>
        <w:spacing w:after="0" w:line="8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$15.2 million of pretax net losses on cash flow hedges of the variability in expected future interest payments on our floating rate debt.</w:t>
      </w:r>
    </w:p>
    <w:p>
      <w:pPr>
        <w:spacing w:after="0" w:line="3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During the nine months ended September 30, 2016 and 2015, net losses related to ineffectiveness, as well as net losses related to the portion of our risk-management hedging instruments, fair value hedges, and cash flow hedges that were excluded from the assessment of effectiveness, were not material.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5"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The following tables summarize certain fair value information at September 30, 2016 and December 31, 2015 for assets and liabilities measured at fair value on a recurring basis, as well as the carrying amount and amortized cost of certain other investments: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8"/>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204"/>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2016</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1,615.9</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1,615.9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1,614.8</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1.1</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1,615.9</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81.0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81.0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81.0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81.0</w:t>
            </w: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3"/>
                <w:szCs w:val="23"/>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648.8</w:t>
            </w:r>
          </w:p>
        </w:tc>
        <w:tc>
          <w:tcPr>
            <w:tcW w:w="22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648.3</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648.8</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648.8</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5.3</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5.3</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5.3</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5.3</w:t>
            </w:r>
          </w:p>
        </w:tc>
      </w:tr>
      <w:tr>
        <w:trPr>
          <w:trHeight w:val="266"/>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2.7</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2.7</w:t>
            </w: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2.7</w:t>
            </w: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2.7</w:t>
            </w:r>
          </w:p>
        </w:tc>
      </w:tr>
      <w:tr>
        <w:trPr>
          <w:trHeight w:val="27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737.8</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344.0</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342.0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344.0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344.0</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3,104.7</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3,084.7</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3,104.7</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3,104.7</w:t>
            </w: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3"/>
                <w:szCs w:val="23"/>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195.8</w:t>
            </w:r>
          </w:p>
        </w:tc>
        <w:tc>
          <w:tcPr>
            <w:tcW w:w="22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193.7</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195.8</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195.8</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474.8</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473.3</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474.8</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474.8</w:t>
            </w: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3"/>
                <w:szCs w:val="23"/>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170.1</w:t>
            </w:r>
          </w:p>
        </w:tc>
        <w:tc>
          <w:tcPr>
            <w:tcW w:w="22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82.6</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3.4</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166.7</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170.1</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178.5</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80.5</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178.5</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178.5</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559.1</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5,027.0</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2015</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1,644.4</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1,644.4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1,637.0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7.4</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1,644.4</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153.2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153.2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153.2</w:t>
            </w: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625.8</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626.9</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625.8</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625.8</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785.4</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284.5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286.0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283.5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284.5</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1,962.6</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1,995.8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1,962.6</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1,962.6</w:t>
            </w: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153.3</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154.7</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153.3</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153.3</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441.9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443.1</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441.9</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441.9</w:t>
            </w: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137.1</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97.3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133.0</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137.1</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128.9</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538.3</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3,646.6</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bl>
    <w:p>
      <w:pPr>
        <w:spacing w:after="0" w:line="82"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cost method and equity method investments.</w:t>
      </w:r>
    </w:p>
    <w:p>
      <w:pPr>
        <w:sectPr>
          <w:pgSz w:w="11900" w:h="16838" w:orient="portrait"/>
          <w:cols w:equalWidth="0" w:num="1">
            <w:col w:w="11420"/>
          </w:cols>
          <w:pgMar w:left="240" w:top="740"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40"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68"/>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03"/>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Value</w:t>
            </w:r>
          </w:p>
        </w:tc>
      </w:tr>
      <w:tr>
        <w:trPr>
          <w:trHeight w:val="26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9"/>
        </w:trPr>
        <w:tc>
          <w:tcPr>
            <w:tcW w:w="428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(9,348.8)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(10,064.6)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(10,064.6)</w:t>
            </w:r>
          </w:p>
        </w:tc>
      </w:tr>
      <w:tr>
        <w:trPr>
          <w:trHeight w:val="271"/>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(7,978.5)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(8,172.0)</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(8,172.0)</w:t>
            </w:r>
          </w:p>
        </w:tc>
      </w:tr>
      <w:tr>
        <w:trPr>
          <w:trHeight w:val="512"/>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03"/>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Value</w:t>
            </w:r>
          </w:p>
        </w:tc>
      </w:tr>
      <w:tr>
        <w:trPr>
          <w:trHeight w:val="26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2016</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5"/>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5.8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5.8</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156.2</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156.2</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156.2</w:t>
            </w: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w:t>
            </w: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8.4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8.4</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8.4</w:t>
            </w: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(5.5)</w:t>
            </w:r>
          </w:p>
        </w:tc>
        <w:tc>
          <w:tcPr>
            <w:tcW w:w="24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71"/>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(235.0)</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(235.0)</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(235.0)</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(296.2)</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(296.2)</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(296.2)</w:t>
            </w:r>
          </w:p>
        </w:tc>
      </w:tr>
      <w:tr>
        <w:trPr>
          <w:trHeight w:val="324"/>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5"/>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70.1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70.1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70.1</w:t>
            </w: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(243.7)</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(243.7)</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(243.7)</w:t>
            </w: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(427.2)</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r>
    </w:tbl>
    <w:p>
      <w:pPr>
        <w:spacing w:after="0" w:line="82"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Contingent consideration liabilities primarily relate to the Erbitux arrangement with BMS discussed in Note 4.</w:t>
      </w:r>
    </w:p>
    <w:p>
      <w:pPr>
        <w:spacing w:after="0" w:line="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p>
      <w:pPr>
        <w:ind w:right="160"/>
        <w:spacing w:after="0" w:line="264"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 of cost and equity method investments is not readily available.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Contingent consideration liabilities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contingent consideration liabilities during the nine months ended September 30, 2016 was due primarily to cash payments of $ 171.8 million related to Erbitux. The change in the fair value of the contingent consideration liabilities recognized in earnings during the three and nine months ended September 30, 2016 was not material.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September 30,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68"/>
        </w:trPr>
        <w:tc>
          <w:tcPr>
            <w:tcW w:w="4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4"/>
                <w:szCs w:val="14"/>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4"/>
                <w:szCs w:val="14"/>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203"/>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65"/>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4,860.5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737.8</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3,716.5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171.8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234.4</w:t>
            </w:r>
          </w:p>
        </w:tc>
      </w:tr>
    </w:tbl>
    <w:p>
      <w:pPr>
        <w:spacing w:after="0" w:line="8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2016</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2015</w:t>
            </w:r>
          </w:p>
        </w:tc>
      </w:tr>
      <w:tr>
        <w:trPr>
          <w:trHeight w:val="26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138.8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68.0</w:t>
            </w:r>
          </w:p>
        </w:tc>
      </w:tr>
      <w:tr>
        <w:trPr>
          <w:trHeight w:val="269"/>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880" w:type="dxa"/>
            <w:vAlign w:val="bottom"/>
          </w:tcPr>
          <w:p>
            <w:pPr>
              <w:spacing w:after="0"/>
              <w:rPr>
                <w:sz w:val="23"/>
                <w:szCs w:val="23"/>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7.6</w:t>
            </w:r>
          </w:p>
        </w:tc>
        <w:tc>
          <w:tcPr>
            <w:tcW w:w="30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52.5</w:t>
            </w:r>
          </w:p>
        </w:tc>
      </w:tr>
      <w:tr>
        <w:trPr>
          <w:trHeight w:val="271"/>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8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3,570.3</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764.5</w:t>
            </w:r>
          </w:p>
        </w:tc>
      </w:tr>
      <w:tr>
        <w:trPr>
          <w:trHeight w:val="269"/>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880" w:type="dxa"/>
            <w:vAlign w:val="bottom"/>
          </w:tcPr>
          <w:p>
            <w:pPr>
              <w:spacing w:after="0"/>
              <w:rPr>
                <w:sz w:val="23"/>
                <w:szCs w:val="23"/>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1,266.2</w:t>
            </w:r>
          </w:p>
        </w:tc>
        <w:tc>
          <w:tcPr>
            <w:tcW w:w="30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2,933.4</w:t>
            </w:r>
          </w:p>
        </w:tc>
      </w:tr>
    </w:tbl>
    <w:p>
      <w:pPr>
        <w:spacing w:after="0" w:line="8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periodically assess our investment securities for other-than-temporary impairment losses. Other-than-temporary impairment losses recognized during the three and nine months ended September 30, 2016 totaled $11.4 million and $53.0 million, respectively. Impairment losses recognized during the three months ended September 30, 2016 related primarily to our marketable equity securities, while impairment losses recognized during the nine months ended September 30, 2016 related primarily to our cost and equity method investments. Other-than-temporary impairment losses recognized during the three and nine months ended September 30, 2015 totaled $31.5 million and $41.3 million, respectively.</w:t>
      </w:r>
    </w:p>
    <w:p>
      <w:pPr>
        <w:spacing w:after="0" w:line="69"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5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5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As of September 30, 2016, the securities in an unrealized loss position include primarily our marketable equity securities as well as fixed-rate debt securities of varying maturities. Marketable equity securities are sensitive to market price adjustments for general market conditions and industry or sector specific factors, and fixed-rate debt securities are sensitive to changes in the yield curve and other market conditions.</w:t>
      </w:r>
    </w:p>
    <w:p>
      <w:pPr>
        <w:spacing w:after="0" w:line="255" w:lineRule="auto"/>
        <w:rPr>
          <w:sz w:val="20"/>
          <w:szCs w:val="20"/>
          <w:color w:val="auto"/>
        </w:rPr>
      </w:pPr>
      <w:r>
        <w:rPr>
          <w:rFonts w:ascii="Arial" w:cs="Arial" w:eastAsia="Arial" w:hAnsi="Arial"/>
          <w:sz w:val="18"/>
          <w:szCs w:val="18"/>
          <w:color w:val="auto"/>
        </w:rPr>
        <w:t>Approximately 90 percent of the fixed-rate debt securities in a loss position are investment-grade debt securities. As of September 30, 2016,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228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926.3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621.9</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2,503.4</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3,491.8</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12.8</w:t>
            </w:r>
          </w:p>
        </w:tc>
        <w:tc>
          <w:tcPr>
            <w:tcW w:w="34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151.0</w:t>
            </w:r>
          </w:p>
        </w:tc>
        <w:tc>
          <w:tcPr>
            <w:tcW w:w="1140" w:type="dxa"/>
            <w:vAlign w:val="bottom"/>
          </w:tcPr>
          <w:p>
            <w:pPr>
              <w:jc w:val="right"/>
              <w:ind w:right="39"/>
              <w:spacing w:after="0"/>
              <w:rPr>
                <w:sz w:val="20"/>
                <w:szCs w:val="20"/>
                <w:color w:val="auto"/>
              </w:rPr>
            </w:pPr>
            <w:r>
              <w:rPr>
                <w:rFonts w:ascii="Arial" w:cs="Arial" w:eastAsia="Arial" w:hAnsi="Arial"/>
                <w:sz w:val="18"/>
                <w:szCs w:val="18"/>
                <w:b w:val="1"/>
                <w:bCs w:val="1"/>
                <w:color w:val="auto"/>
              </w:rPr>
              <w:t>18.0</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253.3</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11.7</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r>
    </w:tbl>
    <w:p>
      <w:pPr>
        <w:spacing w:after="0" w:line="8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interest in the underlying accounts receivable once sold. We derecognized $ 685.9 million and $670.6 million of accounts receivable as of September 30, 2016 and December 31, 2015, respectively, under these factoring arrangements. The cost of factoring such accounts receivable on our consolidated condensed results of operations for the nine months ended September 30, 2016 and 2015 was not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During the nine months ended September 30, 2016 and 2015, we repurchased $300.1 million and $496.6 million of shares, respectively, associated with our $5.00 billion share repurchase program announced in October 2013. As of September 30, 2016, there were $2.65 billion of shares remaining in that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7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U.S. examination of tax years 2010-2012 commenced during the fourth quarter of 2013. In December 2015, we executed a closing agreement with the Internal Revenue Service which effectively settled certain matters for tax years 2010-2012. Accordingly, we reduced our gross uncertain tax positions by approximately $320 million in 2015. During the first quarter of 2016, we effectively settled the remaining matters related to tax years 2010-2012. As a result of this resolution, our gross uncertain tax positions were further reduced by approximately $140 million, and our consolidated condensed results of operations benefited from an immaterial reduction in income tax expense. During the nine months ended September 30, 2016, we made cash payments of approximately $150 million related to tax years 2010-2012 after application of available tax credit carryforwards and carrybacks. The U.S. examination of tax years 2013-2014 and tax year 2015 commenced during the first and third quarters of 2016,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9: Retirement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Defined Benefit Pension Plans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68"/>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70.2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82.8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212.2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245.3</w:t>
            </w: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104.2</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117.1</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314.4</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351.4</w:t>
            </w: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(187.6)</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w:t>
            </w:r>
          </w:p>
        </w:tc>
        <w:tc>
          <w:tcPr>
            <w:tcW w:w="32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(566.7)</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(579.7)</w:t>
            </w: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2.9</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8.6</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r>
      <w:tr>
        <w:trPr>
          <w:trHeight w:val="269"/>
        </w:trPr>
        <w:tc>
          <w:tcPr>
            <w:tcW w:w="6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71.0</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91.5</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213.4</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274.8</w:t>
            </w:r>
          </w:p>
        </w:tc>
      </w:tr>
      <w:tr>
        <w:trPr>
          <w:trHeight w:val="271"/>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60.7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98.2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181.9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299.4</w:t>
            </w:r>
          </w:p>
        </w:tc>
      </w:tr>
      <w:tr>
        <w:trPr>
          <w:trHeight w:val="512"/>
        </w:trPr>
        <w:tc>
          <w:tcPr>
            <w:tcW w:w="6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Retiree Health Benefit Plans</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8"/>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10.5</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29.3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31.5</w:t>
            </w: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13.0</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39.0</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(37.6)</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(112.7)</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(21.5)</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(64.3)</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69"/>
        </w:trPr>
        <w:tc>
          <w:tcPr>
            <w:tcW w:w="6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5.2</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15.5</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28.3</w:t>
            </w:r>
          </w:p>
        </w:tc>
      </w:tr>
      <w:tr>
        <w:trPr>
          <w:trHeight w:val="271"/>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(93.2)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bl>
    <w:p>
      <w:pPr>
        <w:spacing w:after="0" w:line="8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have contributed approximately $35 million required to satisfy minimum funding requirements to our defined benefit pension and retiree health benefit plans during the nine months ended September 30, 2016. Additional discretionary funding in the aggregate was not material during the nine months ended September 30, 2016. During the remainder of 2016, we expect to make contributions to our defined benefit pension and retiree health benefit plans of approximately $15 million to satisfy minimum funding requirements. Additional discretionary funding for the remainder of 2016 is not expected to be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7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1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for the product in the relevant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Drug Price Competition and Patent Term Restoration Act of 1984 (the Hatch-Waxman Act).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A trial occurred in August 2013; the sole issue before the district court at that time was to determine patent validity. In March 2014, the court ruled that the asserted claims of the vitamin regimen patent are valid. The U.S. District Court for the Southern District of Indiana held a hearing on the issue of infringement in May 2015. In September 2015, the district court ruled that the vitamin regimen patent would be infringed by the generic challengers' proposed products. Teva and APP appealed all of the district court’s substantive decisions. A decision from the U.S. Court of Appeals for the Federal Circuit is expected in late 2016.</w:t>
      </w:r>
    </w:p>
    <w:p>
      <w:pPr>
        <w:spacing w:after="0" w:line="6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From 2012 through 2016, we filed similar lawsuits against other ANDA defendants seeking a ruling that our patents are valid and infringed. Some of these cases have been stayed pending the outcome of the Teva/APP litigation, and several parties have agreed to be bound by the outcome of the Teva/APP litigation; the remaining cases have been administratively closed.</w:t>
      </w:r>
    </w:p>
    <w:p>
      <w:pPr>
        <w:spacing w:after="0" w:line="5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In February 2016, we filed a lawsuit alleging infringement against Dr. Reddy's Laboratories in response to its NDA for a salt form of pemetrexed product diluted in dextrose solution.</w:t>
      </w:r>
    </w:p>
    <w:p>
      <w:pPr>
        <w:spacing w:after="0" w:line="3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 xml:space="preserve">In June 2016, the United States Patent and Trademark Office (USPTO) granted petitions by Neptune Generics, LLC and Sandoz Inc. seeking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of our vitamin regimen patent. The final written IPR decisions are expected in mid-2017. Several additional generic companies have filed petitions, seeking to join in these proceedings.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Generic manufacturers filed an opposition to the European Patent Office's (EPO) decision to grant us a vitamin regimen patent. The Opposition Division of the EPO upheld the patent and the generic manufacturers lodged an appeal. In October 2015 the generic manufacturers withdrew the appeal. As a result, the original EPO decision upholding the patent is now final.</w:t>
      </w:r>
    </w:p>
    <w:p>
      <w:pPr>
        <w:spacing w:after="0" w:line="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in the United Kingdom (U.K.), Actavis Group ehf and other Actavis companies (collectively, Actavis) filed litigation asking for a declaratory judgment that commercialization of certain salt forms of pemetrexed (the active ingredient in Alimta) diluted in saline solution would not infringe the vitamin regimen patents for Alimta in the U.K., Italy, France, and Spain. In May 2014, the trial court ruled that the vitamin regimen patents for Alimta would not be infringed by commercialization of alternative salt forms of pemetrexed, after expiration of the compound patents in December 2015. We appealed, and in June 2015, the U.K. Court of Appeal reversed the trial court's decision granting declarations of non-infringement over the Alimta vitamin regimen patents in those countries, ruling that the Alimta vitamin regimen patent would be indirectly infringed by commercialization of Actavis' products as proposed prior to the patent's expiration in June 2021. In February 2016, the U.K. Supreme Court granted our and Actavis' requests for permission to appeal different aspects of the judgment. A hearing is scheduled for April 2017.</w:t>
      </w:r>
    </w:p>
    <w:p>
      <w:pPr>
        <w:spacing w:after="0" w:line="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parallel proceedings, Actavis returned to the lower court seeking a declaration of non-infringement for a different proposed product diluted in dextrose solution. In February 2016, the trial court ruled that Actavis’ commercialization of this product would not infringe the patent in the U.K., Italy, France, and Spain. We have sought to appeal this ruling.</w:t>
      </w:r>
    </w:p>
    <w:p>
      <w:pPr>
        <w:spacing w:after="0" w:line="5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commenced separate infringement proceedings against certain Actavis companies in Germany. Following a trial, in April 2014, the German trial court ruled in our favor. The defendants appealed, and after a hearing in March 2015, the German Court of Appeal overturned the trial court and ruled that our vitamin regimen patent in Germany would not be infringed by a dipotassium salt form of pemetrexed. In June 2016, the German Federal Supreme Court granted our appeal, vacating the prior decision denying infringement, and returned the case to the Court of Appeal to reconsider infringement based on its judgment.</w:t>
      </w:r>
    </w:p>
    <w:p>
      <w:pPr>
        <w:spacing w:after="0" w:line="67"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In separate proceedings, in May 2016 and June 2016, the German courts confirmed preliminary injunctions against Hexal AG (Hexal), which had stated its intention to launch a generic disodium salt product diluted in saline solution in Germany, and ratiopharm GmbH, a subsidiary of Teva, which had stated its intention to launch a proposed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38" w:right="259" w:bottom="1440" w:gutter="0" w:footer="0" w:header="0"/>
        </w:sectPr>
      </w:pPr>
    </w:p>
    <w:bookmarkStart w:id="25" w:name="page26"/>
    <w:bookmarkEnd w:id="25"/>
    <w:p>
      <w:pPr>
        <w:ind w:right="40"/>
        <w:spacing w:after="0" w:line="271" w:lineRule="auto"/>
        <w:rPr>
          <w:sz w:val="20"/>
          <w:szCs w:val="20"/>
          <w:color w:val="auto"/>
        </w:rPr>
      </w:pPr>
      <w:r>
        <w:rPr>
          <w:rFonts w:ascii="Arial" w:cs="Arial" w:eastAsia="Arial" w:hAnsi="Arial"/>
          <w:sz w:val="18"/>
          <w:szCs w:val="18"/>
          <w:color w:val="auto"/>
        </w:rPr>
        <w:t>alternative salt form of pemetrexed product diluted in dextrose solution. Hexal has separately filed a challenge to the validity of our vitamin regimen patent before the German Federal Patent court. We do not anticipate any generic entry into the German market at least until the Court of Appeal proceedings against Actavis considers the issues remanded by the German Federal Supreme Court or the injunctions are lifted.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are aware that at least two generic pemetrexed products have launched in a major European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Patent Litigation and Administrative Proceedings</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Three separate demands for invalidation of our two vitamin regimen patents, involving several companies, have been filed with the Japanese Patent Office (JPO). In November 2015, the JPO issued written decisions in the invalidation trial initiated by Sawai Pharmaceutical Co., Ltd. (Sawai), which had been joined by three other companies, upholding both vitamin regimen patents. These patents provide intellectual property protection for Alimta until June 2021. Sawai and the other companies have filed appeals. The invalidation trials related to the other demands by Sawai are currently suspended.</w:t>
      </w:r>
    </w:p>
    <w:p>
      <w:pPr>
        <w:spacing w:after="0" w:line="6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Notwithstanding our patents, generic versions of Alimta were approved in Japan in February 2016. To date, each manufacturer of the generic version of Alimta has agreed not to proceed to pricing approval.</w:t>
      </w:r>
    </w:p>
    <w:p>
      <w:pPr>
        <w:spacing w:after="0" w:line="37" w:lineRule="exact"/>
        <w:rPr>
          <w:sz w:val="20"/>
          <w:szCs w:val="20"/>
          <w:color w:val="auto"/>
        </w:rPr>
      </w:pPr>
    </w:p>
    <w:p>
      <w:pPr>
        <w:ind w:right="2240"/>
        <w:spacing w:after="0" w:line="407" w:lineRule="auto"/>
        <w:rPr>
          <w:sz w:val="20"/>
          <w:szCs w:val="20"/>
          <w:color w:val="auto"/>
        </w:rPr>
      </w:pPr>
      <w:r>
        <w:rPr>
          <w:rFonts w:ascii="Arial" w:cs="Arial" w:eastAsia="Arial" w:hAnsi="Arial"/>
          <w:sz w:val="18"/>
          <w:szCs w:val="18"/>
          <w:color w:val="auto"/>
        </w:rPr>
        <w:t xml:space="preserve">We do not anticipate generic competitors to proceed to launch prior to the completion of the Sawai invalidation trial. </w:t>
      </w:r>
      <w:r>
        <w:rPr>
          <w:rFonts w:ascii="Arial" w:cs="Arial" w:eastAsia="Arial" w:hAnsi="Arial"/>
          <w:sz w:val="18"/>
          <w:szCs w:val="18"/>
          <w:b w:val="1"/>
          <w:bCs w:val="1"/>
          <w:color w:val="auto"/>
        </w:rPr>
        <w:t>Effient Patent Litigation and Administrative Proceedings</w:t>
      </w:r>
    </w:p>
    <w:p>
      <w:pPr>
        <w:ind w:right="20"/>
        <w:spacing w:after="0" w:line="258" w:lineRule="auto"/>
        <w:rPr>
          <w:sz w:val="20"/>
          <w:szCs w:val="20"/>
          <w:color w:val="auto"/>
        </w:rPr>
      </w:pPr>
      <w:r>
        <w:rPr>
          <w:rFonts w:ascii="Arial" w:cs="Arial" w:eastAsia="Arial" w:hAnsi="Arial"/>
          <w:sz w:val="18"/>
          <w:szCs w:val="18"/>
          <w:color w:val="auto"/>
        </w:rPr>
        <w:t>We, along with Daiichi Sankyo, Daiichi Sankyo, Inc., and Ube Industries (Ube) are engaged in U.S. patent litigation involving Effient brought pursuant to procedures set out in the Hatch-Waxman Act. More than 10 different companies have submitted ANDAs seeking approval to market generic versions of Effient prior to the expiration of Daiichi Sankyo’s and Ube’s patents (expiring in 2023) covering methods of using Effient with aspirin, and alleging the patents are invalid. One of these ANDAs also alleged that the compound patent for Effient (expiring in April 2017) was invalid. We have entered into a settlement relating to the compound patent litigation and anticipate that a generic version could launch as early as mid-August 2017.</w:t>
      </w:r>
    </w:p>
    <w:p>
      <w:pPr>
        <w:spacing w:after="0" w:line="6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These cases have been consolidated.</w:t>
      </w:r>
    </w:p>
    <w:p>
      <w:pPr>
        <w:spacing w:after="0" w:line="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2015, several generic pharmaceutical companies filed petitions with the USPTO, requesting IPR of the method patents. In September 2016, the USPTO determined that the method-of-use patents are invalid. Daiichi Sankyo and Ube have appealed these decisions to the U.S. Court of Appeals for the Federal Circuit. We expect a final decision in late 2017. The consolidated lawsuit is currently stayed with respect to all parties pending the outcome of this appeal.</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believe the Effient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have been named along with Takeda Chemical Industries, Ltd., and Takeda affiliates (collectively, Takeda) as a defendant in approximately 6,500 product liability cases in the U.S. related to the diabetes medication Actos, which we co-promoted with Takeda in the U.S. from 1999 until 2006. In general, plaintiffs in these actions allege that Actos caused or contributed to their bladder cancer. Almost all of the active cases have been consolidated in federal multi-district litigation (MDL) in the Western District of Louisiana or are pending in a coordinated state court proceeding in California or a coordinated state court proceeding in Illinois.</w:t>
      </w:r>
    </w:p>
    <w:p>
      <w:pPr>
        <w:spacing w:after="0" w:line="6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April 2015, Takeda announced they would pay approximately $2.4 billion to resolve the vast majority of the U.S. product liability lawsuits involving Actos, including the case of </w:t>
      </w:r>
      <w:r>
        <w:rPr>
          <w:rFonts w:ascii="Arial" w:cs="Arial" w:eastAsia="Arial" w:hAnsi="Arial"/>
          <w:sz w:val="18"/>
          <w:szCs w:val="18"/>
          <w:i w:val="1"/>
          <w:iCs w:val="1"/>
          <w:color w:val="auto"/>
        </w:rPr>
        <w:t>Allen, et al. v. Takeda Pharmaceuticals, et al.,</w:t>
      </w:r>
      <w:r>
        <w:rPr>
          <w:rFonts w:ascii="Arial" w:cs="Arial" w:eastAsia="Arial" w:hAnsi="Arial"/>
          <w:sz w:val="18"/>
          <w:szCs w:val="18"/>
          <w:color w:val="auto"/>
        </w:rPr>
        <w:t xml:space="preserve"> no. 6:12-md-00064, in which a judgment of approximately $28 million was entered against Takeda and a judgment of approximately $9 million was entered against us. In September 2015, Takeda announced that more than 96 percent of eligible claimants had opted into the resolution program that was announced in April 2015. As a result of the resolution program, the </w:t>
      </w:r>
      <w:r>
        <w:rPr>
          <w:rFonts w:ascii="Arial" w:cs="Arial" w:eastAsia="Arial" w:hAnsi="Arial"/>
          <w:sz w:val="18"/>
          <w:szCs w:val="18"/>
          <w:i w:val="1"/>
          <w:iCs w:val="1"/>
          <w:color w:val="auto"/>
        </w:rPr>
        <w:t>Allen</w:t>
      </w:r>
      <w:r>
        <w:rPr>
          <w:rFonts w:ascii="Arial" w:cs="Arial" w:eastAsia="Arial" w:hAnsi="Arial"/>
          <w:sz w:val="18"/>
          <w:szCs w:val="18"/>
          <w:color w:val="auto"/>
        </w:rPr>
        <w:t xml:space="preserve"> case has been fully resolved. Accordingly, the appeals filed by Allen, Takeda, and us in the U.S. Court of Appeals for the Fifth Circuit have been dismissed with prejudice.</w:t>
      </w:r>
    </w:p>
    <w:p>
      <w:pPr>
        <w:spacing w:after="0" w:line="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Although most U.S. product liability lawsuits involving Actos are included in the resolution program, there may be additional cases pending against Takeda and us following its completion. Our agreement with Takeda calls for Takeda to defend and indemnify us against our losses and expenses with respect to the U.S. litigation arising out 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84" w:right="259" w:bottom="1440" w:gutter="0" w:footer="0" w:header="0"/>
        </w:sectPr>
      </w:pPr>
    </w:p>
    <w:bookmarkStart w:id="26" w:name="page27"/>
    <w:bookmarkEnd w:id="26"/>
    <w:p>
      <w:pPr>
        <w:ind w:right="140"/>
        <w:spacing w:after="0" w:line="271" w:lineRule="auto"/>
        <w:rPr>
          <w:sz w:val="20"/>
          <w:szCs w:val="20"/>
          <w:color w:val="auto"/>
        </w:rPr>
      </w:pPr>
      <w:r>
        <w:rPr>
          <w:rFonts w:ascii="Arial" w:cs="Arial" w:eastAsia="Arial" w:hAnsi="Arial"/>
          <w:sz w:val="18"/>
          <w:szCs w:val="18"/>
          <w:color w:val="auto"/>
        </w:rPr>
        <w:t>the manufacture, use, or sale of Actos and other related expenses in accordance with the terms of the agreement. We believe we are entitled to full indemnification of our losses and expenses in these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55"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We are also named along with Takeda as a defendant in four purported product liability class actions in Canada related to Actos, including two in Ontario (</w:t>
      </w:r>
      <w:r>
        <w:rPr>
          <w:rFonts w:ascii="Arial" w:cs="Arial" w:eastAsia="Arial" w:hAnsi="Arial"/>
          <w:sz w:val="18"/>
          <w:szCs w:val="18"/>
          <w:i w:val="1"/>
          <w:iCs w:val="1"/>
          <w:color w:val="auto"/>
        </w:rPr>
        <w:t>Casseres et al. v. Takeda Pharmaceutical North America, Inc., et al. and Carrier et al. v. Eli Lilly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w:t>
      </w:r>
      <w:r>
        <w:rPr>
          <w:rFonts w:ascii="Arial" w:cs="Arial" w:eastAsia="Arial" w:hAnsi="Arial"/>
          <w:sz w:val="18"/>
          <w:szCs w:val="18"/>
          <w:color w:val="auto"/>
        </w:rPr>
        <w:t xml:space="preserve"> </w:t>
      </w:r>
      <w:r>
        <w:rPr>
          <w:rFonts w:ascii="Arial" w:cs="Arial" w:eastAsia="Arial" w:hAnsi="Arial"/>
          <w:sz w:val="18"/>
          <w:szCs w:val="18"/>
          <w:i w:val="1"/>
          <w:iCs w:val="1"/>
          <w:color w:val="auto"/>
        </w:rPr>
        <w:t>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Byetta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named as a defendant in approximately 510 Byetta product liability lawsuits in the U.S. involving approximately 860 plaintiffs. Approximately 85 of these lawsuits, covering about 435 plaintiffs, are filed in California state court and coordinated in a Los Angeles Superior Court. Approximately 420 lawsuits, covering about 425 plaintiffs, are filed in federal court, the majority of which are coordinated in an MDL in the U.S. District Court for the Southern District of California. The remaining approximately five lawsuits, representing about five plaintiffs, are in various state courts. Approximately 470 of the lawsuits, involving approximately 710 plaintiffs, contain allegations that Byetta caused or contributed to the plaintiffs' cancer (primarily pancreatic cancer or thyroid cancer); most others allege Byetta caused or contributed to pancreatitis. The federal and state trial courts granted summary judgment in favor of us and co-defendants on the claims alleging pancreatic cancer; those rulings are being appealed by the plaintiffs. We are aware of approximately 10 additional claimants who have not yet filed suit. These additional claims allege damages for pancreatic cancer or thyroid cancer. We believe these lawsuits and claims are without merit and are prepared to defend against them vigorously.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October 2012, we were named as a defendant in a purported class-action lawsuit in the U.S. District Court for the Central District of California (</w:t>
      </w:r>
      <w:r>
        <w:rPr>
          <w:rFonts w:ascii="Arial" w:cs="Arial" w:eastAsia="Arial" w:hAnsi="Arial"/>
          <w:sz w:val="18"/>
          <w:szCs w:val="18"/>
          <w:i w:val="1"/>
          <w:iCs w:val="1"/>
          <w:color w:val="auto"/>
        </w:rPr>
        <w:t>Saavedra et al v. Eli Lilly and Company</w:t>
      </w:r>
      <w:r>
        <w:rPr>
          <w:rFonts w:ascii="Arial" w:cs="Arial" w:eastAsia="Arial" w:hAnsi="Arial"/>
          <w:sz w:val="18"/>
          <w:szCs w:val="18"/>
          <w:color w:val="auto"/>
        </w:rPr>
        <w:t>) involving Cymbalta. The plaintiffs, purporting to represent a class of all persons within the U.S. who 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 and plaintiffs are appealing to the U.S. Court of Appeals for the Ninth Circuit. Oral argument is expected in late 2017.</w:t>
      </w:r>
    </w:p>
    <w:p>
      <w:pPr>
        <w:spacing w:after="0" w:line="7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have been named in approximately 140 lawsuits involving approximately 1,470 plaintiffs filed in various federal and state courts alleging injuries arising from discontinuation of treatment with Cymbalta. Counsel for plaintiffs in the federal court proceedings filed a petition seeking to have then -filed cases and an unspecified number of future cases coordinated into a federal MDL in the U.S. District Court for the Central District of California. In December 2014, the Judicial Panel on Multidistrict Litigation (JPML) denied the plaintiffs' petition for creation of an MDL. Plaintiffs’ counsel subsequently filed a second petition seeking MDL consolidation, which petition was denied by the JPML in October 2015.</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Additionally, there have been approximately 40 individual and multi-plaintiff cases filed in California state court. Most of those cases have been centralized in a California Judicial Counsel Coordination Proceeding pending in Los Angeles. The first individual product liability cases were tried in August 2015 and resulted in defense verdicts against four plaintiffs.</w:t>
      </w:r>
    </w:p>
    <w:p>
      <w:pPr>
        <w:spacing w:after="0" w:line="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have reached a settlement framework which provides for a comprehensive resolution of nearly all of these personal injury claims, filed or unfiled, alleging injuries from discontinuing treatment with Cymbalta. There can be no assurances, however, that a final settlement will be reached.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believe these lawsuits and claims are without merit and are prepared to defend against them vigorously.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84"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Prozac</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39"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We are aware of approximately 200 claims related to allegations that the antidepressant Prozac caused or contributed to birth defects in the children of women who ingested the drug during pregnancy. These claims have not yet been filed. We believe these claims are without merit and are prepared to defend against them vigorously.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We cannot currently estimate the range of reasonably possible financial losses that could arise if we do not ultimately prevail in the litigation. The judge has estimated the total financial impact of the ruling to be approximately 1.0 billion Brazilian real (approximately $310 million as of September 30, 2016) plus interest. We strongly disagree with the decision and filed an appeal in May 2014.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approximately 30 lawsuits filed in labor courts by individual former employees making similar claims.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are prepared to defend against them vigorously.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1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11:</w:t>
        <w:tab/>
        <w:t>Other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5"/>
              </w:rPr>
              <w:t>Foreign Currency</w:t>
            </w: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620" w:type="dxa"/>
            <w:vAlign w:val="bottom"/>
            <w:gridSpan w:val="2"/>
            <w:vMerge w:val="restart"/>
          </w:tcPr>
          <w:p>
            <w:pPr>
              <w:jc w:val="right"/>
              <w:ind w:right="50"/>
              <w:spacing w:after="0"/>
              <w:rPr>
                <w:sz w:val="20"/>
                <w:szCs w:val="20"/>
                <w:color w:val="auto"/>
              </w:rPr>
            </w:pPr>
            <w:r>
              <w:rPr>
                <w:rFonts w:ascii="Arial" w:cs="Arial" w:eastAsia="Arial" w:hAnsi="Arial"/>
                <w:sz w:val="13"/>
                <w:szCs w:val="13"/>
                <w:b w:val="1"/>
                <w:bCs w:val="1"/>
                <w:color w:val="auto"/>
              </w:rPr>
              <w:t>Unrealized Net Gains</w:t>
            </w: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(1,273.0)</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(2,919.1)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(215.9)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(4,371.2)</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before</w:t>
            </w:r>
          </w:p>
        </w:tc>
        <w:tc>
          <w:tcPr>
            <w:tcW w:w="16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3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48.9</w:t>
            </w:r>
          </w:p>
        </w:tc>
        <w:tc>
          <w:tcPr>
            <w:tcW w:w="26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18.7</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73.4</w:t>
            </w: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7"/>
                <w:szCs w:val="17"/>
                <w:color w:val="auto"/>
              </w:rPr>
            </w:pPr>
          </w:p>
        </w:tc>
        <w:tc>
          <w:tcPr>
            <w:tcW w:w="126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(0.4)</w:t>
            </w:r>
          </w:p>
        </w:tc>
        <w:tc>
          <w:tcPr>
            <w:tcW w:w="260" w:type="dxa"/>
            <w:vAlign w:val="bottom"/>
          </w:tcPr>
          <w:p>
            <w:pPr>
              <w:spacing w:after="0"/>
              <w:rPr>
                <w:sz w:val="17"/>
                <w:szCs w:val="17"/>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38.0</w:t>
            </w:r>
          </w:p>
        </w:tc>
        <w:tc>
          <w:tcPr>
            <w:tcW w:w="200" w:type="dxa"/>
            <w:vAlign w:val="bottom"/>
          </w:tcPr>
          <w:p>
            <w:pPr>
              <w:spacing w:after="0"/>
              <w:rPr>
                <w:sz w:val="17"/>
                <w:szCs w:val="17"/>
                <w:color w:val="auto"/>
              </w:rPr>
            </w:pPr>
          </w:p>
        </w:tc>
        <w:tc>
          <w:tcPr>
            <w:tcW w:w="1300" w:type="dxa"/>
            <w:vAlign w:val="bottom"/>
            <w:vMerge w:val="restart"/>
          </w:tcPr>
          <w:p>
            <w:pPr>
              <w:jc w:val="right"/>
              <w:ind w:right="138"/>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7"/>
                <w:szCs w:val="17"/>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40.1</w:t>
            </w:r>
          </w:p>
        </w:tc>
        <w:tc>
          <w:tcPr>
            <w:tcW w:w="0" w:type="dxa"/>
            <w:vAlign w:val="bottom"/>
          </w:tcPr>
          <w:p>
            <w:pPr>
              <w:spacing w:after="0"/>
              <w:rPr>
                <w:sz w:val="1"/>
                <w:szCs w:val="1"/>
                <w:color w:val="auto"/>
              </w:rPr>
            </w:pPr>
          </w:p>
        </w:tc>
      </w:tr>
      <w:tr>
        <w:trPr>
          <w:trHeight w:val="252"/>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48.5</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56.7</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113.5</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(1,267.2)</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85.3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(2,862.4)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(213.4)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(4,257.7)</w:t>
            </w:r>
          </w:p>
        </w:tc>
        <w:tc>
          <w:tcPr>
            <w:tcW w:w="0" w:type="dxa"/>
            <w:vAlign w:val="bottom"/>
          </w:tcPr>
          <w:p>
            <w:pPr>
              <w:spacing w:after="0"/>
              <w:rPr>
                <w:sz w:val="1"/>
                <w:szCs w:val="1"/>
                <w:color w:val="auto"/>
              </w:rPr>
            </w:pPr>
          </w:p>
        </w:tc>
      </w:tr>
      <w:tr>
        <w:trPr>
          <w:trHeight w:val="381"/>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5"/>
              </w:rPr>
              <w:t>Foreign Currency</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620" w:type="dxa"/>
            <w:vAlign w:val="bottom"/>
            <w:gridSpan w:val="2"/>
            <w:vMerge w:val="restart"/>
          </w:tcPr>
          <w:p>
            <w:pPr>
              <w:jc w:val="right"/>
              <w:ind w:right="50"/>
              <w:spacing w:after="0"/>
              <w:rPr>
                <w:sz w:val="20"/>
                <w:szCs w:val="20"/>
                <w:color w:val="auto"/>
              </w:rPr>
            </w:pPr>
            <w:r>
              <w:rPr>
                <w:rFonts w:ascii="Arial" w:cs="Arial" w:eastAsia="Arial" w:hAnsi="Arial"/>
                <w:sz w:val="13"/>
                <w:szCs w:val="13"/>
                <w:b w:val="1"/>
                <w:bCs w:val="1"/>
                <w:color w:val="auto"/>
              </w:rPr>
              <w:t>Unrealized Net Gains</w:t>
            </w: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(1,037.6)</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(3,263.3)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(223.3)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(4,403.2)</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(226.7)</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(94.3)</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54.8</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68"/>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(226.7)</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(110.5)</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(1,264.3)</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(3,192.3)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(220.9)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(4,667.0)</w:t>
            </w:r>
          </w:p>
        </w:tc>
        <w:tc>
          <w:tcPr>
            <w:tcW w:w="0" w:type="dxa"/>
            <w:vAlign w:val="bottom"/>
          </w:tcPr>
          <w:p>
            <w:pPr>
              <w:spacing w:after="0"/>
              <w:rPr>
                <w:sz w:val="1"/>
                <w:szCs w:val="1"/>
                <w:color w:val="auto"/>
              </w:rPr>
            </w:pPr>
          </w:p>
        </w:tc>
      </w:tr>
      <w:tr>
        <w:trPr>
          <w:trHeight w:val="46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91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restart"/>
          </w:tcPr>
          <w:p>
            <w:pPr>
              <w:jc w:val="center"/>
              <w:ind w:right="20"/>
              <w:spacing w:after="0"/>
              <w:rPr>
                <w:sz w:val="20"/>
                <w:szCs w:val="20"/>
                <w:color w:val="auto"/>
              </w:rPr>
            </w:pPr>
            <w:r>
              <w:rPr>
                <w:rFonts w:ascii="Arial" w:cs="Arial" w:eastAsia="Arial" w:hAnsi="Arial"/>
                <w:sz w:val="13"/>
                <w:szCs w:val="13"/>
                <w:b w:val="1"/>
                <w:bCs w:val="1"/>
                <w:color w:val="auto"/>
                <w:w w:val="95"/>
              </w:rPr>
              <w:t>Foreign Currency</w:t>
            </w:r>
          </w:p>
        </w:tc>
        <w:tc>
          <w:tcPr>
            <w:tcW w:w="1560" w:type="dxa"/>
            <w:vAlign w:val="bottom"/>
            <w:gridSpan w:val="2"/>
            <w:vMerge w:val="restart"/>
          </w:tcPr>
          <w:p>
            <w:pPr>
              <w:jc w:val="center"/>
              <w:ind w:left="22"/>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3"/>
                <w:szCs w:val="13"/>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Defined Benefit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15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60" w:type="dxa"/>
            <w:vAlign w:val="bottom"/>
          </w:tcPr>
          <w:p>
            <w:pPr>
              <w:spacing w:after="0"/>
              <w:rPr>
                <w:sz w:val="11"/>
                <w:szCs w:val="11"/>
                <w:color w:val="auto"/>
              </w:rPr>
            </w:pPr>
          </w:p>
        </w:tc>
        <w:tc>
          <w:tcPr>
            <w:tcW w:w="1200" w:type="dxa"/>
            <w:vAlign w:val="bottom"/>
          </w:tcPr>
          <w:p>
            <w:pPr>
              <w:jc w:val="center"/>
              <w:ind w:right="194"/>
              <w:spacing w:after="0" w:line="135" w:lineRule="exact"/>
              <w:rPr>
                <w:sz w:val="20"/>
                <w:szCs w:val="20"/>
                <w:color w:val="auto"/>
              </w:rPr>
            </w:pPr>
            <w:r>
              <w:rPr>
                <w:rFonts w:ascii="Arial" w:cs="Arial" w:eastAsia="Arial" w:hAnsi="Arial"/>
                <w:sz w:val="13"/>
                <w:szCs w:val="13"/>
                <w:b w:val="1"/>
                <w:bCs w:val="1"/>
                <w:color w:val="auto"/>
                <w:w w:val="97"/>
              </w:rPr>
              <w:t>(Losses)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8"/>
              </w:rPr>
              <w:t>Gains (Losses)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3"/>
                <w:szCs w:val="13"/>
                <w:b w:val="1"/>
                <w:bCs w:val="1"/>
                <w:color w:val="auto"/>
                <w:w w:val="97"/>
              </w:rPr>
              <w:t>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(1,360.2)</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10.1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(3,012.1)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(218.5)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(4,580.7)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18.5</w:t>
            </w: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61.9</w:t>
            </w:r>
          </w:p>
        </w:tc>
        <w:tc>
          <w:tcPr>
            <w:tcW w:w="26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39.2</w:t>
            </w: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117.4</w:t>
            </w: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auto"/>
              </w:rPr>
              <w:t>74.5</w:t>
            </w:r>
          </w:p>
        </w:tc>
        <w:tc>
          <w:tcPr>
            <w:tcW w:w="360" w:type="dxa"/>
            <w:vAlign w:val="bottom"/>
          </w:tcPr>
          <w:p>
            <w:pPr>
              <w:spacing w:after="0"/>
              <w:rPr>
                <w:sz w:val="17"/>
                <w:szCs w:val="17"/>
                <w:color w:val="auto"/>
              </w:rPr>
            </w:pPr>
          </w:p>
        </w:tc>
        <w:tc>
          <w:tcPr>
            <w:tcW w:w="120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13.3</w:t>
            </w:r>
          </w:p>
        </w:tc>
        <w:tc>
          <w:tcPr>
            <w:tcW w:w="260" w:type="dxa"/>
            <w:vAlign w:val="bottom"/>
          </w:tcPr>
          <w:p>
            <w:pPr>
              <w:spacing w:after="0"/>
              <w:rPr>
                <w:sz w:val="17"/>
                <w:szCs w:val="17"/>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110.5</w:t>
            </w:r>
          </w:p>
        </w:tc>
        <w:tc>
          <w:tcPr>
            <w:tcW w:w="220" w:type="dxa"/>
            <w:vAlign w:val="bottom"/>
          </w:tcPr>
          <w:p>
            <w:pPr>
              <w:spacing w:after="0"/>
              <w:rPr>
                <w:sz w:val="17"/>
                <w:szCs w:val="17"/>
                <w:color w:val="auto"/>
              </w:rPr>
            </w:pPr>
          </w:p>
        </w:tc>
        <w:tc>
          <w:tcPr>
            <w:tcW w:w="13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7.3</w:t>
            </w:r>
          </w:p>
        </w:tc>
        <w:tc>
          <w:tcPr>
            <w:tcW w:w="240" w:type="dxa"/>
            <w:vAlign w:val="bottom"/>
          </w:tcPr>
          <w:p>
            <w:pPr>
              <w:spacing w:after="0"/>
              <w:rPr>
                <w:sz w:val="17"/>
                <w:szCs w:val="17"/>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205.6</w:t>
            </w:r>
          </w:p>
        </w:tc>
        <w:tc>
          <w:tcPr>
            <w:tcW w:w="0" w:type="dxa"/>
            <w:vAlign w:val="bottom"/>
          </w:tcPr>
          <w:p>
            <w:pPr>
              <w:spacing w:after="0"/>
              <w:rPr>
                <w:sz w:val="1"/>
                <w:szCs w:val="1"/>
                <w:color w:val="auto"/>
              </w:rPr>
            </w:pPr>
          </w:p>
        </w:tc>
      </w:tr>
      <w:tr>
        <w:trPr>
          <w:trHeight w:val="252"/>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93.0</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75.2</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149.7</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5.1</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323.0</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(1,267.2)</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85.3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(2,862.4)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(213.4)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(4,257.7)</w:t>
            </w:r>
          </w:p>
        </w:tc>
        <w:tc>
          <w:tcPr>
            <w:tcW w:w="0" w:type="dxa"/>
            <w:vAlign w:val="bottom"/>
          </w:tcPr>
          <w:p>
            <w:pPr>
              <w:spacing w:after="0"/>
              <w:rPr>
                <w:sz w:val="1"/>
                <w:szCs w:val="1"/>
                <w:color w:val="auto"/>
              </w:rPr>
            </w:pPr>
          </w:p>
        </w:tc>
      </w:tr>
      <w:tr>
        <w:trPr>
          <w:trHeight w:val="381"/>
        </w:trPr>
        <w:tc>
          <w:tcPr>
            <w:tcW w:w="37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vMerge w:val="restart"/>
          </w:tcPr>
          <w:p>
            <w:pPr>
              <w:jc w:val="center"/>
              <w:ind w:right="120"/>
              <w:spacing w:after="0"/>
              <w:rPr>
                <w:sz w:val="20"/>
                <w:szCs w:val="20"/>
                <w:color w:val="auto"/>
              </w:rPr>
            </w:pPr>
            <w:r>
              <w:rPr>
                <w:rFonts w:ascii="Arial" w:cs="Arial" w:eastAsia="Arial" w:hAnsi="Arial"/>
                <w:sz w:val="13"/>
                <w:szCs w:val="13"/>
                <w:b w:val="1"/>
                <w:bCs w:val="1"/>
                <w:color w:val="auto"/>
                <w:w w:val="97"/>
              </w:rPr>
              <w:t>Foreign Currency</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56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6"/>
              </w:rPr>
              <w:t>Gains (Losses)</w:t>
            </w:r>
          </w:p>
        </w:tc>
        <w:tc>
          <w:tcPr>
            <w:tcW w:w="156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3"/>
                <w:szCs w:val="13"/>
                <w:b w:val="1"/>
                <w:bCs w:val="1"/>
                <w:color w:val="auto"/>
                <w:w w:val="98"/>
              </w:rPr>
              <w:t>(Losses) 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c>
          <w:tcPr>
            <w:tcW w:w="3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(3,402.0)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(765.9)</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(132.1)</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162.9</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68"/>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(765.9)</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(89.2)</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209.7</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gridSpan w:val="2"/>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(1,264.3)</w:t>
            </w:r>
          </w:p>
        </w:tc>
        <w:tc>
          <w:tcPr>
            <w:tcW w:w="3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(3,192.3)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(220.9)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(4,667.0)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18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5"/>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 (losses)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14.4</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16.1</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69"/>
        </w:trPr>
        <w:tc>
          <w:tcPr>
            <w:tcW w:w="6360" w:type="dxa"/>
            <w:vAlign w:val="bottom"/>
          </w:tcPr>
          <w:p>
            <w:pPr>
              <w:ind w:left="40"/>
              <w:spacing w:after="0"/>
              <w:rPr>
                <w:sz w:val="20"/>
                <w:szCs w:val="20"/>
                <w:color w:val="auto"/>
              </w:rPr>
            </w:pPr>
            <w:r>
              <w:rPr>
                <w:rFonts w:ascii="Arial" w:cs="Arial" w:eastAsia="Arial" w:hAnsi="Arial"/>
                <w:sz w:val="18"/>
                <w:szCs w:val="18"/>
                <w:color w:val="auto"/>
              </w:rPr>
              <w:t>Unrealized net losses on securities</w:t>
            </w:r>
          </w:p>
        </w:tc>
        <w:tc>
          <w:tcPr>
            <w:tcW w:w="260" w:type="dxa"/>
            <w:vAlign w:val="bottom"/>
          </w:tcPr>
          <w:p>
            <w:pPr>
              <w:spacing w:after="0"/>
              <w:rPr>
                <w:sz w:val="23"/>
                <w:szCs w:val="23"/>
                <w:color w:val="auto"/>
              </w:rPr>
            </w:pPr>
          </w:p>
        </w:tc>
        <w:tc>
          <w:tcPr>
            <w:tcW w:w="880" w:type="dxa"/>
            <w:vAlign w:val="bottom"/>
          </w:tcPr>
          <w:p>
            <w:pPr>
              <w:jc w:val="right"/>
              <w:ind w:right="117"/>
              <w:spacing w:after="0"/>
              <w:rPr>
                <w:sz w:val="20"/>
                <w:szCs w:val="20"/>
                <w:color w:val="auto"/>
              </w:rPr>
            </w:pPr>
            <w:r>
              <w:rPr>
                <w:rFonts w:ascii="Arial" w:cs="Arial" w:eastAsia="Arial" w:hAnsi="Arial"/>
                <w:sz w:val="18"/>
                <w:szCs w:val="18"/>
                <w:b w:val="1"/>
                <w:bCs w:val="1"/>
                <w:color w:val="auto"/>
              </w:rPr>
              <w:t>(26.1)</w:t>
            </w:r>
          </w:p>
        </w:tc>
        <w:tc>
          <w:tcPr>
            <w:tcW w:w="42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(59.6)</w:t>
            </w:r>
          </w:p>
        </w:tc>
        <w:tc>
          <w:tcPr>
            <w:tcW w:w="440" w:type="dxa"/>
            <w:vAlign w:val="bottom"/>
          </w:tcPr>
          <w:p>
            <w:pPr>
              <w:spacing w:after="0"/>
              <w:rPr>
                <w:sz w:val="23"/>
                <w:szCs w:val="23"/>
                <w:color w:val="auto"/>
              </w:rPr>
            </w:pPr>
          </w:p>
        </w:tc>
        <w:tc>
          <w:tcPr>
            <w:tcW w:w="880" w:type="dxa"/>
            <w:vAlign w:val="bottom"/>
          </w:tcPr>
          <w:p>
            <w:pPr>
              <w:jc w:val="right"/>
              <w:ind w:right="117"/>
              <w:spacing w:after="0"/>
              <w:rPr>
                <w:sz w:val="20"/>
                <w:szCs w:val="20"/>
                <w:color w:val="auto"/>
              </w:rPr>
            </w:pPr>
            <w:r>
              <w:rPr>
                <w:rFonts w:ascii="Arial" w:cs="Arial" w:eastAsia="Arial" w:hAnsi="Arial"/>
                <w:sz w:val="18"/>
                <w:szCs w:val="18"/>
                <w:b w:val="1"/>
                <w:bCs w:val="1"/>
                <w:color w:val="auto"/>
              </w:rPr>
              <w:t>(40.5)</w:t>
            </w:r>
          </w:p>
        </w:tc>
        <w:tc>
          <w:tcPr>
            <w:tcW w:w="44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1"/>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(9.5)</w:t>
            </w: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31.1</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(57.0)</w:t>
            </w: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69"/>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(1.3)</w:t>
            </w: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(2.7)</w:t>
            </w: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7"/>
        </w:trPr>
        <w:tc>
          <w:tcPr>
            <w:tcW w:w="6360" w:type="dxa"/>
            <w:vAlign w:val="bottom"/>
            <w:shd w:val="clear" w:color="auto" w:fill="CCEEFF"/>
          </w:tcPr>
          <w:p>
            <w:pPr>
              <w:ind w:left="40"/>
              <w:spacing w:after="0" w:line="188" w:lineRule="exact"/>
              <w:rPr>
                <w:sz w:val="20"/>
                <w:szCs w:val="20"/>
                <w:color w:val="auto"/>
              </w:rPr>
            </w:pPr>
            <w:r>
              <w:rPr>
                <w:rFonts w:ascii="Arial" w:cs="Arial" w:eastAsia="Arial" w:hAnsi="Arial"/>
                <w:sz w:val="18"/>
                <w:szCs w:val="18"/>
                <w:color w:val="auto"/>
              </w:rPr>
              <w:t>Provision for income taxes allocated to other comprehensive income (loss)</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(22.5)</w:t>
            </w:r>
          </w:p>
        </w:tc>
        <w:tc>
          <w:tcPr>
            <w:tcW w:w="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(33.1)</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(84.1)</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6"/>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87"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Reclassifications Out of Accumulated Other</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14605</wp:posOffset>
            </wp:positionV>
            <wp:extent cx="2538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Nine Months Ended</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980" w:type="dxa"/>
            <w:vAlign w:val="bottom"/>
            <w:gridSpan w:val="2"/>
          </w:tcPr>
          <w:p>
            <w:pPr>
              <w:ind w:left="520"/>
              <w:spacing w:after="0"/>
              <w:rPr>
                <w:sz w:val="20"/>
                <w:szCs w:val="20"/>
                <w:color w:val="auto"/>
              </w:rPr>
            </w:pPr>
            <w:r>
              <w:rPr>
                <w:rFonts w:ascii="Arial" w:cs="Arial" w:eastAsia="Arial" w:hAnsi="Arial"/>
                <w:sz w:val="14"/>
                <w:szCs w:val="14"/>
                <w:b w:val="1"/>
                <w:bCs w:val="1"/>
                <w:color w:val="auto"/>
              </w:rPr>
              <w:t>September 30,</w:t>
            </w:r>
          </w:p>
        </w:tc>
        <w:tc>
          <w:tcPr>
            <w:tcW w:w="30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9"/>
        </w:trPr>
        <w:tc>
          <w:tcPr>
            <w:tcW w:w="3920" w:type="dxa"/>
            <w:vAlign w:val="bottom"/>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3920" w:type="dxa"/>
            <w:vAlign w:val="bottom"/>
            <w:vMerge w:val="continue"/>
          </w:tcPr>
          <w:p>
            <w:pPr>
              <w:spacing w:after="0"/>
              <w:rPr>
                <w:sz w:val="5"/>
                <w:szCs w:val="5"/>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2016</w:t>
            </w:r>
          </w:p>
        </w:tc>
        <w:tc>
          <w:tcPr>
            <w:tcW w:w="9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920" w:type="dxa"/>
            <w:vAlign w:val="bottom"/>
          </w:tcPr>
          <w:p>
            <w:pPr>
              <w:jc w:val="center"/>
              <w:ind w:right="88"/>
              <w:spacing w:after="0"/>
              <w:rPr>
                <w:sz w:val="20"/>
                <w:szCs w:val="20"/>
                <w:color w:val="auto"/>
              </w:rPr>
            </w:pPr>
            <w:r>
              <w:rPr>
                <w:rFonts w:ascii="Arial" w:cs="Arial" w:eastAsia="Arial" w:hAnsi="Arial"/>
                <w:sz w:val="14"/>
                <w:szCs w:val="14"/>
                <w:b w:val="1"/>
                <w:bCs w:val="1"/>
                <w:color w:val="auto"/>
              </w:rPr>
              <w:t>Components</w:t>
            </w:r>
          </w:p>
        </w:tc>
        <w:tc>
          <w:tcPr>
            <w:tcW w:w="9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3000" w:type="dxa"/>
            <w:vAlign w:val="bottom"/>
          </w:tcPr>
          <w:p>
            <w:pPr>
              <w:jc w:val="center"/>
              <w:ind w:left="328"/>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wp:posOffset>
            </wp:positionV>
            <wp:extent cx="721233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3960" w:type="dxa"/>
            <w:vAlign w:val="bottom"/>
            <w:vMerge w:val="restart"/>
          </w:tcPr>
          <w:p>
            <w:pPr>
              <w:ind w:left="200"/>
              <w:spacing w:after="0"/>
              <w:rPr>
                <w:sz w:val="20"/>
                <w:szCs w:val="20"/>
                <w:color w:val="auto"/>
              </w:rPr>
            </w:pPr>
            <w:r>
              <w:rPr>
                <w:rFonts w:ascii="Arial" w:cs="Arial" w:eastAsia="Arial" w:hAnsi="Arial"/>
                <w:sz w:val="18"/>
                <w:szCs w:val="18"/>
                <w:color w:val="auto"/>
              </w:rPr>
              <w:t>Prior service benefits, net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(18.6)</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(55.7)</w:t>
            </w: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(57.2)</w:t>
            </w:r>
          </w:p>
        </w:tc>
        <w:tc>
          <w:tcPr>
            <w:tcW w:w="3400" w:type="dxa"/>
            <w:vAlign w:val="bottom"/>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0"/>
        </w:trPr>
        <w:tc>
          <w:tcPr>
            <w:tcW w:w="39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9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Actuarial losses, net</w:t>
            </w:r>
          </w:p>
        </w:tc>
        <w:tc>
          <w:tcPr>
            <w:tcW w:w="2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76.2</w:t>
            </w:r>
          </w:p>
        </w:tc>
        <w:tc>
          <w:tcPr>
            <w:tcW w:w="2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228.9</w:t>
            </w:r>
          </w:p>
        </w:tc>
        <w:tc>
          <w:tcPr>
            <w:tcW w:w="2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303.1</w:t>
            </w:r>
          </w:p>
        </w:tc>
        <w:tc>
          <w:tcPr>
            <w:tcW w:w="34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0"/>
        </w:trPr>
        <w:tc>
          <w:tcPr>
            <w:tcW w:w="3960" w:type="dxa"/>
            <w:vAlign w:val="bottom"/>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vMerge w:val="continue"/>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3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960" w:type="dxa"/>
            <w:vAlign w:val="bottom"/>
          </w:tcPr>
          <w:p>
            <w:pPr>
              <w:jc w:val="right"/>
              <w:ind w:right="50"/>
              <w:spacing w:after="0"/>
              <w:rPr>
                <w:sz w:val="20"/>
                <w:szCs w:val="20"/>
                <w:color w:val="auto"/>
              </w:rPr>
            </w:pPr>
            <w:r>
              <w:rPr>
                <w:rFonts w:ascii="Arial" w:cs="Arial" w:eastAsia="Arial" w:hAnsi="Arial"/>
                <w:sz w:val="18"/>
                <w:szCs w:val="18"/>
                <w:color w:val="auto"/>
              </w:rPr>
              <w:t>Total before tax</w:t>
            </w:r>
          </w:p>
        </w:tc>
        <w:tc>
          <w:tcPr>
            <w:tcW w:w="26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57.6</w:t>
            </w:r>
          </w:p>
        </w:tc>
        <w:tc>
          <w:tcPr>
            <w:tcW w:w="280" w:type="dxa"/>
            <w:vAlign w:val="bottom"/>
          </w:tcPr>
          <w:p>
            <w:pPr>
              <w:spacing w:after="0"/>
              <w:rPr>
                <w:sz w:val="22"/>
                <w:szCs w:val="22"/>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22"/>
                <w:szCs w:val="22"/>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173.2</w:t>
            </w:r>
          </w:p>
        </w:tc>
        <w:tc>
          <w:tcPr>
            <w:tcW w:w="28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245.9</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Tax benefit</w:t>
            </w: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w:t>
            </w: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(62.7)</w:t>
            </w:r>
          </w:p>
        </w:tc>
        <w:tc>
          <w:tcPr>
            <w:tcW w:w="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3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960" w:type="dxa"/>
            <w:vAlign w:val="bottom"/>
          </w:tcPr>
          <w:p>
            <w:pPr>
              <w:jc w:val="right"/>
              <w:ind w:right="50"/>
              <w:spacing w:after="0"/>
              <w:rPr>
                <w:sz w:val="20"/>
                <w:szCs w:val="20"/>
                <w:color w:val="auto"/>
              </w:rPr>
            </w:pPr>
            <w:r>
              <w:rPr>
                <w:rFonts w:ascii="Arial" w:cs="Arial" w:eastAsia="Arial" w:hAnsi="Arial"/>
                <w:sz w:val="18"/>
                <w:szCs w:val="18"/>
                <w:color w:val="auto"/>
              </w:rPr>
              <w:t>Net of tax</w:t>
            </w:r>
          </w:p>
        </w:tc>
        <w:tc>
          <w:tcPr>
            <w:tcW w:w="26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38.0</w:t>
            </w:r>
          </w:p>
        </w:tc>
        <w:tc>
          <w:tcPr>
            <w:tcW w:w="280" w:type="dxa"/>
            <w:vAlign w:val="bottom"/>
          </w:tcPr>
          <w:p>
            <w:pPr>
              <w:spacing w:after="0"/>
              <w:rPr>
                <w:sz w:val="22"/>
                <w:szCs w:val="22"/>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54.8</w:t>
            </w:r>
          </w:p>
        </w:tc>
        <w:tc>
          <w:tcPr>
            <w:tcW w:w="320" w:type="dxa"/>
            <w:vAlign w:val="bottom"/>
          </w:tcPr>
          <w:p>
            <w:pPr>
              <w:spacing w:after="0"/>
              <w:rPr>
                <w:sz w:val="22"/>
                <w:szCs w:val="22"/>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110.5</w:t>
            </w:r>
          </w:p>
        </w:tc>
        <w:tc>
          <w:tcPr>
            <w:tcW w:w="28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162.9</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3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rPr>
                <w:sz w:val="20"/>
                <w:szCs w:val="20"/>
                <w:color w:val="auto"/>
              </w:rPr>
            </w:pPr>
            <w:r>
              <w:rPr>
                <w:rFonts w:ascii="Arial" w:cs="Arial" w:eastAsia="Arial" w:hAnsi="Arial"/>
                <w:sz w:val="18"/>
                <w:szCs w:val="18"/>
                <w:color w:val="auto"/>
              </w:rPr>
              <w:t>Unrealized gains/losses on available-for-sale</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gains, net</w:t>
            </w: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Impairment losses</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11.4</w:t>
            </w: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27.3</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3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Total before tax</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20.5</w:t>
            </w: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3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0.2</w:t>
            </w: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50.7</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71.1</w:t>
            </w:r>
          </w:p>
        </w:tc>
        <w:tc>
          <w:tcPr>
            <w:tcW w:w="3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Net of tax</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13.3</w:t>
            </w: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3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net of tax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2.5</w:t>
            </w: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81.8</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c>
          <w:tcPr>
            <w:tcW w:w="3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1"/>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205.6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3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These accumulated other comprehensive loss components are included in the computation of net periodic benefit (income) cost (see Note 9).</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Amount for the nine months ended September 30, 2016 included primarily $74.5 million of foreign currency translation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47.2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133.8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117.0</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(29.1)</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(76.8)</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Venezuela charge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203.9</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Debt extinguishment loss (Note 6)</w:t>
            </w:r>
          </w:p>
        </w:tc>
        <w:tc>
          <w:tcPr>
            <w:tcW w:w="240" w:type="dxa"/>
            <w:vAlign w:val="bottom"/>
          </w:tcPr>
          <w:p>
            <w:pPr>
              <w:spacing w:after="0"/>
              <w:rPr>
                <w:sz w:val="23"/>
                <w:szCs w:val="23"/>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166.7</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(45.3)</w:t>
            </w: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(160.3)</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r>
      <w:tr>
        <w:trPr>
          <w:trHeight w:val="258"/>
        </w:trPr>
        <w:tc>
          <w:tcPr>
            <w:tcW w:w="6940" w:type="dxa"/>
            <w:vAlign w:val="bottom"/>
          </w:tcPr>
          <w:p>
            <w:pPr>
              <w:ind w:left="40"/>
              <w:spacing w:after="0"/>
              <w:rPr>
                <w:sz w:val="20"/>
                <w:szCs w:val="20"/>
                <w:color w:val="auto"/>
              </w:rPr>
            </w:pPr>
            <w:r>
              <w:rPr>
                <w:rFonts w:ascii="Arial" w:cs="Arial" w:eastAsia="Arial" w:hAnsi="Arial"/>
                <w:sz w:val="18"/>
                <w:szCs w:val="18"/>
                <w:color w:val="auto"/>
              </w:rPr>
              <w:t>Other–net, (income)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(27.2)</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100.6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bl>
    <w:p>
      <w:pPr>
        <w:spacing w:after="0" w:line="8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Due to the financial crisis in Venezuela and the significant deterioration of the bolívar, we changed the exchange rate used to translate the assets and liabilities of our subsidiaries in Venezuela which resulted in a first quarter of 2016 charge of $203.9 million. Prior to this change, we used the Supplementary Foreign Currency Administration System (SICAD) rate; however, this official rate was discontinued in the first quarter of 2016. After considering several factors, including the future uncertainty of the Venezuelan economy, published exchange rates, and the limited amount of foreign currency exchanged, we changed to the Divisa Complementaria (DICOM) rate. Other income consisted primarily of net gains on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13: Segment Information</w:t>
      </w:r>
    </w:p>
    <w:p>
      <w:pPr>
        <w:spacing w:after="0" w:line="173"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have two operating segments—human pharmaceutical products and animal health. Our operating segments are distinguished by the ultimate end user of the product—humans or animals. Performance is evaluated based on profit or loss from operations before income taxes.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4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46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65"/>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5"/>
        </w:trPr>
        <w:tc>
          <w:tcPr>
            <w:tcW w:w="46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5"/>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Endocrinology:</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640.8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705.0</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1,949.0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2,043.3</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391.2</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348.9</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1,077.5</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970.4</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322.0</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316.7</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1,010.6</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948.8</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243.6</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588.5</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136.2</w:t>
            </w:r>
          </w:p>
        </w:tc>
      </w:tr>
      <w:tr>
        <w:trPr>
          <w:trHeight w:val="269"/>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Trajenta</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115.4</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330.8</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255.0</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262.8</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249.4</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734.5</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696.9</w:t>
            </w:r>
          </w:p>
        </w:tc>
      </w:tr>
      <w:tr>
        <w:trPr>
          <w:trHeight w:val="264"/>
        </w:trPr>
        <w:tc>
          <w:tcPr>
            <w:tcW w:w="4620" w:type="dxa"/>
            <w:vAlign w:val="bottom"/>
          </w:tcPr>
          <w:p>
            <w:pPr>
              <w:ind w:left="500"/>
              <w:spacing w:after="0"/>
              <w:rPr>
                <w:sz w:val="20"/>
                <w:szCs w:val="20"/>
                <w:color w:val="auto"/>
              </w:rPr>
            </w:pPr>
            <w:r>
              <w:rPr>
                <w:rFonts w:ascii="Arial" w:cs="Arial" w:eastAsia="Arial" w:hAnsi="Arial"/>
                <w:sz w:val="18"/>
                <w:szCs w:val="18"/>
                <w:color w:val="auto"/>
              </w:rPr>
              <w:t>Total Endocrinology</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1,975.8</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1,786.4</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5,690.9</w:t>
            </w: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5,050.6</w:t>
            </w:r>
          </w:p>
        </w:tc>
      </w:tr>
      <w:tr>
        <w:trPr>
          <w:trHeight w:val="122"/>
        </w:trPr>
        <w:tc>
          <w:tcPr>
            <w:tcW w:w="46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65"/>
        </w:trPr>
        <w:tc>
          <w:tcPr>
            <w:tcW w:w="4620" w:type="dxa"/>
            <w:vAlign w:val="bottom"/>
          </w:tcPr>
          <w:p>
            <w:pPr>
              <w:ind w:left="280"/>
              <w:spacing w:after="0"/>
              <w:rPr>
                <w:sz w:val="20"/>
                <w:szCs w:val="20"/>
                <w:color w:val="auto"/>
              </w:rPr>
            </w:pPr>
            <w:r>
              <w:rPr>
                <w:rFonts w:ascii="Arial" w:cs="Arial" w:eastAsia="Arial" w:hAnsi="Arial"/>
                <w:sz w:val="18"/>
                <w:szCs w:val="18"/>
                <w:color w:val="auto"/>
              </w:rPr>
              <w:t>Oncology:</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5"/>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Alimta</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570.4</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628.5</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1,741.7</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1,865.8</w:t>
            </w:r>
          </w:p>
        </w:tc>
      </w:tr>
      <w:tr>
        <w:trPr>
          <w:trHeight w:val="269"/>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184.6</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85.9</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533.3</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308.8</w:t>
            </w:r>
          </w:p>
        </w:tc>
      </w:tr>
      <w:tr>
        <w:trPr>
          <w:trHeight w:val="271"/>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159.0</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111.2</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437.0</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266.4</w:t>
            </w:r>
          </w:p>
        </w:tc>
      </w:tr>
      <w:tr>
        <w:trPr>
          <w:trHeight w:val="269"/>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33.3</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35.7</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100.3</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101.8</w:t>
            </w: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947.3</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861.3</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2,812.3</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2,542.8</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Cardiovascular:</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588.2</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566.1</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1,795.3</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1,672.3</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Effient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127.7</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132.1</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394.3</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382.7</w:t>
            </w:r>
          </w:p>
        </w:tc>
      </w:tr>
      <w:tr>
        <w:trPr>
          <w:trHeight w:val="269"/>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57.6</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61.7</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165.4</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183.3</w:t>
            </w: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Cardiovascular</w:t>
            </w: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773.5</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759.9</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2,355.0</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2,238.3</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Neuroscience:</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 xml:space="preserve">Cymbalta </w:t>
            </w:r>
            <w:r>
              <w:rPr>
                <w:rFonts w:ascii="Arial" w:cs="Arial" w:eastAsia="Arial" w:hAnsi="Arial"/>
                <w:sz w:val="21"/>
                <w:szCs w:val="21"/>
                <w:i w:val="1"/>
                <w:iCs w:val="1"/>
                <w:color w:val="auto"/>
                <w:vertAlign w:val="superscript"/>
              </w:rPr>
              <w:t>(1)</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313.5</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242.9</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748.7</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804.0</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198.8</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196.9</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611.5</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562.4</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148.9</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237.9</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572.3</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711.2</w:t>
            </w:r>
          </w:p>
        </w:tc>
      </w:tr>
      <w:tr>
        <w:trPr>
          <w:trHeight w:val="269"/>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47.3</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137.4</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136.0</w:t>
            </w:r>
          </w:p>
        </w:tc>
      </w:tr>
      <w:tr>
        <w:trPr>
          <w:trHeight w:val="264"/>
        </w:trPr>
        <w:tc>
          <w:tcPr>
            <w:tcW w:w="4620" w:type="dxa"/>
            <w:vAlign w:val="bottom"/>
          </w:tcPr>
          <w:p>
            <w:pPr>
              <w:ind w:left="500"/>
              <w:spacing w:after="0"/>
              <w:rPr>
                <w:sz w:val="20"/>
                <w:szCs w:val="20"/>
                <w:color w:val="auto"/>
              </w:rPr>
            </w:pPr>
            <w:r>
              <w:rPr>
                <w:rFonts w:ascii="Arial" w:cs="Arial" w:eastAsia="Arial" w:hAnsi="Arial"/>
                <w:sz w:val="18"/>
                <w:szCs w:val="18"/>
                <w:color w:val="auto"/>
              </w:rPr>
              <w:t>Total Neuroscience</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708.5</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724.5</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2,069.9</w:t>
            </w: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2,213.6</w:t>
            </w:r>
          </w:p>
        </w:tc>
      </w:tr>
      <w:tr>
        <w:trPr>
          <w:trHeight w:val="122"/>
        </w:trPr>
        <w:tc>
          <w:tcPr>
            <w:tcW w:w="46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69"/>
        </w:trPr>
        <w:tc>
          <w:tcPr>
            <w:tcW w:w="4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80.4</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213.0</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168.5</w:t>
            </w:r>
          </w:p>
        </w:tc>
      </w:tr>
      <w:tr>
        <w:trPr>
          <w:trHeight w:val="264"/>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4,485.5</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4,180.9</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13,141.1</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12,213.8</w:t>
            </w:r>
          </w:p>
        </w:tc>
      </w:tr>
      <w:tr>
        <w:trPr>
          <w:trHeight w:val="269"/>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706.2</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778.8</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2,320.5</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2,369.3</w:t>
            </w:r>
          </w:p>
        </w:tc>
      </w:tr>
      <w:tr>
        <w:trPr>
          <w:trHeight w:val="284"/>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5,191.7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4,959.7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15,461.6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14,583.1</w:t>
            </w:r>
          </w:p>
        </w:tc>
      </w:tr>
      <w:tr>
        <w:trPr>
          <w:trHeight w:val="666"/>
        </w:trPr>
        <w:tc>
          <w:tcPr>
            <w:tcW w:w="46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jc w:val="right"/>
              <w:ind w:right="590"/>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4"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4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6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profits: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9"/>
        </w:trPr>
        <w:tc>
          <w:tcPr>
            <w:tcW w:w="650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1,089.0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1,124.1</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2,975.3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3,224.0</w:t>
            </w: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104.9</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139.8</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464.3</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443.1</w:t>
            </w:r>
          </w:p>
        </w:tc>
      </w:tr>
      <w:tr>
        <w:trPr>
          <w:trHeight w:val="271"/>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segment profits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1,193.9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1,263.9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3,439.6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3,667.1</w:t>
            </w:r>
          </w:p>
        </w:tc>
      </w:tr>
      <w:tr>
        <w:trPr>
          <w:trHeight w:val="122"/>
        </w:trPr>
        <w:tc>
          <w:tcPr>
            <w:tcW w:w="6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profits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1,193.9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1,263.9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3,439.6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3,667.1</w:t>
            </w:r>
          </w:p>
        </w:tc>
      </w:tr>
      <w:tr>
        <w:trPr>
          <w:trHeight w:val="265"/>
        </w:trPr>
        <w:tc>
          <w:tcPr>
            <w:tcW w:w="6500" w:type="dxa"/>
            <w:vAlign w:val="bottom"/>
          </w:tcPr>
          <w:p>
            <w:pPr>
              <w:ind w:left="180"/>
              <w:spacing w:after="0"/>
              <w:rPr>
                <w:sz w:val="20"/>
                <w:szCs w:val="20"/>
                <w:color w:val="auto"/>
              </w:rPr>
            </w:pPr>
            <w:r>
              <w:rPr>
                <w:rFonts w:ascii="Arial" w:cs="Arial" w:eastAsia="Arial" w:hAnsi="Arial"/>
                <w:sz w:val="18"/>
                <w:szCs w:val="18"/>
                <w:color w:val="auto"/>
              </w:rPr>
              <w:t>Other profits (losses):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Acquired in-process research and development (Note 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r>
      <w:tr>
        <w:trPr>
          <w:trHeight w:val="269"/>
        </w:trPr>
        <w:tc>
          <w:tcPr>
            <w:tcW w:w="650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(177.7)</w:t>
            </w:r>
          </w:p>
        </w:tc>
        <w:tc>
          <w:tcPr>
            <w:tcW w:w="3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(152.5)</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(518.8)</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(457.2)</w:t>
            </w:r>
          </w:p>
        </w:tc>
      </w:tr>
      <w:tr>
        <w:trPr>
          <w:trHeight w:val="271"/>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 restructuring, and other special charges (Note 5)</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(45.5)</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(234.9)</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r>
      <w:tr>
        <w:trPr>
          <w:trHeight w:val="269"/>
        </w:trPr>
        <w:tc>
          <w:tcPr>
            <w:tcW w:w="6500" w:type="dxa"/>
            <w:vAlign w:val="bottom"/>
          </w:tcPr>
          <w:p>
            <w:pPr>
              <w:ind w:left="280"/>
              <w:spacing w:after="0"/>
              <w:rPr>
                <w:sz w:val="20"/>
                <w:szCs w:val="20"/>
                <w:color w:val="auto"/>
              </w:rPr>
            </w:pPr>
            <w:r>
              <w:rPr>
                <w:rFonts w:ascii="Arial" w:cs="Arial" w:eastAsia="Arial" w:hAnsi="Arial"/>
                <w:sz w:val="18"/>
                <w:szCs w:val="18"/>
                <w:color w:val="auto"/>
              </w:rPr>
              <w:t>Venezuela charge (Note 12)</w:t>
            </w:r>
          </w:p>
        </w:tc>
        <w:tc>
          <w:tcPr>
            <w:tcW w:w="28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(203.9)</w:t>
            </w:r>
          </w:p>
        </w:tc>
        <w:tc>
          <w:tcPr>
            <w:tcW w:w="3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1"/>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Debt repurchase charges, net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(Note 6)</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69"/>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Inventory fair value adjustment related to Novartis AH (Note 3)</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r>
      <w:tr>
        <w:trPr>
          <w:trHeight w:val="271"/>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income before taxes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970.7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1,047.8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2,482.0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2,345.4</w:t>
            </w:r>
          </w:p>
        </w:tc>
      </w:tr>
    </w:tbl>
    <w:p>
      <w:pPr>
        <w:spacing w:after="0" w:line="95" w:lineRule="exact"/>
        <w:rPr>
          <w:sz w:val="20"/>
          <w:szCs w:val="20"/>
          <w:color w:val="auto"/>
        </w:rPr>
      </w:pPr>
    </w:p>
    <w:p>
      <w:pPr>
        <w:ind w:left="180" w:right="500" w:hanging="172"/>
        <w:spacing w:after="0" w:line="239" w:lineRule="auto"/>
        <w:tabs>
          <w:tab w:leader="none" w:pos="153" w:val="left"/>
        </w:tabs>
        <w:numPr>
          <w:ilvl w:val="0"/>
          <w:numId w:val="9"/>
        </w:numPr>
        <w:rPr>
          <w:rFonts w:ascii="Arial" w:cs="Arial" w:eastAsia="Arial" w:hAnsi="Arial"/>
          <w:sz w:val="17"/>
          <w:szCs w:val="17"/>
          <w:color w:val="auto"/>
          <w:vertAlign w:val="superscript"/>
        </w:rPr>
      </w:pPr>
      <w:r>
        <w:rPr>
          <w:rFonts w:ascii="Arial" w:cs="Arial" w:eastAsia="Arial" w:hAnsi="Arial"/>
          <w:sz w:val="14"/>
          <w:szCs w:val="14"/>
          <w:color w:val="auto"/>
        </w:rPr>
        <w:t>Cymbalta revenues include reductions to the reserve for expected product returns of approximately $145 million and $175 million during the three and nine months ended September 30, 2016</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respectively.</w:t>
      </w:r>
    </w:p>
    <w:p>
      <w:pPr>
        <w:spacing w:after="0" w:line="90" w:lineRule="exact"/>
        <w:rPr>
          <w:rFonts w:ascii="Arial" w:cs="Arial" w:eastAsia="Arial" w:hAnsi="Arial"/>
          <w:sz w:val="17"/>
          <w:szCs w:val="17"/>
          <w:color w:val="auto"/>
          <w:vertAlign w:val="superscript"/>
        </w:rPr>
      </w:pPr>
    </w:p>
    <w:p>
      <w:pPr>
        <w:ind w:left="180" w:right="320" w:hanging="172"/>
        <w:spacing w:after="0"/>
        <w:tabs>
          <w:tab w:leader="none" w:pos="153" w:val="left"/>
        </w:tabs>
        <w:numPr>
          <w:ilvl w:val="0"/>
          <w:numId w:val="9"/>
        </w:numPr>
        <w:rPr>
          <w:rFonts w:ascii="Arial" w:cs="Arial" w:eastAsia="Arial" w:hAnsi="Arial"/>
          <w:sz w:val="17"/>
          <w:szCs w:val="17"/>
          <w:color w:val="auto"/>
          <w:vertAlign w:val="superscript"/>
        </w:rPr>
      </w:pPr>
      <w:r>
        <w:rPr>
          <w:rFonts w:ascii="Arial" w:cs="Arial" w:eastAsia="Arial" w:hAnsi="Arial"/>
          <w:sz w:val="14"/>
          <w:szCs w:val="14"/>
          <w:color w:val="auto"/>
        </w:rPr>
        <w:t>We recognized pretax net charges of $152.7 million for the nine months ended September 30, 2015,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6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On July 27, 2016, we announced that David A. Ricks will assume the role of chief executive officer effective January 1, 2017, replacing John C. Lechleiter, who will retire at the end of 2016. Lechleiter will remain chairman of our board of directors through May 31, 2017, and Ricks will assume the role of chairman effective June 1, 2017.</w:t>
      </w:r>
    </w:p>
    <w:p>
      <w:pPr>
        <w:spacing w:after="0" w:line="55"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The remainder of 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4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Percent Change</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3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5"/>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5,191.7</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4,959.7</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15,461.6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14,583.1</w:t>
            </w:r>
          </w:p>
        </w:tc>
        <w:tc>
          <w:tcPr>
            <w:tcW w:w="13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69"/>
        </w:trPr>
        <w:tc>
          <w:tcPr>
            <w:tcW w:w="3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3"/>
                <w:szCs w:val="23"/>
                <w:color w:val="auto"/>
              </w:rPr>
            </w:pPr>
          </w:p>
        </w:tc>
        <w:tc>
          <w:tcPr>
            <w:tcW w:w="1080" w:type="dxa"/>
            <w:vAlign w:val="bottom"/>
          </w:tcPr>
          <w:p>
            <w:pPr>
              <w:jc w:val="right"/>
              <w:ind w:right="175"/>
              <w:spacing w:after="0"/>
              <w:rPr>
                <w:sz w:val="20"/>
                <w:szCs w:val="20"/>
                <w:color w:val="auto"/>
              </w:rPr>
            </w:pPr>
            <w:r>
              <w:rPr>
                <w:rFonts w:ascii="Arial" w:cs="Arial" w:eastAsia="Arial" w:hAnsi="Arial"/>
                <w:sz w:val="18"/>
                <w:szCs w:val="18"/>
                <w:b w:val="1"/>
                <w:bCs w:val="1"/>
                <w:color w:val="auto"/>
              </w:rPr>
              <w:t>3,790.8</w:t>
            </w:r>
          </w:p>
        </w:tc>
        <w:tc>
          <w:tcPr>
            <w:tcW w:w="520" w:type="dxa"/>
            <w:vAlign w:val="bottom"/>
          </w:tcPr>
          <w:p>
            <w:pPr>
              <w:spacing w:after="0"/>
              <w:rPr>
                <w:sz w:val="23"/>
                <w:szCs w:val="23"/>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3,722.8</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23"/>
                <w:szCs w:val="23"/>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11,272.7</w:t>
            </w:r>
          </w:p>
        </w:tc>
        <w:tc>
          <w:tcPr>
            <w:tcW w:w="34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10,935.1</w:t>
            </w:r>
          </w:p>
        </w:tc>
        <w:tc>
          <w:tcPr>
            <w:tcW w:w="1320" w:type="dxa"/>
            <w:vAlign w:val="bottom"/>
          </w:tcPr>
          <w:p>
            <w:pPr>
              <w:jc w:val="center"/>
              <w:ind w:left="1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1"/>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73.0%</w:t>
            </w: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75"/>
              <w:spacing w:after="0"/>
              <w:rPr>
                <w:sz w:val="20"/>
                <w:szCs w:val="20"/>
                <w:color w:val="auto"/>
              </w:rPr>
            </w:pPr>
            <w:r>
              <w:rPr>
                <w:rFonts w:ascii="Arial" w:cs="Arial" w:eastAsia="Arial" w:hAnsi="Arial"/>
                <w:sz w:val="18"/>
                <w:szCs w:val="18"/>
                <w:b w:val="1"/>
                <w:bCs w:val="1"/>
                <w:color w:val="auto"/>
              </w:rPr>
              <w:t>2,801.8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2,719.1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8,455.2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8,086.8</w:t>
            </w:r>
          </w:p>
        </w:tc>
        <w:tc>
          <w:tcPr>
            <w:tcW w:w="1320" w:type="dxa"/>
            <w:vAlign w:val="bottom"/>
          </w:tcPr>
          <w:p>
            <w:pPr>
              <w:jc w:val="center"/>
              <w:ind w:left="1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w:t>
            </w: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30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336.0</w:t>
            </w:r>
          </w:p>
        </w:tc>
        <w:tc>
          <w:tcPr>
            <w:tcW w:w="13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7"/>
        </w:trPr>
        <w:tc>
          <w:tcPr>
            <w:tcW w:w="3160" w:type="dxa"/>
            <w:vAlign w:val="bottom"/>
          </w:tcPr>
          <w:p>
            <w:pPr>
              <w:ind w:left="40"/>
              <w:spacing w:after="0"/>
              <w:rPr>
                <w:sz w:val="20"/>
                <w:szCs w:val="20"/>
                <w:color w:val="auto"/>
              </w:rPr>
            </w:pPr>
            <w:r>
              <w:rPr>
                <w:rFonts w:ascii="Arial" w:cs="Arial" w:eastAsia="Arial" w:hAnsi="Arial"/>
                <w:sz w:val="18"/>
                <w:szCs w:val="18"/>
                <w:color w:val="auto"/>
              </w:rPr>
              <w:t>Asset impairment, restructuring, and</w:t>
            </w:r>
          </w:p>
        </w:tc>
        <w:tc>
          <w:tcPr>
            <w:tcW w:w="300" w:type="dxa"/>
            <w:vAlign w:val="bottom"/>
          </w:tcPr>
          <w:p>
            <w:pPr>
              <w:spacing w:after="0"/>
              <w:rPr>
                <w:sz w:val="17"/>
                <w:szCs w:val="17"/>
                <w:color w:val="auto"/>
              </w:rPr>
            </w:pPr>
          </w:p>
        </w:tc>
        <w:tc>
          <w:tcPr>
            <w:tcW w:w="108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45.5</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234.9</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60" w:type="dxa"/>
            <w:vAlign w:val="bottom"/>
          </w:tcPr>
          <w:p>
            <w:pPr>
              <w:ind w:left="40"/>
              <w:spacing w:after="0"/>
              <w:rPr>
                <w:sz w:val="20"/>
                <w:szCs w:val="20"/>
                <w:color w:val="auto"/>
              </w:rPr>
            </w:pPr>
            <w:r>
              <w:rPr>
                <w:rFonts w:ascii="Arial" w:cs="Arial" w:eastAsia="Arial" w:hAnsi="Arial"/>
                <w:sz w:val="18"/>
                <w:szCs w:val="18"/>
                <w:color w:val="auto"/>
              </w:rPr>
              <w:t>other special charges</w:t>
            </w: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42.4</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222.8</w:t>
            </w:r>
          </w:p>
        </w:tc>
        <w:tc>
          <w:tcPr>
            <w:tcW w:w="1320" w:type="dxa"/>
            <w:vAlign w:val="bottom"/>
          </w:tcPr>
          <w:p>
            <w:pPr>
              <w:jc w:val="center"/>
              <w:ind w:left="1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1"/>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778.0</w:t>
            </w: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799.7</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1,965.8</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1,930.0</w:t>
            </w:r>
          </w:p>
        </w:tc>
        <w:tc>
          <w:tcPr>
            <w:tcW w:w="13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69"/>
        </w:trPr>
        <w:tc>
          <w:tcPr>
            <w:tcW w:w="31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3"/>
                <w:szCs w:val="23"/>
                <w:color w:val="auto"/>
              </w:rPr>
            </w:pPr>
          </w:p>
        </w:tc>
        <w:tc>
          <w:tcPr>
            <w:tcW w:w="1080" w:type="dxa"/>
            <w:vAlign w:val="bottom"/>
          </w:tcPr>
          <w:p>
            <w:pPr>
              <w:jc w:val="right"/>
              <w:ind w:right="175"/>
              <w:spacing w:after="0"/>
              <w:rPr>
                <w:sz w:val="20"/>
                <w:szCs w:val="20"/>
                <w:color w:val="auto"/>
              </w:rPr>
            </w:pPr>
            <w:r>
              <w:rPr>
                <w:rFonts w:ascii="Arial" w:cs="Arial" w:eastAsia="Arial" w:hAnsi="Arial"/>
                <w:sz w:val="18"/>
                <w:szCs w:val="18"/>
                <w:b w:val="1"/>
                <w:bCs w:val="1"/>
                <w:color w:val="auto"/>
              </w:rPr>
              <w:t>0.73</w:t>
            </w:r>
          </w:p>
        </w:tc>
        <w:tc>
          <w:tcPr>
            <w:tcW w:w="520" w:type="dxa"/>
            <w:vAlign w:val="bottom"/>
          </w:tcPr>
          <w:p>
            <w:pPr>
              <w:spacing w:after="0"/>
              <w:rPr>
                <w:sz w:val="23"/>
                <w:szCs w:val="23"/>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0.75</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3"/>
                <w:szCs w:val="23"/>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1.85</w:t>
            </w:r>
          </w:p>
        </w:tc>
        <w:tc>
          <w:tcPr>
            <w:tcW w:w="34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1.81</w:t>
            </w:r>
          </w:p>
        </w:tc>
        <w:tc>
          <w:tcPr>
            <w:tcW w:w="1320" w:type="dxa"/>
            <w:vAlign w:val="bottom"/>
          </w:tcPr>
          <w:p>
            <w:pPr>
              <w:jc w:val="center"/>
              <w:ind w:left="12"/>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right="4220" w:firstLine="8"/>
        <w:spacing w:after="0" w:line="323" w:lineRule="auto"/>
        <w:tabs>
          <w:tab w:leader="none" w:pos="135"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29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Revenue and gross margin increased for the three and nine months ended September 30, 2016. The increase in operating expense for both periods was due to an increase in research and development expense, partially offset by a decrease in marketing, selling, and administrative expense. The decreases in net income and EPS for the three months ended September 30, 2016 were driven by higher operating expenses and lower other income, partially offset by a higher gross margin and lower income taxes. The increases in net income and EPS for the nine months ended September 30, 2016 were driven by a higher gross margin, lower acquired in-process research and development (IPR&amp;D) charges, and the 2015 charges related to the repurchase of debt, partially offset by higher operating expenses, the impact of the Venezuelan financial crisis, including the significant deterioration of the bolívar, and higher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highlighted items affect comparisons of our financial results for the three and nine months ended September 30, 2016 and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charges of $45.5 million (pretax), or $0.03 per share, and $234.9 million (pretax), or $0.19 per share, for the three and nine months ended September 30, respectively, related to the integration costs for our acquisition of Novartis Animal Health (Novartis AH) and severance costs. The charges for the nine months ended September 30 also included asset impairment charges related to the closure of an animal health manufacturing facility in Ireland.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12 to the consolidated condensed financial statements)</w:t>
      </w:r>
    </w:p>
    <w:p>
      <w:pPr>
        <w:spacing w:after="0" w:line="117" w:lineRule="exact"/>
        <w:rPr>
          <w:sz w:val="20"/>
          <w:szCs w:val="20"/>
          <w:color w:val="auto"/>
        </w:rPr>
      </w:pPr>
    </w:p>
    <w:p>
      <w:pPr>
        <w:ind w:left="66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charges of $203.9 million (pretax), or $0.19 per share, in the first quarter, related to the impact of the Venezuelan financial crisis, including the significant deterioration of the bolívar.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(Note 3 to the consolidated condensed financial statements)</w:t>
      </w:r>
    </w:p>
    <w:p>
      <w:pPr>
        <w:spacing w:after="0" w:line="117" w:lineRule="exact"/>
        <w:rPr>
          <w:sz w:val="20"/>
          <w:szCs w:val="20"/>
          <w:color w:val="auto"/>
        </w:rPr>
      </w:pPr>
    </w:p>
    <w:p>
      <w:pPr>
        <w:jc w:val="both"/>
        <w:ind w:left="66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expense of $21.2 million (pretax), or $0.01 per share, and $153.0 million (pretax), or $0.10 per share, for the three and nine months ended September 30, respectively, related to the fair value adjustments to Novartis AH acquisition date inventory that was sold.</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&amp; Development (Notes 3 and 4 to the consolidated condensed financial statements)</w:t>
      </w:r>
    </w:p>
    <w:p>
      <w:pPr>
        <w:spacing w:after="0" w:line="117" w:lineRule="exact"/>
        <w:rPr>
          <w:sz w:val="20"/>
          <w:szCs w:val="20"/>
          <w:color w:val="auto"/>
        </w:rPr>
      </w:pPr>
    </w:p>
    <w:p>
      <w:pPr>
        <w:jc w:val="both"/>
        <w:ind w:left="660" w:hanging="328"/>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acquired IPR&amp;D charges of $336.0 million (pretax), or $0.20 per share, for the nine months ended September 30, related to upfront fees paid in connection with the collaboration agreements with Pfizer, Inc. (Pfizer), Innovent Biologics, Inc. (Innovent), Hanmi Pharmaceutical Co., Ltd. (Hanmi), and BioNTech AG (BioNTech).</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charges of $42.4 million (pretax), or $0.03 per share, and $222.8 million (pretax), or $0.15 per share, for the three and nine months ended September 30, respectively, related to integration costs, intangible asset impairments, and severance costs primarily resulting from our acquisition of Novartis AH.</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Repurchase (Notes 6 and 12 to the consolidated condensed financial statements)</w:t>
      </w:r>
    </w:p>
    <w:p>
      <w:pPr>
        <w:spacing w:after="0" w:line="117" w:lineRule="exact"/>
        <w:rPr>
          <w:sz w:val="20"/>
          <w:szCs w:val="20"/>
          <w:color w:val="auto"/>
        </w:rPr>
      </w:pPr>
    </w:p>
    <w:p>
      <w:pPr>
        <w:jc w:val="both"/>
        <w:ind w:left="660" w:hanging="328"/>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net charges of $152.7 million (pretax), or $0.09 per share, in the second quarter,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Late-Stage Pipeline</w:t>
      </w:r>
    </w:p>
    <w:p>
      <w:pPr>
        <w:spacing w:after="0" w:line="11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40 potential new drugs in human testing or under regulatory review, and a larger number of projects in preclinical research.</w:t>
      </w:r>
    </w:p>
    <w:p>
      <w:pPr>
        <w:spacing w:after="0" w:line="5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following new molecular entities (NMEs) were approved by regulatory authorities in at least one of the major geographies for use in the diseases described. The quarter in which each NME initially was approved in any major geography for any indication is shown in parentheses:</w:t>
      </w:r>
    </w:p>
    <w:p>
      <w:pPr>
        <w:spacing w:after="0" w:line="35"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b w:val="1"/>
          <w:bCs w:val="1"/>
          <w:color w:val="auto"/>
        </w:rPr>
        <w:t>Ixekizumab* (Taltz</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2016)</w:t>
      </w:r>
      <w:r>
        <w:rPr>
          <w:rFonts w:ascii="Arial" w:cs="Arial" w:eastAsia="Arial" w:hAnsi="Arial"/>
          <w:sz w:val="18"/>
          <w:szCs w:val="18"/>
          <w:color w:val="auto"/>
        </w:rPr>
        <w:t>—a neutralizing monoclonal antibody to interleukin-17A for the treatment of moderate-to-severe plaque</w:t>
      </w:r>
      <w:r>
        <w:rPr>
          <w:rFonts w:ascii="Arial" w:cs="Arial" w:eastAsia="Arial" w:hAnsi="Arial"/>
          <w:sz w:val="18"/>
          <w:szCs w:val="18"/>
          <w:b w:val="1"/>
          <w:bCs w:val="1"/>
          <w:color w:val="auto"/>
        </w:rPr>
        <w:t xml:space="preserve"> </w:t>
      </w:r>
      <w:r>
        <w:rPr>
          <w:rFonts w:ascii="Arial" w:cs="Arial" w:eastAsia="Arial" w:hAnsi="Arial"/>
          <w:sz w:val="18"/>
          <w:szCs w:val="18"/>
          <w:color w:val="auto"/>
        </w:rPr>
        <w:t>psoriasis and psoriatic arthritis.</w:t>
      </w:r>
    </w:p>
    <w:p>
      <w:pPr>
        <w:spacing w:after="0" w:line="66"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b w:val="1"/>
          <w:bCs w:val="1"/>
          <w:color w:val="auto"/>
        </w:rPr>
        <w:t>Necitumumab* (Portrazza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2015)</w:t>
      </w:r>
      <w:r>
        <w:rPr>
          <w:rFonts w:ascii="Arial" w:cs="Arial" w:eastAsia="Arial" w:hAnsi="Arial"/>
          <w:sz w:val="18"/>
          <w:szCs w:val="18"/>
          <w:color w:val="auto"/>
        </w:rPr>
        <w:t>—an anti-epidermal growth factor receptor monoclonal antibody for the treatment of metastatic</w:t>
      </w:r>
      <w:r>
        <w:rPr>
          <w:rFonts w:ascii="Arial" w:cs="Arial" w:eastAsia="Arial" w:hAnsi="Arial"/>
          <w:sz w:val="18"/>
          <w:szCs w:val="18"/>
          <w:b w:val="1"/>
          <w:bCs w:val="1"/>
          <w:color w:val="auto"/>
        </w:rPr>
        <w:t xml:space="preserve"> </w:t>
      </w:r>
      <w:r>
        <w:rPr>
          <w:rFonts w:ascii="Arial" w:cs="Arial" w:eastAsia="Arial" w:hAnsi="Arial"/>
          <w:sz w:val="18"/>
          <w:szCs w:val="18"/>
          <w:color w:val="auto"/>
        </w:rPr>
        <w:t>squamous non-small cell lung cancer (NSCLC).</w:t>
      </w:r>
    </w:p>
    <w:p>
      <w:pPr>
        <w:spacing w:after="0" w:line="66" w:lineRule="exact"/>
        <w:rPr>
          <w:sz w:val="20"/>
          <w:szCs w:val="20"/>
          <w:color w:val="auto"/>
        </w:rPr>
      </w:pPr>
    </w:p>
    <w:p>
      <w:pPr>
        <w:ind w:left="660" w:right="20"/>
        <w:spacing w:after="0" w:line="251" w:lineRule="auto"/>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human lgG1 monoclonal antibody for the treatment of advanced soft tissue sarcoma.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(U.S.), Lartruvo is protected by a compound patent (2027, not including possible patent extension), and by biologics data package protection (2028).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NME has been submitted for regulatory review in at least one of the major geographies for potential use in the disease described.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quarter in which the NME initially was submitted in any major geography for any indication is shown in parentheses:</w:t>
      </w:r>
    </w:p>
    <w:p>
      <w:pPr>
        <w:spacing w:after="0" w:line="93" w:lineRule="exact"/>
        <w:rPr>
          <w:sz w:val="20"/>
          <w:szCs w:val="20"/>
          <w:color w:val="auto"/>
        </w:rPr>
      </w:pPr>
    </w:p>
    <w:p>
      <w:pPr>
        <w:ind w:left="660" w:right="440"/>
        <w:spacing w:after="0" w:line="294" w:lineRule="auto"/>
        <w:rPr>
          <w:sz w:val="20"/>
          <w:szCs w:val="20"/>
          <w:color w:val="auto"/>
        </w:rPr>
      </w:pPr>
      <w:r>
        <w:rPr>
          <w:rFonts w:ascii="Arial" w:cs="Arial" w:eastAsia="Arial" w:hAnsi="Arial"/>
          <w:sz w:val="18"/>
          <w:szCs w:val="18"/>
          <w:b w:val="1"/>
          <w:bCs w:val="1"/>
          <w:color w:val="auto"/>
        </w:rPr>
        <w:t>Baricitinib (Q1 2016)</w:t>
      </w:r>
      <w:r>
        <w:rPr>
          <w:rFonts w:ascii="Arial" w:cs="Arial" w:eastAsia="Arial" w:hAnsi="Arial"/>
          <w:sz w:val="18"/>
          <w:szCs w:val="18"/>
          <w:color w:val="auto"/>
        </w:rPr>
        <w:t>—a Janus tyrosine kinase inhibitor for the treatment of moderately-to-severely active rheumatoid arthritis (in</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Incyte Corporation).</w:t>
      </w:r>
    </w:p>
    <w:p>
      <w:pPr>
        <w:spacing w:after="0" w:line="3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quarter in which each NME and diagnostic agent initially entered Phase III for any indication is shown in parentheses:</w:t>
      </w:r>
    </w:p>
    <w:p>
      <w:pPr>
        <w:spacing w:after="0" w:line="35" w:lineRule="exact"/>
        <w:rPr>
          <w:sz w:val="20"/>
          <w:szCs w:val="20"/>
          <w:color w:val="auto"/>
        </w:rPr>
      </w:pPr>
    </w:p>
    <w:p>
      <w:pPr>
        <w:ind w:left="660" w:right="480"/>
        <w:spacing w:after="0" w:line="294"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NSCLC.</w:t>
      </w:r>
    </w:p>
    <w:p>
      <w:pPr>
        <w:spacing w:after="0" w:line="33" w:lineRule="exact"/>
        <w:rPr>
          <w:sz w:val="20"/>
          <w:szCs w:val="20"/>
          <w:color w:val="auto"/>
        </w:rPr>
      </w:pPr>
    </w:p>
    <w:p>
      <w:pPr>
        <w:ind w:left="660"/>
        <w:spacing w:after="0" w:line="294" w:lineRule="auto"/>
        <w:rPr>
          <w:sz w:val="20"/>
          <w:szCs w:val="20"/>
          <w:color w:val="auto"/>
        </w:rPr>
      </w:pPr>
      <w:r>
        <w:rPr>
          <w:rFonts w:ascii="Arial" w:cs="Arial" w:eastAsia="Arial" w:hAnsi="Arial"/>
          <w:sz w:val="18"/>
          <w:szCs w:val="18"/>
          <w:b w:val="1"/>
          <w:bCs w:val="1"/>
          <w:color w:val="auto"/>
        </w:rPr>
        <w:t>BACE inhibitor (Q2 2016)</w:t>
      </w:r>
      <w:r>
        <w:rPr>
          <w:rFonts w:ascii="Arial" w:cs="Arial" w:eastAsia="Arial" w:hAnsi="Arial"/>
          <w:sz w:val="18"/>
          <w:szCs w:val="18"/>
          <w:color w:val="auto"/>
        </w:rPr>
        <w:t>—an oral beta-secretase cleaving enzyme (BACE) inhibitor for the treatment of early Alzheimer's disease (in</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AstraZeneca UK Limited).</w:t>
      </w:r>
    </w:p>
    <w:p>
      <w:pPr>
        <w:spacing w:after="0" w:line="33" w:lineRule="exact"/>
        <w:rPr>
          <w:sz w:val="20"/>
          <w:szCs w:val="20"/>
          <w:color w:val="auto"/>
        </w:rPr>
      </w:pPr>
    </w:p>
    <w:p>
      <w:pPr>
        <w:ind w:left="660" w:right="680"/>
        <w:spacing w:after="0" w:line="294" w:lineRule="auto"/>
        <w:rPr>
          <w:sz w:val="20"/>
          <w:szCs w:val="20"/>
          <w:color w:val="auto"/>
        </w:rPr>
      </w:pPr>
      <w:r>
        <w:rPr>
          <w:rFonts w:ascii="Arial" w:cs="Arial" w:eastAsia="Arial" w:hAnsi="Arial"/>
          <w:sz w:val="18"/>
          <w:szCs w:val="18"/>
          <w:b w:val="1"/>
          <w:bCs w:val="1"/>
          <w:color w:val="auto"/>
        </w:rPr>
        <w:t>Galcanezumab* (Q2 2015)</w:t>
      </w:r>
      <w:r>
        <w:rPr>
          <w:rFonts w:ascii="Arial" w:cs="Arial" w:eastAsia="Arial" w:hAnsi="Arial"/>
          <w:sz w:val="18"/>
          <w:szCs w:val="18"/>
          <w:color w:val="auto"/>
        </w:rPr>
        <w:t>—a once-monthly subcutaneously injected calcitonin gene-related peptide (CGRP)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cluster headache and migraine prevention.</w:t>
      </w:r>
    </w:p>
    <w:p>
      <w:pPr>
        <w:spacing w:after="0" w:line="33" w:lineRule="exact"/>
        <w:rPr>
          <w:sz w:val="20"/>
          <w:szCs w:val="20"/>
          <w:color w:val="auto"/>
        </w:rPr>
      </w:pPr>
    </w:p>
    <w:p>
      <w:pPr>
        <w:ind w:left="660" w:right="80"/>
        <w:spacing w:after="0" w:line="294" w:lineRule="auto"/>
        <w:rPr>
          <w:sz w:val="20"/>
          <w:szCs w:val="20"/>
          <w:color w:val="auto"/>
        </w:rPr>
      </w:pPr>
      <w:r>
        <w:rPr>
          <w:rFonts w:ascii="Arial" w:cs="Arial" w:eastAsia="Arial" w:hAnsi="Arial"/>
          <w:sz w:val="18"/>
          <w:szCs w:val="18"/>
          <w:b w:val="1"/>
          <w:bCs w:val="1"/>
          <w:color w:val="auto"/>
        </w:rPr>
        <w:t>Nasal glucagon* (Q3 2013)</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w:t>
      </w:r>
    </w:p>
    <w:p>
      <w:pPr>
        <w:spacing w:after="0" w:line="33" w:lineRule="exact"/>
        <w:rPr>
          <w:sz w:val="20"/>
          <w:szCs w:val="20"/>
          <w:color w:val="auto"/>
        </w:rPr>
      </w:pPr>
    </w:p>
    <w:p>
      <w:pPr>
        <w:ind w:left="660" w:right="60"/>
        <w:spacing w:after="0" w:line="294" w:lineRule="auto"/>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prodromal, and mild Alzheimer’s</w:t>
      </w:r>
      <w:r>
        <w:rPr>
          <w:rFonts w:ascii="Arial" w:cs="Arial" w:eastAsia="Arial" w:hAnsi="Arial"/>
          <w:sz w:val="18"/>
          <w:szCs w:val="18"/>
          <w:b w:val="1"/>
          <w:bCs w:val="1"/>
          <w:color w:val="auto"/>
        </w:rPr>
        <w:t xml:space="preserve"> </w:t>
      </w:r>
      <w:r>
        <w:rPr>
          <w:rFonts w:ascii="Arial" w:cs="Arial" w:eastAsia="Arial" w:hAnsi="Arial"/>
          <w:sz w:val="18"/>
          <w:szCs w:val="18"/>
          <w:color w:val="auto"/>
        </w:rPr>
        <w:t>disease.</w:t>
      </w:r>
    </w:p>
    <w:p>
      <w:pPr>
        <w:spacing w:after="0" w:line="33" w:lineRule="exact"/>
        <w:rPr>
          <w:sz w:val="20"/>
          <w:szCs w:val="20"/>
          <w:color w:val="auto"/>
        </w:rPr>
      </w:pPr>
    </w:p>
    <w:p>
      <w:pPr>
        <w:ind w:left="660" w:right="340"/>
        <w:spacing w:after="0" w:line="294"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w:t>
      </w:r>
    </w:p>
    <w:p>
      <w:pPr>
        <w:spacing w:after="0" w:line="33" w:lineRule="exact"/>
        <w:rPr>
          <w:sz w:val="20"/>
          <w:szCs w:val="20"/>
          <w:color w:val="auto"/>
        </w:rPr>
      </w:pPr>
    </w:p>
    <w:p>
      <w:pPr>
        <w:ind w:left="660" w:right="20"/>
        <w:spacing w:after="0" w:line="294" w:lineRule="auto"/>
        <w:rPr>
          <w:sz w:val="20"/>
          <w:szCs w:val="20"/>
          <w:color w:val="auto"/>
        </w:rPr>
      </w:pPr>
      <w:r>
        <w:rPr>
          <w:rFonts w:ascii="Arial" w:cs="Arial" w:eastAsia="Arial" w:hAnsi="Arial"/>
          <w:sz w:val="18"/>
          <w:szCs w:val="18"/>
          <w:b w:val="1"/>
          <w:bCs w:val="1"/>
          <w:color w:val="auto"/>
        </w:rPr>
        <w:t>Tau Imaging Agent** (Q3 2015)</w:t>
      </w:r>
      <w:r>
        <w:rPr>
          <w:rFonts w:ascii="Arial" w:cs="Arial" w:eastAsia="Arial" w:hAnsi="Arial"/>
          <w:sz w:val="18"/>
          <w:szCs w:val="18"/>
          <w:color w:val="auto"/>
        </w:rPr>
        <w:t>—a positron emission tomography (PET) tracer intended to image tau (or neurofibrillary) tangles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brain, which are an indicator of Alzheimer's disease.</w:t>
      </w:r>
    </w:p>
    <w:p>
      <w:pPr>
        <w:spacing w:after="0" w:line="35" w:lineRule="exact"/>
        <w:rPr>
          <w:sz w:val="20"/>
          <w:szCs w:val="20"/>
          <w:color w:val="auto"/>
        </w:rPr>
      </w:pPr>
    </w:p>
    <w:p>
      <w:pPr>
        <w:ind w:left="340" w:right="4040" w:hanging="8"/>
        <w:spacing w:after="0" w:line="417"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40" w:right="259" w:bottom="1440" w:gutter="0" w:footer="0" w:header="0"/>
        </w:sectPr>
      </w:pPr>
    </w:p>
    <w:bookmarkStart w:id="35" w:name="page36"/>
    <w:bookmarkEnd w:id="35"/>
    <w:p>
      <w:pPr>
        <w:ind w:right="760"/>
        <w:spacing w:after="0" w:line="29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2016:</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54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0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9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6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5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7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7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Severe</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Development of commercial manufacturing process is</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113"/>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7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5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Baricitinib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 arthritis</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rPr>
              <w:t>Submitted</w:t>
            </w:r>
          </w:p>
        </w:tc>
        <w:tc>
          <w:tcPr>
            <w:tcW w:w="1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Submitted to regulatory authorities in the U.S., Europe,</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Japan in first quarter of 2016.</w:t>
            </w:r>
          </w:p>
        </w:tc>
        <w:tc>
          <w:tcPr>
            <w:tcW w:w="0" w:type="dxa"/>
            <w:vAlign w:val="bottom"/>
          </w:tcPr>
          <w:p>
            <w:pPr>
              <w:spacing w:after="0"/>
              <w:rPr>
                <w:sz w:val="1"/>
                <w:szCs w:val="1"/>
                <w:color w:val="auto"/>
              </w:rPr>
            </w:pPr>
          </w:p>
        </w:tc>
      </w:tr>
      <w:tr>
        <w:trPr>
          <w:trHeight w:val="113"/>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Approved and launched in the U.S. in first and second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540" w:type="dxa"/>
            <w:vAlign w:val="bottom"/>
          </w:tcPr>
          <w:p>
            <w:pPr>
              <w:spacing w:after="0"/>
              <w:rPr>
                <w:sz w:val="17"/>
                <w:szCs w:val="17"/>
                <w:color w:val="auto"/>
              </w:rPr>
            </w:pPr>
          </w:p>
        </w:tc>
        <w:tc>
          <w:tcPr>
            <w:tcW w:w="1580" w:type="dxa"/>
            <w:vAlign w:val="bottom"/>
            <w:gridSpan w:val="2"/>
            <w:vMerge w:val="restart"/>
          </w:tcPr>
          <w:p>
            <w:pPr>
              <w:jc w:val="center"/>
              <w:ind w:right="310"/>
              <w:spacing w:after="0"/>
              <w:rPr>
                <w:sz w:val="20"/>
                <w:szCs w:val="20"/>
                <w:color w:val="auto"/>
              </w:rPr>
            </w:pPr>
            <w:r>
              <w:rPr>
                <w:rFonts w:ascii="Arial" w:cs="Arial" w:eastAsia="Arial" w:hAnsi="Arial"/>
                <w:sz w:val="18"/>
                <w:szCs w:val="18"/>
                <w:color w:val="auto"/>
                <w:w w:val="98"/>
              </w:rPr>
              <w:t>Launched</w:t>
            </w:r>
          </w:p>
        </w:tc>
        <w:tc>
          <w:tcPr>
            <w:tcW w:w="1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Approved</w:t>
            </w:r>
          </w:p>
        </w:tc>
        <w:tc>
          <w:tcPr>
            <w:tcW w:w="45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quarters of 2016, respectively. Approved and launched</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45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in Europe in second and third quarters of 2016,</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45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Taltz</w:t>
            </w:r>
          </w:p>
        </w:tc>
        <w:tc>
          <w:tcPr>
            <w:tcW w:w="172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respectively. Approved in Japan in third quarter of 2016.</w:t>
            </w: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right w:val="single" w:sz="8" w:color="auto"/>
            </w:tcBorders>
            <w:vMerge w:val="continue"/>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Japan in third quarter of 2016. Announced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October 2016 top-line results of Phase III trial which</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Psoriatic arthritis</w:t>
            </w:r>
          </w:p>
        </w:tc>
        <w:tc>
          <w:tcPr>
            <w:tcW w:w="540" w:type="dxa"/>
            <w:vAlign w:val="bottom"/>
          </w:tcPr>
          <w:p>
            <w:pPr>
              <w:spacing w:after="0"/>
              <w:rPr>
                <w:sz w:val="17"/>
                <w:szCs w:val="17"/>
                <w:color w:val="auto"/>
              </w:rPr>
            </w:pPr>
          </w:p>
        </w:tc>
        <w:tc>
          <w:tcPr>
            <w:tcW w:w="1580" w:type="dxa"/>
            <w:vAlign w:val="bottom"/>
            <w:gridSpan w:val="2"/>
          </w:tcPr>
          <w:p>
            <w:pPr>
              <w:jc w:val="center"/>
              <w:ind w:right="310"/>
              <w:spacing w:after="0" w:line="202" w:lineRule="exact"/>
              <w:rPr>
                <w:sz w:val="20"/>
                <w:szCs w:val="20"/>
                <w:color w:val="auto"/>
              </w:rPr>
            </w:pPr>
            <w:r>
              <w:rPr>
                <w:rFonts w:ascii="Arial" w:cs="Arial" w:eastAsia="Arial" w:hAnsi="Arial"/>
                <w:sz w:val="18"/>
                <w:szCs w:val="18"/>
                <w:color w:val="auto"/>
                <w:w w:val="98"/>
              </w:rPr>
              <w:t>Phase III</w:t>
            </w:r>
          </w:p>
        </w:tc>
        <w:tc>
          <w:tcPr>
            <w:tcW w:w="1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Approved</w:t>
            </w:r>
          </w:p>
        </w:tc>
        <w:tc>
          <w:tcPr>
            <w:tcW w:w="45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met primary endpoints. Intend to submit to the U.S.</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Food and Drug Administration (FDA) in the first half of</w:t>
            </w:r>
          </w:p>
        </w:tc>
        <w:tc>
          <w:tcPr>
            <w:tcW w:w="0" w:type="dxa"/>
            <w:vAlign w:val="bottom"/>
          </w:tcPr>
          <w:p>
            <w:pPr>
              <w:spacing w:after="0"/>
              <w:rPr>
                <w:sz w:val="1"/>
                <w:szCs w:val="1"/>
                <w:color w:val="auto"/>
              </w:rPr>
            </w:pPr>
          </w:p>
        </w:tc>
      </w:tr>
      <w:tr>
        <w:trPr>
          <w:trHeight w:val="248"/>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54"/>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7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5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Early Alzheimer's</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Moved into the Phase III portion of the</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BACE inhibitor</w:t>
            </w:r>
          </w:p>
        </w:tc>
        <w:tc>
          <w:tcPr>
            <w:tcW w:w="172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vMerge w:val="restart"/>
          </w:tcPr>
          <w:p>
            <w:pPr>
              <w:jc w:val="center"/>
              <w:ind w:left="30"/>
              <w:spacing w:after="0" w:line="202" w:lineRule="exact"/>
              <w:rPr>
                <w:sz w:val="20"/>
                <w:szCs w:val="20"/>
                <w:color w:val="auto"/>
              </w:rPr>
            </w:pPr>
            <w:r>
              <w:rPr>
                <w:rFonts w:ascii="Arial" w:cs="Arial" w:eastAsia="Arial" w:hAnsi="Arial"/>
                <w:sz w:val="18"/>
                <w:szCs w:val="18"/>
                <w:color w:val="auto"/>
                <w:w w:val="98"/>
              </w:rPr>
              <w:t>Phase III</w:t>
            </w:r>
          </w:p>
        </w:tc>
        <w:tc>
          <w:tcPr>
            <w:tcW w:w="16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45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Phase II/III seamless study in April 2016. Granted Fast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4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Track 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from the FDA in August 2016.</w:t>
            </w:r>
          </w:p>
        </w:tc>
        <w:tc>
          <w:tcPr>
            <w:tcW w:w="0" w:type="dxa"/>
            <w:vAlign w:val="bottom"/>
          </w:tcPr>
          <w:p>
            <w:pPr>
              <w:spacing w:after="0"/>
              <w:rPr>
                <w:sz w:val="1"/>
                <w:szCs w:val="1"/>
                <w:color w:val="auto"/>
              </w:rPr>
            </w:pPr>
          </w:p>
        </w:tc>
      </w:tr>
      <w:tr>
        <w:trPr>
          <w:trHeight w:val="244"/>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Galcanezumab</w:t>
            </w: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12"/>
        </w:trPr>
        <w:tc>
          <w:tcPr>
            <w:tcW w:w="17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 prevention</w:t>
            </w: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first Phase III study in January 2016.</w:t>
            </w:r>
          </w:p>
        </w:tc>
        <w:tc>
          <w:tcPr>
            <w:tcW w:w="0" w:type="dxa"/>
            <w:vAlign w:val="bottom"/>
          </w:tcPr>
          <w:p>
            <w:pPr>
              <w:spacing w:after="0"/>
              <w:rPr>
                <w:sz w:val="1"/>
                <w:szCs w:val="1"/>
                <w:color w:val="auto"/>
              </w:rPr>
            </w:pPr>
          </w:p>
        </w:tc>
      </w:tr>
      <w:tr>
        <w:trPr>
          <w:trHeight w:val="140"/>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45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Preclinical</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7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Prodromal</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Phase III study in August 2016.</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7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740" w:type="dxa"/>
            <w:vAlign w:val="bottom"/>
            <w:tcBorders>
              <w:left w:val="single" w:sz="8" w:color="auto"/>
              <w:right w:val="single" w:sz="8" w:color="auto"/>
            </w:tcBorders>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change in primary endpoint for Phase III</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Mild Alzheimer's</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study in March 2016. Last patient visit achieved in fourth</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disease</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2016. Plan to issue top-line results before end</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45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 2016.</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Chronic low back</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7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Tau imaging agent</w:t>
            </w: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Phase III</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461"/>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36</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84" w:right="219" w:bottom="1440"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5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7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Metastatic breast</w:t>
            </w:r>
          </w:p>
        </w:tc>
        <w:tc>
          <w:tcPr>
            <w:tcW w:w="114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4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Based on Phase II data, submitted to European</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regulatory authorities in first quarter of 2016. Received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Lartruvo</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 sarcoma</w:t>
            </w:r>
          </w:p>
        </w:tc>
        <w:tc>
          <w:tcPr>
            <w:tcW w:w="11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Approved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Submitted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Phase III</w:t>
            </w:r>
          </w:p>
        </w:tc>
        <w:tc>
          <w:tcPr>
            <w:tcW w:w="45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positive opinion from the Committee for Medicinal</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45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Products for Human Use in September 2016. Granted</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45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accelerated approval</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by the FDA in fourth quarter of</w:t>
            </w:r>
          </w:p>
        </w:tc>
        <w:tc>
          <w:tcPr>
            <w:tcW w:w="0" w:type="dxa"/>
            <w:vAlign w:val="bottom"/>
          </w:tcPr>
          <w:p>
            <w:pPr>
              <w:spacing w:after="0"/>
              <w:rPr>
                <w:sz w:val="1"/>
                <w:szCs w:val="1"/>
                <w:color w:val="auto"/>
              </w:rPr>
            </w:pPr>
          </w:p>
        </w:tc>
      </w:tr>
      <w:tr>
        <w:trPr>
          <w:trHeight w:val="248"/>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2016 based on phase II data. Phase III study is ongoing.</w:t>
            </w: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Metastatic</w:t>
            </w: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and launched in Europe in first and second</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Portrazza</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squamous NSCLC</w:t>
            </w:r>
          </w:p>
        </w:tc>
        <w:tc>
          <w:tcPr>
            <w:tcW w:w="2280" w:type="dxa"/>
            <w:vAlign w:val="bottom"/>
            <w:tcBorders>
              <w:right w:val="single" w:sz="8" w:color="auto"/>
            </w:tcBorders>
            <w:gridSpan w:val="2"/>
            <w:vMerge w:val="restart"/>
          </w:tcPr>
          <w:p>
            <w:pPr>
              <w:ind w:left="740"/>
              <w:spacing w:after="0"/>
              <w:rPr>
                <w:sz w:val="20"/>
                <w:szCs w:val="20"/>
                <w:color w:val="auto"/>
              </w:rPr>
            </w:pPr>
            <w:r>
              <w:rPr>
                <w:rFonts w:ascii="Arial" w:cs="Arial" w:eastAsia="Arial" w:hAnsi="Arial"/>
                <w:sz w:val="18"/>
                <w:szCs w:val="18"/>
                <w:color w:val="auto"/>
              </w:rPr>
              <w:t>Launched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Ib/II</w:t>
            </w:r>
          </w:p>
        </w:tc>
        <w:tc>
          <w:tcPr>
            <w:tcW w:w="4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740" w:type="dxa"/>
            <w:vAlign w:val="bottom"/>
            <w:tcBorders>
              <w:left w:val="single" w:sz="8" w:color="auto"/>
              <w:right w:val="single" w:sz="8" w:color="auto"/>
            </w:tcBorders>
            <w:vMerge w:val="continue"/>
          </w:tcPr>
          <w:p>
            <w:pPr>
              <w:spacing w:after="0"/>
              <w:rPr>
                <w:sz w:val="16"/>
                <w:szCs w:val="16"/>
                <w:color w:val="auto"/>
              </w:rPr>
            </w:pPr>
          </w:p>
        </w:tc>
        <w:tc>
          <w:tcPr>
            <w:tcW w:w="1720" w:type="dxa"/>
            <w:vAlign w:val="bottom"/>
            <w:tcBorders>
              <w:right w:val="single" w:sz="8" w:color="auto"/>
            </w:tcBorders>
            <w:vMerge w:val="continue"/>
          </w:tcPr>
          <w:p>
            <w:pPr>
              <w:spacing w:after="0"/>
              <w:rPr>
                <w:sz w:val="16"/>
                <w:szCs w:val="16"/>
                <w:color w:val="auto"/>
              </w:rPr>
            </w:pPr>
          </w:p>
        </w:tc>
        <w:tc>
          <w:tcPr>
            <w:tcW w:w="2280" w:type="dxa"/>
            <w:vAlign w:val="bottom"/>
            <w:tcBorders>
              <w:right w:val="single" w:sz="8" w:color="auto"/>
            </w:tcBorders>
            <w:gridSpan w:val="2"/>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4560" w:type="dxa"/>
            <w:vAlign w:val="bottom"/>
            <w:tcBorders>
              <w:right w:val="single" w:sz="8" w:color="auto"/>
            </w:tcBorders>
          </w:tcPr>
          <w:p>
            <w:pPr>
              <w:ind w:left="20"/>
              <w:spacing w:after="0" w:line="185" w:lineRule="exact"/>
              <w:rPr>
                <w:sz w:val="20"/>
                <w:szCs w:val="20"/>
                <w:color w:val="auto"/>
              </w:rPr>
            </w:pPr>
            <w:r>
              <w:rPr>
                <w:rFonts w:ascii="Arial" w:cs="Arial" w:eastAsia="Arial" w:hAnsi="Arial"/>
                <w:sz w:val="18"/>
                <w:szCs w:val="18"/>
                <w:color w:val="auto"/>
              </w:rPr>
              <w:t>quarters of 2016, respectively.</w:t>
            </w: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(first-line)</w:t>
            </w:r>
          </w:p>
        </w:tc>
        <w:tc>
          <w:tcPr>
            <w:tcW w:w="114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4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The FDA's fast track program is designed to expedite the development and review of new therapies to treat serious conditions and address unmet medical needs.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Continued approval for this indication may be contingent on verification and description of clinical benefit in a confirmatory phase III trial.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depend on patents or other forms of intellectual-property protection for most of our revenues, cash flows, and earnings. We lost our data package protection for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major European countries in 2014. In 2015, we saw the entry of generic competition in all major European markets. The loss of exclusivity for Cymbalta in the European markets has caused a rapid and severe decline in revenue for the product, which over time has, in the aggregate, had a material adverse effect on our consolidated results of operations and cash flows. We also lost patent exclusivity for the schizophrenia and bipolar mania indications in December 2015 and April 2016, respectively,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Generic versions of Zyprexa were launched in Japan in June 2016. The loss of exclusivity for Zyprexa in Japan has caused a rapid and severe decline in revenue for the product.</w:t>
      </w:r>
    </w:p>
    <w:p>
      <w:pPr>
        <w:spacing w:after="0" w:line="8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Additionally, as described in Note 10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compound patent for Alimta will expire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We are aware that at least two generic pemetrexed products have launched in a major European market. Notwithstanding our patents, generic versions of Alimta were also approved in Japan in February 2016. As described in Note 10 to the consolidated condensed financial statements, each manufacturer of the generic version of Alimta has agreed not to proceed to pricing approval. We do not anticipate generic competitors will proceed to launch prior to the completion of the Sawai Pharmaceutical Co., Ltd. invalidation trial.</w:t>
      </w:r>
    </w:p>
    <w:p>
      <w:pPr>
        <w:spacing w:after="0" w:line="77"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will lose our patent protection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major European markets in November 2017. We will also lose exclusivity for Effient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October 2017, and we have authorized one generic manufacturer to enter the market as early as mid-August 2017. We expect that the entry of generic competition into these markets following the loss of effective patent protection will cause a rapid and severe decline in revenue for the affected products, which will, in the aggregate, have a material adverse effect on our consolidated results of operations and cash flows.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40"/>
          </w:cols>
          <w:pgMar w:left="240" w:top="822" w:right="219" w:bottom="1440" w:gutter="0" w:footer="0" w:header="0"/>
        </w:sectPr>
      </w:pPr>
    </w:p>
    <w:bookmarkStart w:id="37" w:name="page38"/>
    <w:bookmarkEnd w:id="37"/>
    <w:p>
      <w:pPr>
        <w:ind w:right="140"/>
        <w:spacing w:after="0" w:line="250" w:lineRule="auto"/>
        <w:rPr>
          <w:sz w:val="20"/>
          <w:szCs w:val="20"/>
          <w:color w:val="auto"/>
        </w:rPr>
      </w:pPr>
      <w:r>
        <w:rPr>
          <w:rFonts w:ascii="Arial" w:cs="Arial" w:eastAsia="Arial" w:hAnsi="Arial"/>
          <w:sz w:val="18"/>
          <w:szCs w:val="18"/>
          <w:color w:val="auto"/>
        </w:rPr>
        <w:t>The U.S.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2013. Thus far, the loss of compound patent protection for Humalog has not resulted in a rapid and severe decline in revenue. Global regulators have different legal pathways to approve similar versions of Humalog and to date none have been approved in the U.S. or Europe. We are aware that other manufacturers have efforts underway to develop a similar version of Humalog, and it is difficult to predict the timing and impact of these products entering the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British pound, and Swiss franc,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between the U.S. dollar and several other foreign currencies, including the euro, British pound, and Japanese yen. While there is uncertainty in the future movements in foreign exchange rates, these fluctuations could negatively impact our future consolidated results of operations.</w:t>
      </w:r>
    </w:p>
    <w:p>
      <w:pPr>
        <w:spacing w:after="0" w:line="6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The impact of the Venezuelan financial crisis, including the significant deterioration of the bolívar, resulted in a charge of $203.9 million in the first quarter of 2016. See Note 12 to the consolidated condensed financial statements for additional information related to the charge. We anticipate that the revenue from Venezuela for the remainder of 2016 will be </w:t>
      </w:r>
      <w:r>
        <w:rPr>
          <w:rFonts w:ascii="Arial" w:cs="Arial" w:eastAsia="Arial" w:hAnsi="Arial"/>
          <w:sz w:val="18"/>
          <w:szCs w:val="18"/>
          <w:i w:val="1"/>
          <w:iCs w:val="1"/>
          <w:color w:val="auto"/>
        </w:rPr>
        <w:t>de minimis</w:t>
      </w:r>
      <w:r>
        <w:rPr>
          <w:rFonts w:ascii="Arial" w:cs="Arial" w:eastAsia="Arial" w:hAnsi="Arial"/>
          <w:sz w:val="18"/>
          <w:szCs w:val="18"/>
          <w:color w:val="auto"/>
        </w:rPr>
        <w:t>. As of September 30, 2016, our Venezuelan subsidiaries represented less than 0.1 percent of our consolidated assets and liabilities. We continue to monitor Venezuela’s economy and other deteriorating economies. It is possible that additional charges may be recorded in the future. Any additional charges are not expected to have a material adverse effect on our future consolidated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U.S., public concern over prices for specialty and brand name pharmaceuticals continues to drive the regulatory and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on the specialty tier in Part D, and state-level proposals to reduce the cost of pharmaceuticals purchased by government health care programs. Savings projected under these proposals are targeted as a means to fund both health care expenditures and non-health care initiatives, or to manage federal and state budgets.</w:t>
      </w:r>
    </w:p>
    <w:p>
      <w:pPr>
        <w:spacing w:after="0" w:line="6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U.S. private sector, consolidation and integration among U.S. healthcare providers is also a major factor in the competitive marketplace for human pharmaceuticals. Health plans and pharmaceutical benefit managers have been consolidating into fewer, larger entities,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main coverage expansion provisions of the Affordable Care Act (ACA) are now in effect through both the launch of state-based exchanges and the expansion of Medicaid. An emerging trend has been the prevalence of benefit designs containing high out-of-pocket costs for patients, particularly for pharmaceuticals. In addition to the coverage expansions, many employers in the commercial market, driven in part by ACA changes such as the 2020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At the same time, the broader paradigm shift towards quality-based reimbursement and the launch of several value-based purchasing initiatives have placed demands on the pharmaceutical industry to offer products with proven real-world outcomes data and a favorable economic profile.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International</w:t>
      </w:r>
    </w:p>
    <w:p>
      <w:pPr>
        <w:spacing w:after="0" w:line="11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human pharmaceutical products.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practices, principles, and interpretations could adversely affect our future effective tax rates. The U.S. and a number of other countries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actively considering or enacting changes in this regard. For example, the Obama administration proposed changes to the manner in which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would tax the international income of U.S.-based companies, including unremitted earnings of foreign subsidiaries. Other tax proposals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discussion or introduced in the U.S. Congress could change the tax rate and manner in which U.S. companies would be taxed.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Organisation for Economic Co-operation and Development issued its final recommendations of international tax reform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proposals to influence international tax policy in major countries in which we operate. Other institutions have also become more active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regarding tax-related matters, including the European Commission, the United Nations, the Group of Twenty, and the European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Parliament. While outcomes of these initiatives continue to develop and remain uncertain, changes to key elements of the U.S. or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framework could have a material adverse effect on our consolidated operating results and cash flows.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1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Information regarding contingencies relating to certain legal proceedings can be found in Note 10 to the consolidated condensed financial statements and is incorporated here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region: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3"/>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1940" w:type="dxa"/>
            <w:vAlign w:val="bottom"/>
          </w:tcPr>
          <w:p>
            <w:pPr>
              <w:spacing w:after="0"/>
              <w:rPr>
                <w:sz w:val="17"/>
                <w:szCs w:val="17"/>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9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Percent Change</w:t>
            </w:r>
          </w:p>
        </w:tc>
      </w:tr>
      <w:tr>
        <w:trPr>
          <w:trHeight w:val="265"/>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2,837.6</w:t>
            </w:r>
          </w:p>
        </w:tc>
        <w:tc>
          <w:tcPr>
            <w:tcW w:w="7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2,537.7</w:t>
            </w:r>
          </w:p>
        </w:tc>
        <w:tc>
          <w:tcPr>
            <w:tcW w:w="19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12</w:t>
            </w:r>
          </w:p>
        </w:tc>
      </w:tr>
      <w:tr>
        <w:trPr>
          <w:trHeight w:val="269"/>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2,354.1</w:t>
            </w:r>
          </w:p>
        </w:tc>
        <w:tc>
          <w:tcPr>
            <w:tcW w:w="7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2,422.0</w:t>
            </w:r>
          </w:p>
        </w:tc>
        <w:tc>
          <w:tcPr>
            <w:tcW w:w="194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9"/>
              </w:rPr>
              <w:t>(3)</w:t>
            </w:r>
          </w:p>
        </w:tc>
      </w:tr>
      <w:tr>
        <w:trPr>
          <w:trHeight w:val="27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5,191.7</w:t>
            </w:r>
          </w:p>
        </w:tc>
        <w:tc>
          <w:tcPr>
            <w:tcW w:w="7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4,959.7</w:t>
            </w:r>
          </w:p>
        </w:tc>
        <w:tc>
          <w:tcPr>
            <w:tcW w:w="1940" w:type="dxa"/>
            <w:vAlign w:val="bottom"/>
            <w:tcBorders>
              <w:bottom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9"/>
              </w:rPr>
              <w:t>5</w:t>
            </w:r>
          </w:p>
        </w:tc>
      </w:tr>
      <w:tr>
        <w:trPr>
          <w:trHeight w:val="471"/>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1940" w:type="dxa"/>
            <w:vAlign w:val="bottom"/>
          </w:tcPr>
          <w:p>
            <w:pPr>
              <w:spacing w:after="0"/>
              <w:rPr>
                <w:sz w:val="17"/>
                <w:szCs w:val="17"/>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9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Percent Change</w:t>
            </w:r>
          </w:p>
        </w:tc>
      </w:tr>
      <w:tr>
        <w:trPr>
          <w:trHeight w:val="265"/>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8,283.1</w:t>
            </w:r>
          </w:p>
        </w:tc>
        <w:tc>
          <w:tcPr>
            <w:tcW w:w="7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7,276.7</w:t>
            </w:r>
          </w:p>
        </w:tc>
        <w:tc>
          <w:tcPr>
            <w:tcW w:w="19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14</w:t>
            </w:r>
          </w:p>
        </w:tc>
      </w:tr>
      <w:tr>
        <w:trPr>
          <w:trHeight w:val="269"/>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7,178.5</w:t>
            </w:r>
          </w:p>
        </w:tc>
        <w:tc>
          <w:tcPr>
            <w:tcW w:w="7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7,306.4</w:t>
            </w:r>
          </w:p>
        </w:tc>
        <w:tc>
          <w:tcPr>
            <w:tcW w:w="194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9"/>
              </w:rPr>
              <w:t>(2)</w:t>
            </w:r>
          </w:p>
        </w:tc>
      </w:tr>
      <w:tr>
        <w:trPr>
          <w:trHeight w:val="27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15,461.6</w:t>
            </w:r>
          </w:p>
        </w:tc>
        <w:tc>
          <w:tcPr>
            <w:tcW w:w="7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14,583.1</w:t>
            </w:r>
          </w:p>
        </w:tc>
        <w:tc>
          <w:tcPr>
            <w:tcW w:w="1940" w:type="dxa"/>
            <w:vAlign w:val="bottom"/>
            <w:tcBorders>
              <w:bottom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9"/>
              </w:rPr>
              <w:t>6</w:t>
            </w:r>
          </w:p>
        </w:tc>
      </w:tr>
    </w:tbl>
    <w:p>
      <w:pPr>
        <w:spacing w:after="0" w:line="95"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jc w:val="right"/>
              <w:ind w:right="19"/>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59"/>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202"/>
        </w:trPr>
        <w:tc>
          <w:tcPr>
            <w:tcW w:w="2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ind w:left="28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40" w:type="dxa"/>
            <w:vAlign w:val="bottom"/>
          </w:tcPr>
          <w:p>
            <w:pPr>
              <w:ind w:left="26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7"/>
                <w:szCs w:val="17"/>
                <w:color w:val="auto"/>
              </w:rPr>
            </w:pPr>
          </w:p>
        </w:tc>
      </w:tr>
      <w:tr>
        <w:trPr>
          <w:trHeight w:val="271"/>
        </w:trPr>
        <w:tc>
          <w:tcPr>
            <w:tcW w:w="284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2016 vs. 2015</w:t>
            </w:r>
          </w:p>
        </w:tc>
        <w:tc>
          <w:tcPr>
            <w:tcW w:w="13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 vs. 2015</w:t>
            </w:r>
          </w:p>
        </w:tc>
        <w:tc>
          <w:tcPr>
            <w:tcW w:w="1320" w:type="dxa"/>
            <w:vAlign w:val="bottom"/>
            <w:tcBorders>
              <w:bottom w:val="single" w:sz="8" w:color="auto"/>
            </w:tcBorders>
          </w:tcPr>
          <w:p>
            <w:pPr>
              <w:spacing w:after="0"/>
              <w:rPr>
                <w:sz w:val="23"/>
                <w:szCs w:val="23"/>
                <w:color w:val="auto"/>
              </w:rPr>
            </w:pPr>
          </w:p>
        </w:tc>
      </w:tr>
      <w:tr>
        <w:trPr>
          <w:trHeight w:val="250"/>
        </w:trPr>
        <w:tc>
          <w:tcPr>
            <w:tcW w:w="2840" w:type="dxa"/>
            <w:vAlign w:val="bottom"/>
          </w:tcPr>
          <w:p>
            <w:pPr>
              <w:spacing w:after="0"/>
              <w:rPr>
                <w:sz w:val="21"/>
                <w:szCs w:val="21"/>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U.S.</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Outside U.S.</w:t>
            </w:r>
          </w:p>
        </w:tc>
        <w:tc>
          <w:tcPr>
            <w:tcW w:w="13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U.S.</w:t>
            </w:r>
          </w:p>
        </w:tc>
        <w:tc>
          <w:tcPr>
            <w:tcW w:w="15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46"/>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580" w:type="dxa"/>
            <w:vAlign w:val="bottom"/>
          </w:tcPr>
          <w:p>
            <w:pPr>
              <w:jc w:val="right"/>
              <w:ind w:right="139"/>
              <w:spacing w:after="0"/>
              <w:rPr>
                <w:sz w:val="20"/>
                <w:szCs w:val="20"/>
                <w:color w:val="auto"/>
              </w:rPr>
            </w:pPr>
            <w:r>
              <w:rPr>
                <w:rFonts w:ascii="Arial" w:cs="Arial" w:eastAsia="Arial" w:hAnsi="Arial"/>
                <w:sz w:val="18"/>
                <w:szCs w:val="18"/>
                <w:color w:val="auto"/>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540" w:type="dxa"/>
            <w:vAlign w:val="bottom"/>
          </w:tcPr>
          <w:p>
            <w:pPr>
              <w:jc w:val="right"/>
              <w:ind w:right="119"/>
              <w:spacing w:after="0"/>
              <w:rPr>
                <w:sz w:val="20"/>
                <w:szCs w:val="20"/>
                <w:color w:val="auto"/>
              </w:rPr>
            </w:pPr>
            <w:r>
              <w:rPr>
                <w:rFonts w:ascii="Arial" w:cs="Arial" w:eastAsia="Arial" w:hAnsi="Arial"/>
                <w:sz w:val="18"/>
                <w:szCs w:val="18"/>
                <w:color w:val="auto"/>
              </w:rPr>
              <w:t>2 %</w:t>
            </w:r>
          </w:p>
        </w:tc>
        <w:tc>
          <w:tcPr>
            <w:tcW w:w="132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5"/>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5"/>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2 %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the U.S., for the three and nine months ended September 30, 2016, the volume increase was driven by sales of a number of pharmaceutical products, including Trulicity</w:t>
      </w:r>
      <w:r>
        <w:rPr>
          <w:rFonts w:ascii="Arial" w:cs="Arial" w:eastAsia="Arial" w:hAnsi="Arial"/>
          <w:sz w:val="20"/>
          <w:szCs w:val="20"/>
          <w:color w:val="auto"/>
          <w:vertAlign w:val="superscript"/>
        </w:rPr>
        <w:t>®</w:t>
      </w:r>
      <w:r>
        <w:rPr>
          <w:rFonts w:ascii="Arial" w:cs="Arial" w:eastAsia="Arial" w:hAnsi="Arial"/>
          <w:sz w:val="17"/>
          <w:szCs w:val="17"/>
          <w:color w:val="auto"/>
        </w:rPr>
        <w:t>, Erbitux</w:t>
      </w:r>
      <w:r>
        <w:rPr>
          <w:rFonts w:ascii="Arial" w:cs="Arial" w:eastAsia="Arial" w:hAnsi="Arial"/>
          <w:sz w:val="20"/>
          <w:szCs w:val="20"/>
          <w:color w:val="auto"/>
          <w:vertAlign w:val="superscript"/>
        </w:rPr>
        <w:t>®</w:t>
      </w:r>
      <w:r>
        <w:rPr>
          <w:rFonts w:ascii="Arial" w:cs="Arial" w:eastAsia="Arial" w:hAnsi="Arial"/>
          <w:sz w:val="17"/>
          <w:szCs w:val="17"/>
          <w:color w:val="auto"/>
        </w:rPr>
        <w:t>, Humalog, Taltz, and Jardiance</w:t>
      </w:r>
      <w:r>
        <w:rPr>
          <w:rFonts w:ascii="Arial" w:cs="Arial" w:eastAsia="Arial" w:hAnsi="Arial"/>
          <w:sz w:val="20"/>
          <w:szCs w:val="20"/>
          <w:color w:val="auto"/>
          <w:vertAlign w:val="superscript"/>
        </w:rPr>
        <w:t>®</w:t>
      </w:r>
      <w:r>
        <w:rPr>
          <w:rFonts w:ascii="Arial" w:cs="Arial" w:eastAsia="Arial" w:hAnsi="Arial"/>
          <w:sz w:val="17"/>
          <w:szCs w:val="17"/>
          <w:color w:val="auto"/>
        </w:rPr>
        <w:t>, partially offset by decreased volumes for Zyprexa. For the three months ended September 30, 2016, the volume increase was also partially offset by decreased volumes for animal health products and Cialis. For the three and nine months ended September 30, 2016, U.S. revenue also benefited by reductions to the Cymbalta reserve for expected product returns, which included an adjustment of approximately $145 million in the third quarter of 2016, favorably affecting both volume and price.</w:t>
      </w:r>
    </w:p>
    <w:p>
      <w:pPr>
        <w:spacing w:after="0" w:line="5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Outside the U.S., for the three months ended September 30, 2016, the volume decrease was primarily related to the losses of exclusivity for Cymbalta in Europe and Canada, Zyprexa in Japan, and Alimta in several countries which more than offset increased volume for several other recently launched pharmaceutical products, including Trulicity and Cyramza</w:t>
      </w:r>
      <w:r>
        <w:rPr>
          <w:rFonts w:ascii="Arial" w:cs="Arial" w:eastAsia="Arial" w:hAnsi="Arial"/>
          <w:sz w:val="21"/>
          <w:szCs w:val="21"/>
          <w:color w:val="auto"/>
          <w:vertAlign w:val="superscript"/>
        </w:rPr>
        <w:t>®</w:t>
      </w:r>
      <w:r>
        <w:rPr>
          <w:rFonts w:ascii="Arial" w:cs="Arial" w:eastAsia="Arial" w:hAnsi="Arial"/>
          <w:sz w:val="18"/>
          <w:szCs w:val="18"/>
          <w:color w:val="auto"/>
        </w:rPr>
        <w:t>. For the nine months ended September 30, 2016, the volume increase was driven by sales of several pharmaceutical products, primarily Cyramza and Trulicity, partially offset by the loss of exclusivity for Cymbalta in Europe and Canada.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3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tables summarize our revenue activity by product: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3"/>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left="634"/>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480" w:type="dxa"/>
            <w:vAlign w:val="bottom"/>
          </w:tcPr>
          <w:p>
            <w:pPr>
              <w:spacing w:after="0"/>
              <w:rPr>
                <w:sz w:val="22"/>
                <w:szCs w:val="22"/>
                <w:color w:val="auto"/>
              </w:rPr>
            </w:pPr>
          </w:p>
        </w:tc>
      </w:tr>
      <w:tr>
        <w:trPr>
          <w:trHeight w:val="265"/>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Outside U.S.</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2"/>
        </w:trPr>
        <w:tc>
          <w:tcPr>
            <w:tcW w:w="4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1"/>
        </w:trPr>
        <w:tc>
          <w:tcPr>
            <w:tcW w:w="412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378.8</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262.0</w:t>
            </w:r>
          </w:p>
        </w:tc>
        <w:tc>
          <w:tcPr>
            <w:tcW w:w="5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640.8</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705.0</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(9)</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348.5</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239.7</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588.2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566.1</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4</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277.0</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293.4</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570.4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628.5</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(9)</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206.7</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184.5</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391.2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348.9</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195.6</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126.4</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322.0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316.7</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162.3</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151.2</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313.5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242.9</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29</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188.7</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54.9</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243.6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119.5</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79.3</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196.9</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154.4</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30.2</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184.6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85.9</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3"/>
              </w:rPr>
              <w:t>115</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67.0</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92.0</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111.2</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43</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7.3</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141.6</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148.9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237.9</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(37)</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112.5</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15.2</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127.7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132.1</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47.9</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67.5</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115.4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25</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232.8</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248.6</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442.4</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9</w:t>
            </w:r>
          </w:p>
        </w:tc>
      </w:tr>
      <w:tr>
        <w:trPr>
          <w:trHeight w:val="269"/>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338.6</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367.6</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706.2</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778.8</w:t>
            </w:r>
          </w:p>
        </w:tc>
        <w:tc>
          <w:tcPr>
            <w:tcW w:w="14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(9)</w:t>
            </w:r>
          </w:p>
        </w:tc>
      </w:tr>
      <w:tr>
        <w:trPr>
          <w:trHeight w:val="271"/>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2,837.6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2,354.1</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5,191.7</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4,959.7</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5</w:t>
            </w:r>
          </w:p>
        </w:tc>
      </w:tr>
      <w:tr>
        <w:trPr>
          <w:trHeight w:val="417"/>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left="634"/>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480" w:type="dxa"/>
            <w:vAlign w:val="bottom"/>
          </w:tcPr>
          <w:p>
            <w:pPr>
              <w:spacing w:after="0"/>
              <w:rPr>
                <w:sz w:val="22"/>
                <w:szCs w:val="22"/>
                <w:color w:val="auto"/>
              </w:rPr>
            </w:pPr>
          </w:p>
        </w:tc>
      </w:tr>
      <w:tr>
        <w:trPr>
          <w:trHeight w:val="265"/>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Outside U.S.</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2"/>
        </w:trPr>
        <w:tc>
          <w:tcPr>
            <w:tcW w:w="4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1"/>
        </w:trPr>
        <w:tc>
          <w:tcPr>
            <w:tcW w:w="412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1,160.3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788.7</w:t>
            </w:r>
          </w:p>
        </w:tc>
        <w:tc>
          <w:tcPr>
            <w:tcW w:w="5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1,949.0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2,043.3</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(5)</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1,055.7</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739.6</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1,795.3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1,672.3</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831.2</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910.5</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1,741.7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1,865.8</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(7)</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541.2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536.3</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1,077.5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970.4</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11</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640.0</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370.6</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1,010.6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948.8</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7</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246.2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502.5</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748.7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804.0</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379.6</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231.9</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611.5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562.4</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9</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469.5</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119.0</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588.5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136.2</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59.8</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512.5</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572.3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711.2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(20)</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451.4</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81.9</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533.3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308.8</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73</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206.5</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230.5</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437.0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266.4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64</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339.0</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55.3</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394.3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382.7</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Trajenta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134.9</w:t>
            </w:r>
          </w:p>
        </w:tc>
        <w:tc>
          <w:tcPr>
            <w:tcW w:w="30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195.9</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330.8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255.0</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30</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592.3</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758.3</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1,350.6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1,286.5</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5</w:t>
            </w:r>
          </w:p>
        </w:tc>
      </w:tr>
      <w:tr>
        <w:trPr>
          <w:trHeight w:val="269"/>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1,175.5</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1,145.0</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2,320.5</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2,369.3</w:t>
            </w:r>
          </w:p>
        </w:tc>
        <w:tc>
          <w:tcPr>
            <w:tcW w:w="14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1"/>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8,283.1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7,178.5</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15,461.6</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14,583.1</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6</w:t>
            </w:r>
          </w:p>
        </w:tc>
      </w:tr>
    </w:tbl>
    <w:p>
      <w:pPr>
        <w:spacing w:after="0" w:line="95" w:lineRule="exact"/>
        <w:rPr>
          <w:sz w:val="20"/>
          <w:szCs w:val="20"/>
          <w:color w:val="auto"/>
        </w:rPr>
      </w:pPr>
    </w:p>
    <w:p>
      <w:pPr>
        <w:ind w:right="8320" w:firstLine="8"/>
        <w:spacing w:after="0" w:line="400" w:lineRule="auto"/>
        <w:tabs>
          <w:tab w:leader="none" w:pos="150" w:val="left"/>
        </w:tabs>
        <w:numPr>
          <w:ilvl w:val="0"/>
          <w:numId w:val="20"/>
        </w:numPr>
        <w:rPr>
          <w:rFonts w:ascii="Arial" w:cs="Arial" w:eastAsia="Arial" w:hAnsi="Arial"/>
          <w:sz w:val="17"/>
          <w:szCs w:val="17"/>
          <w:color w:val="auto"/>
          <w:vertAlign w:val="superscript"/>
        </w:rPr>
      </w:pPr>
      <w:r>
        <w:rPr>
          <w:rFonts w:ascii="Arial" w:cs="Arial" w:eastAsia="Arial" w:hAnsi="Arial"/>
          <w:sz w:val="14"/>
          <w:szCs w:val="14"/>
          <w:color w:val="auto"/>
        </w:rPr>
        <w:t>U.S. revenue includes revenue in Puerto Rico. NM - not meaningful</w:t>
      </w:r>
    </w:p>
    <w:p>
      <w:pPr>
        <w:sectPr>
          <w:pgSz w:w="11900" w:h="16838" w:orient="portrait"/>
          <w:cols w:equalWidth="0" w:num="1">
            <w:col w:w="11420"/>
          </w:cols>
          <w:pgMar w:left="240" w:top="684" w:right="2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684" w:right="239" w:bottom="1440" w:gutter="0" w:footer="0" w:header="0"/>
          <w:type w:val="continuous"/>
        </w:sectPr>
      </w:pPr>
    </w:p>
    <w:bookmarkStart w:id="41" w:name="page42"/>
    <w:bookmarkEnd w:id="41"/>
    <w:p>
      <w:pPr>
        <w:ind w:right="60"/>
        <w:spacing w:after="0" w:line="258" w:lineRule="auto"/>
        <w:rPr>
          <w:sz w:val="20"/>
          <w:szCs w:val="20"/>
          <w:color w:val="auto"/>
        </w:rPr>
      </w:pPr>
      <w:r>
        <w:rPr>
          <w:rFonts w:ascii="Arial" w:cs="Arial" w:eastAsia="Arial" w:hAnsi="Arial"/>
          <w:sz w:val="18"/>
          <w:szCs w:val="18"/>
          <w:color w:val="auto"/>
        </w:rPr>
        <w:t>Revenues of Humalog, our injectable human insulin analog for the treatment of diabetes, decreased 14 percent and 8 percent in the U.S. during the third quarter and first nine months of 2016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 driven by lower realized prices, partially offset by increased demand. The decrease in realized prices for the third quarter and first nine months of 2016 included changes in estimates for rebates and discounts. Revenues outside the U.S. decreased 1 percent during the third quarter as the unfavorable impact of foreign exchange rates was largely offset by higher realized prices. For the first nine months of 2016, revenues outside the U.S. increased 1 percent driven by increased volume and higher realized prices, largely offset by the unfavorable impact of foreign exchange rates.</w:t>
      </w:r>
    </w:p>
    <w:p>
      <w:pPr>
        <w:spacing w:after="0" w:line="6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Revenues of Cialis, a treatment for erectile dysfunction and benign prostatic hyperplasia, increased 11 percent and 21 percent in the U.S. during the third quarter and first nine months of 2016, respectively, driven by higher realized prices. During the third quarter of 2016, the higher realized prices were partially offset by decreased demand. Revenues outside the U.S. decreased 5 percent and 8 percent during the third quarter and first nine months of 2016, respectively, driven by decreased volume and the unfavorable impact of foreign exchange rates, partially offset by higher realized prices.</w:t>
      </w:r>
    </w:p>
    <w:p>
      <w:pPr>
        <w:spacing w:after="0" w:line="6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Revenues of Alimta, a treatment for various cancers, decreased 7 percent and 5 percent in the U.S. during the third quarter and first nine months of 2016, respectively, driven primarily by decreased demand due to competitive pressure. Revenues outside the U.S. decreased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12 percent and 8 percent during the third quarter and first nine months of 2016, respectively, driven primarily by the loss of exclusivity in several countries. During the third quarter of 2016, the impact from the loss of exclusivity was partially offset by the favorable impact of foreign exchange rates. We have faced and remain exposed to generic entry in multiple countries during 2016 that has eroded revenues and is likely to continue to erode revenues from current levels.</w:t>
      </w:r>
    </w:p>
    <w:p>
      <w:pPr>
        <w:spacing w:after="0" w:line="7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Revenues of Forteo, an injectable treatment for osteoporosis in postmenopausal women and men at high risk for fracture and for glucocorticoid-induced osteoporosis in men and postmenopausal women, increased 29 percent and 27 percent in the U.S. in the third quarter and first nine months of 2016, respectively, driven by higher realized prices. Revenues outside the U.S. decreased 2 percent in the third quarter of 2016, driven by lower realized prices, partially offset by the favorable impact of foreign exchange rates. For the first nine months of 2016, revenues outside the U.S. decreased 1 percent, as lower realized prices were largely offset by increased volume and the favorable impact of foreign exchange rates.</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Revenues of Humulin, an injectable human insulin for the treatment of diabetes, increased 5 percent in the U.S. in the third quarter of 2016, driven by increased demand, partially offset by lower realized prices. For the first nine months of 2016, revenues increased 16 percent in the U.S., driven by increased volume and higher realized prices. The increase in our realized prices resulted from a first quarter change in estimate of a government rebate. Revenues outside the U.S. decreased 4 percent in the third quarter of 2016, driven by the unfavorable impact of foreign exchange rates and lower realized prices, partially offset by increased volume. For the first nine months of 2016, revenues outside the U.S. decreased 6 percent, driven by the unfavorable impact of foreign exchange rates.</w:t>
      </w:r>
    </w:p>
    <w:p>
      <w:pPr>
        <w:spacing w:after="0" w:line="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of Cymbalta, a product for the treatment of major depressive disorder, diabetic peripheral neuropathic pain, generalized anxiety disorder, and for the treatment of chronic musculoskeletal pain and the management of fibromyalgia, were $162.3 million and $ 246.2 million in the U.S. during the third quarter and first nine months of 2016, respectively, compared to $24.6 million and $119.5 million in the third quarter and first nine months of 2015, respectively. The increases were driven by reductions to the reserve for expected product returns, which included adjustments of approximately $145 million and $175 million in the third quarter and first nine months of 2016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 Cymbalta revenues decreased 31 percent and 27 percent outside the U.S. in the third quarter and first nine months of 2016, respectively, driven by the loss of exclusivity.</w:t>
      </w:r>
    </w:p>
    <w:p>
      <w:pPr>
        <w:spacing w:after="0" w:line="6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Revenues of Strattera, a treatment for attention-deficit hyperactivity disorder, decreased 7 percent in the U.S. in the third quarter of 2016, driven by decreased volume. For the first nine months of 2016, revenues increased 6 percent in the U.S., driven by higher realized prices partially offset by decreased volume. Revenues outside the U.S. increased 16 percent and 14 percent during the third quarter and first nine months of 2016, respectively, driven by increased volume and to a lesser extent, the favorable impact of foreign exchange rates, partially offset by lower realized prices.</w:t>
      </w:r>
    </w:p>
    <w:p>
      <w:pPr>
        <w:spacing w:after="0" w:line="67"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Revenues of Trulicity, a treatment for type 2 diabetes, were $188.7 million and $469.5 million in the U.S. during the third quarter and first nine months of 2016, respectively, driven by growth in the GLP-1 market and increased share of market for Trulicity. Revenues of Trulicity outside the U.S. were $54.9 million and $119.0 million during the third quarter and first nine months of 2016,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84" w:right="259" w:bottom="1440" w:gutter="0" w:footer="0" w:header="0"/>
        </w:sectPr>
      </w:pPr>
    </w:p>
    <w:bookmarkStart w:id="42" w:name="page43"/>
    <w:bookmarkEnd w:id="42"/>
    <w:p>
      <w:pPr>
        <w:ind w:right="60"/>
        <w:spacing w:after="0" w:line="260" w:lineRule="auto"/>
        <w:rPr>
          <w:sz w:val="20"/>
          <w:szCs w:val="20"/>
          <w:color w:val="auto"/>
        </w:rPr>
      </w:pPr>
      <w:r>
        <w:rPr>
          <w:rFonts w:ascii="Arial" w:cs="Arial" w:eastAsia="Arial" w:hAnsi="Arial"/>
          <w:sz w:val="18"/>
          <w:szCs w:val="18"/>
          <w:color w:val="auto"/>
        </w:rPr>
        <w:t>Revenues of Zyprexa, a treatment for schizophrenia, acute mixed or manic episodes associated with bipolar I disorder, and bipolar maintenance, decreased 26 percent and 12 percent outside the U.S. in the third quarter and first nine months of 2016, respectively, driven primarily by decreased volumes in Japan due to the entry of generic competition in June 2016 following the loss of patent exclusivity. Zyprexa revenues in Japan were $ 65.6 million and $273.8 million for the third quarter and first nine months of 2016, respectively, compared with $101.6 million and $302.0 million for the third quarter and first nine months of 2015, respectively.</w:t>
      </w:r>
    </w:p>
    <w:p>
      <w:pPr>
        <w:spacing w:after="0" w:line="6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Revenues of Erbitux, a treatment for various cancers, increased to $154.4 million and $451.4 million in the U.S. in the third quarter and first nine months of 2016, respectively, compared with $57.4 million and $235.7 million in the same respective periods in 2015. The increases were due to the transfer of commercialization rights in the U.S. and Canada (collectively, North America) which occurred on October 1, 2015.</w:t>
      </w:r>
    </w:p>
    <w:p>
      <w:pPr>
        <w:spacing w:after="0" w:line="5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Revenues of animal health products decreased 14 percent in the U.S. during the third quarter, primarily due to wholesaler buying patterns for companion animal products and decreased revenues for food animal products due to market access pressures. For the first nine months of 2016, revenues increased 1 percent in the U.S., primarily due to the uptake of new companion animal products, largely offset by decreased revenues for food animal products due to market access pressures. Revenues outside the U.S. decreased 5 percent in the third quarter, negatively impacted by food animal products, primarily due to macroeconomic conditions in Latin America. Revenues outside the U.S. decreased 5 percent during the first nine months of 2016, primarily due to the unfavorable impact of foreign exchange rates.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73"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Gross margin as a percent of revenue decreased 2.1 percentage points to 73.0 percent for the third quarter of 2016 compared with the third quarter of 2015 and decreased 2.1 percentage points to 72.9 percent for the first nine months of 2016 compared with the first nine months of 2015. The decline for the third quarter and first nine months of 2016 was primarily due to a lower benefit from foreign exchange rates on international inventories sold and, to a lesser extent, the transfer of Erbitux commercialization rights in North America. The decline in gross margin as a percent of revenue for the first nine months of 2016 was also partially offset by 2015 inventory step-up costs related to the acquisition of Novartis AH.</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Research and development expenses increased 8 percent to $1.24 billion for the third quarter of 2016 and increased 13 percent to $3.79 billion for the first nine months of 2016. The increase was driven primarily by higher late-stage clinical development costs. The first nine months of 2016 also included a first quarter charge of $ 55.0 million for milestone payments to Incyte Corporation for the regulatory submissions of baricitinib in the U.S. and Europe, as well as a $100.0 million charge in the second quarter related to a development milestone for AZD3293, a BACE inhibitor, in development with AstraZeneca UK Limited. See Note 4 to the consolidated condensed financial statements for additional information.</w:t>
      </w:r>
    </w:p>
    <w:p>
      <w:pPr>
        <w:spacing w:after="0" w:line="69"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Marketing, selling, and administrative expenses decreased 1 percent to $1.57 billion for the third quarter of 2016 and decreased 2 percent to $4.66 billion for the first nine months of 2016. For the third quarter of 2016, the decrease was due to reduced spending on late-life-cycle products, largely offset by expenses related to new products. For the first nine months of 2016, the decrease was primarily due to lower litigation expenses, the favorable impact of foreign exchange rates, and reduced spending on late-life-cycle products, partially offset by expenses related to new products.</w:t>
      </w:r>
    </w:p>
    <w:p>
      <w:pPr>
        <w:spacing w:after="0" w:line="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were no acquired IPR&amp;D charges recognized in the third quarter and first nine months of 2016, as well as the third quarter of 2015; we recognized $ 336.0 million of acquired IPR&amp;D charges for the first nine months of 2015. The charges for the first nine months of 2015 included a $50.0 million payment to Hanmi related to an exclusive license and collaboration agreement for Hanmi's oral Bruton's tyrosine kinase inhibitor, a $30.0 million payment to BioNTech related to the research collaboration to discover novel cancer immunotherapies, a $200.0 million payment to Pfizer following an FDA decision allowing the resumption of Phase III clinical trials for tanezumab, and a $56.0 million payment to Innovent associated with a collaboration to develop potential oncology therapies. See Notes 3 and 4 to the consolidated condensed financial statements for additional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84" w:right="239" w:bottom="1440" w:gutter="0" w:footer="0" w:header="0"/>
        </w:sectPr>
      </w:pPr>
    </w:p>
    <w:bookmarkStart w:id="43" w:name="page44"/>
    <w:bookmarkEnd w:id="43"/>
    <w:p>
      <w:pPr>
        <w:spacing w:after="0" w:line="256" w:lineRule="auto"/>
        <w:rPr>
          <w:sz w:val="20"/>
          <w:szCs w:val="20"/>
          <w:color w:val="auto"/>
        </w:rPr>
      </w:pPr>
      <w:r>
        <w:rPr>
          <w:rFonts w:ascii="Arial" w:cs="Arial" w:eastAsia="Arial" w:hAnsi="Arial"/>
          <w:sz w:val="18"/>
          <w:szCs w:val="18"/>
          <w:color w:val="auto"/>
        </w:rPr>
        <w:t>We recognized asset impairment, restructuring, and other special charges of $45.5 million and $234.9 million for the third quarter and first nine months of 2016, respectively, compared with charges of $42.4 million and $222.8 million for the third quarter and first nine months of 2015, respectively. For the third quarter of 2016, the charges related to integration and severance costs for Novartis AH. For the third quarter of 2015, the charges primarily related to integration costs for Novartis AH and severance costs. The charges for the first nine months of 2016 were primarily associated with integration costs related to our acquisition of Novartis AH, asset impairments related to the closure of an animal health manufacturing facility in Ireland, as well as severance costs. The charges for the first nine months of 2015 were primarily attributable to integration costs for Novartis AH, severance costs, and intangible asset impairments primarily due to product rationalization resulting from the acquisition of Novartis AH. See Note 5 to the consolidated condensed financial statements for additional information.</w:t>
      </w:r>
    </w:p>
    <w:p>
      <w:pPr>
        <w:spacing w:after="0" w:line="7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Other–net, (income) expense was income of $27.2 million and expense of $100.6 million for the third quarter and first nine months of 2016, respectively, compared with income of $86.5 million and $55.9 million for the same respective periods in 2015. Other expense during the first nine months of 2016 was driven by a $203.9 million charge related to the impact of the Venezuelan financial crisis, including the significant deterioration of the bolívar. Other income during the third quarter of 2015 was driven by net gains on investments. Other income during the first nine months of 2015 was driven by net gains on investments, partially offset by a net charge of $152.7 million related to the repurchase of $1.65 billion of debt. See Note 12 to the consolidated condensed financial statements for additional information.</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effective tax rates were 19.9 percent and 20.8 percent for the third quarter and first nine months of 2016, respectively, compared with 23.7 percent and 17.7 percent for the same respective periods in 2015. The decline in the effective tax rate for the third quarter of 2016 is primarily due to the benefit of certain U.S. tax provisions, including the research and development tax credit, reinstated for 2016. The increase in the effective tax rate for the first nine months of 2016 is primarily due to the tax impact of 2015 charges, including acquired IPR&amp;D charges; a net charge related to the repurchase of debt; and asset impairment, restructuring, and other special charges.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73"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Cash and cash equivalents decreased to $ 3.49 billion as of September 30, 2016, compared with $3.67 billion as of December 31, 2015. Refer to the consolidated condensed statements of cash flows for additional details on the significant sources and uses of cash for the nine months ended September 30, 2016 and 2015.</w:t>
      </w:r>
    </w:p>
    <w:p>
      <w:pPr>
        <w:spacing w:after="0" w:line="55"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In addition to our cash and cash equivalents, we held total investments of $5.76 billion and $4.43 billion as of September 30, 2016 and December 31, 2015, respectively. See Note 6 to the consolidated condensed financial statements for additional details.</w:t>
      </w:r>
    </w:p>
    <w:p>
      <w:pPr>
        <w:spacing w:after="0" w:line="3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Total debt increased to $9.35 billion as of September 30, 2016, compared with $7.98 billion as of December 31, 2015. The increase was primarily due to the issuance of $1.21 billion of fixed-rate notes. See Note 6 to the consolidated condensed financial statements for additional details. At September 30, 2016, we had approximately $ 1.2 billion available to us under our corporate credit facility, which is available to support our commercial paper program. We believe that amounts accessible through existing commercial paper markets should be adequate to fund short-term borrowings.</w:t>
      </w:r>
    </w:p>
    <w:p>
      <w:pPr>
        <w:spacing w:after="0" w:line="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October 2016, we announced an agreement to acquire Boehringer Ingelheim Vetmedica, Inc.'s U.S. feline, canine, and rabies vaccine portfolio in an all-cash transaction for approximately $885 million, including the estimated cost of inventory. We anticipate issuing debt to fund the transaction, which is expected to close by early 2017. See Note 3 to the consolidated condensed financial statements for additional information.</w:t>
      </w:r>
    </w:p>
    <w:p>
      <w:pPr>
        <w:spacing w:after="0" w:line="62"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During the nine months ended September 30, 2016, we purchased $300.1 million of shares associated with our previously announced $5.00 billion share repurchase program.</w:t>
      </w:r>
    </w:p>
    <w:p>
      <w:pPr>
        <w:spacing w:after="0" w:line="3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 Various risks and uncertainties, including those discussed in "Forward-Looking Statements", may affect our operating results and cash generated from operations.</w:t>
      </w:r>
    </w:p>
    <w:p>
      <w:pPr>
        <w:spacing w:after="0" w:line="5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See "Other Matters—Patent Matters" for information regarding recent and upcoming losses of patent protection for Cymbalta (Europe), Alimta (U.S., Europe, and Japan), Zyprexa (Japan), Strattera (U.S.), Effient (U.S.), and Cialis (U.S. and Europe).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84" w:right="239" w:bottom="1440" w:gutter="0" w:footer="0" w:header="0"/>
        </w:sectPr>
      </w:pPr>
    </w:p>
    <w:bookmarkStart w:id="44" w:name="page45"/>
    <w:bookmarkEnd w:id="44"/>
    <w:p>
      <w:pPr>
        <w:spacing w:after="0" w:line="26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"Other Matters—Foreign Currency Exchange Rates").</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684"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have revised certain elements of our 2016 financial guidance. Full-year 2016 EPS is now expected to be in the range of $2.66 to $2.76. We now expect 2016 revenue of between $20.8 billion and $21.2 billion. Excluding the impact of foreign exchange rates, we expect revenue growth from a number of established products including Trajenta, Cialis, Forteo, Strattera, Erbitux, and animal health products, as well as higher revenues from new products including Cyramza, Jardiance, Trulicity, Portrazza, Basaglar</w:t>
      </w:r>
      <w:r>
        <w:rPr>
          <w:rFonts w:ascii="Arial" w:cs="Arial" w:eastAsia="Arial" w:hAnsi="Arial"/>
          <w:sz w:val="21"/>
          <w:szCs w:val="21"/>
          <w:color w:val="auto"/>
          <w:vertAlign w:val="superscript"/>
        </w:rPr>
        <w:t>®</w:t>
      </w:r>
      <w:r>
        <w:rPr>
          <w:rFonts w:ascii="Arial" w:cs="Arial" w:eastAsia="Arial" w:hAnsi="Arial"/>
          <w:sz w:val="18"/>
          <w:szCs w:val="18"/>
          <w:color w:val="auto"/>
        </w:rPr>
        <w:t>, and Taltz. We expect this revenue growth to be partially offset by lower revenue from Alimta as a result of increased competitive pressures.</w:t>
      </w:r>
    </w:p>
    <w:p>
      <w:pPr>
        <w:spacing w:after="0" w:line="7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Gross margin as a percent of revenue is still expected to be approximately 73 percent. Research and development expenses are still expected to be in the range of $4.9 billion to $5.1 billion. Marketing, selling, and administrative expenses are now expected to be in the range of $6.2 billion to $6.4 billion. Other—net, (income) expense is now expected to be in a range between $100 million and $150 million of expense.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2016 tax rate is still expected to be approximately 21 percent.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now expected to be approximately $1.0 billion.</w:t>
      </w:r>
    </w:p>
    <w:p>
      <w:pPr>
        <w:spacing w:after="0" w:line="11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Various risks and uncertainties, including those discussed in "Forward-Looking Statements" may cause our actual results to differ materially from these forward-looking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1" w:lineRule="exact"/>
        <w:rPr>
          <w:sz w:val="20"/>
          <w:szCs w:val="20"/>
          <w:color w:val="auto"/>
        </w:rPr>
      </w:pPr>
    </w:p>
    <w:p>
      <w:pPr>
        <w:ind w:left="660" w:right="80" w:hanging="652"/>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67" w:lineRule="exact"/>
        <w:rPr>
          <w:rFonts w:ascii="Arial" w:cs="Arial" w:eastAsia="Arial" w:hAnsi="Arial"/>
          <w:sz w:val="18"/>
          <w:szCs w:val="18"/>
          <w:color w:val="auto"/>
        </w:rPr>
      </w:pPr>
    </w:p>
    <w:p>
      <w:pPr>
        <w:ind w:left="660" w:right="300"/>
        <w:spacing w:after="0" w:line="271" w:lineRule="auto"/>
        <w:rPr>
          <w:rFonts w:ascii="Arial" w:cs="Arial" w:eastAsia="Arial" w:hAnsi="Arial"/>
          <w:sz w:val="18"/>
          <w:szCs w:val="18"/>
          <w:color w:val="auto"/>
        </w:rPr>
      </w:pPr>
      <w:r>
        <w:rPr>
          <w:rFonts w:ascii="Arial" w:cs="Arial" w:eastAsia="Arial" w:hAnsi="Arial"/>
          <w:sz w:val="18"/>
          <w:szCs w:val="18"/>
          <w:color w:val="auto"/>
        </w:rPr>
        <w:t>Our management, with the participation of John C. Lechleiter, Ph.D., chairman, president, and chief executive officer, and Derica W. Rice, executive vice president, global services, and chief financial officer, evaluated our disclosure controls and procedures as of September 30, 2016, and concluded that they are effective.</w:t>
      </w:r>
    </w:p>
    <w:p>
      <w:pPr>
        <w:spacing w:after="0" w:line="55" w:lineRule="exact"/>
        <w:rPr>
          <w:rFonts w:ascii="Arial" w:cs="Arial" w:eastAsia="Arial" w:hAnsi="Arial"/>
          <w:sz w:val="18"/>
          <w:szCs w:val="18"/>
          <w:color w:val="auto"/>
        </w:rPr>
      </w:pPr>
    </w:p>
    <w:p>
      <w:pPr>
        <w:ind w:left="660" w:right="340" w:hanging="652"/>
        <w:spacing w:after="0" w:line="29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third quarter of 2016,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4" w:right="239" w:bottom="1440" w:gutter="0" w:footer="0" w:header="0"/>
        </w:sectPr>
      </w:pPr>
    </w:p>
    <w:bookmarkStart w:id="46" w:name="page47"/>
    <w:bookmarkEnd w:id="46"/>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7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See "Notes to Consolidated Condensed Financial Statements—Note 10, Contingencies" for information on various legal proceedings, including but not limited to:</w:t>
      </w:r>
    </w:p>
    <w:p>
      <w:pPr>
        <w:spacing w:after="0" w:line="64" w:lineRule="exact"/>
        <w:rPr>
          <w:sz w:val="20"/>
          <w:szCs w:val="20"/>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36"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Byetta</w:t>
      </w:r>
      <w:r>
        <w:rPr>
          <w:rFonts w:ascii="Arial" w:cs="Arial" w:eastAsia="Arial" w:hAnsi="Arial"/>
          <w:sz w:val="21"/>
          <w:szCs w:val="21"/>
          <w:color w:val="auto"/>
          <w:vertAlign w:val="superscript"/>
        </w:rPr>
        <w:t>®</w:t>
      </w:r>
      <w:r>
        <w:rPr>
          <w:rFonts w:ascii="Arial" w:cs="Arial" w:eastAsia="Arial" w:hAnsi="Arial"/>
          <w:sz w:val="18"/>
          <w:szCs w:val="18"/>
          <w:color w:val="auto"/>
        </w:rPr>
        <w:t>, Cymbalta, and Prozac</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2015 (Part I, Item 3).</w:t>
      </w:r>
    </w:p>
    <w:p>
      <w:pPr>
        <w:spacing w:after="0" w:line="3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are engaged in U.S. patent litigation involving Forteo brought pursuant to procedures set out in the Drug Price Competition and Patent Term Restoration Act of 1984. Teva Pharmaceuticals USA, Inc. has filed an Abbreviated New Drug Application with the FDA seeking approval to market generic versions of Forteo and has filed a notice alleging that a number of our patents covering various formulations and methods of use for Forteo are invalid and/or not infringed. In March 2016, we filed a patent infringement suit against Teva Pharmaceuticals USA, Inc. and Teva Pharmaceutical Industries Ltd. asserting six different patents with expiration dates ranging from December 2018 to August 2019.</w:t>
      </w:r>
    </w:p>
    <w:p>
      <w:pPr>
        <w:spacing w:after="0" w:line="6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have received a civil investigative demand from the U.S. Attorney’s Office for the Southern District of New York requesting documents and information relating to our contracts with, services performed by and payments to pharmacy benefit managers. We are cooperating with this investigation.</w:t>
      </w:r>
    </w:p>
    <w:p>
      <w:pPr>
        <w:spacing w:after="0" w:line="55"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The China National Development and Reform Commission is investigating our distributor pricing practices in China in connection with a broader inquiry into pharmaceutical industry pricing. We are cooperating with this investigation.</w:t>
      </w:r>
    </w:p>
    <w:p>
      <w:pPr>
        <w:spacing w:after="0" w:line="3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are named as a defendant in approximately 515 Axiron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liability lawsuits in the U.S. involving approximately 515 plaintiffs. In about one-third of the cases, other manufacturers of testosterone are named as co-defendants. Nearly all of these lawsuits have been consolidated in a federal multi-district litigation in the U.S. District Court for the Northern District of Illinois. A small number of lawsuits have been filed in state courts. The cases generally allege cardiovascular and related injuries. Medical Mutual of Ohio has filed a class action complaint against multiple manufacturers of testosterone products in the Northern District of Illinois, on behalf of third party payers who paid for those products. The complainant is seeking damages under various state consumer protection laws and the federal Racketeer Influenced and Corrupt Organizations Act. We believe these lawsuits and claims are without merit and are prepared to defend against them vigorously.</w:t>
      </w:r>
    </w:p>
    <w:p>
      <w:pPr>
        <w:spacing w:after="0" w:line="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named as a defendant in approximately 25 Cialis product liability lawsuits in the U.S. These cases, filed in various state and federal courts, contain allegations that Cialis caused or contributed to the plaintiffs' cancer (melanoma). The plaintiffs have filed a petition seeking to have the filed cases and an unspecified number of future cases coordinated into a federal multidistrict litigation in the Northern District of California. We believe these lawsuits and claims are without merit and are prepared to defend against them vigorously.</w:t>
      </w:r>
    </w:p>
    <w:p>
      <w:pPr>
        <w:spacing w:after="0" w:line="6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2015. There have been no material changes from the risk factors discussed in Part 1, Item 1A, "Risk Factors", of our 2015 Annual Report on Form 10-K, except as follows:</w:t>
      </w:r>
    </w:p>
    <w:p>
      <w:pPr>
        <w:spacing w:after="0" w:line="323"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23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drugs to the market.</w:t>
      </w:r>
    </w:p>
    <w:p>
      <w:pPr>
        <w:spacing w:after="0" w:line="2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Intellectual property protection varies throughout the world and is subject to change over time. In the U.S., the Hatch-Waxman Act provides generic companies powerful incentives to seek to invalidate our human pharmaceutical patents; as a result, we expect that our U.S. patents on major pharmaceutical products will be routinely challenged in litigation and administrative proceedings, and may not be upheld. In addition, a new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process allows competitors to request review of issued patents by the United States Patent and Trademark Office without the protections of the Hatch-Waxman Act. As a result, our patents may be invalided via this review process and, although such a decision can be appealed to the courts, in certain circumstances a loss could result in a competitor entering the market prior to an appeal decision, and a win provides no precedential value - the same patent can still be challenged by other competitors. We face many generic manufacturer challenges to our patents outside the U.S. as well. The entry of generic competitors typically results in rapid and severe declines in sales.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 See "Business—Patents, Trademarks, and Other Intellectual Property Rights" and "Financial Statements and Supplementary Data—Note 15, Contingencies," of our 2015 Annual Report on Form 10-K for more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share repurchases during the three months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360"/>
          </w:cols>
          <w:pgMar w:left="240" w:top="576" w:right="29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Statement re: Computation of Ratio of Earnings to Fixed Charges</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John C. Lechleiter, Ph.D., Chairman, President, and Chief Executive Officer</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00"/>
          </w:cols>
          <w:pgMar w:left="240" w:top="576" w:right="299" w:bottom="1440" w:gutter="0" w:footer="0" w:header="0"/>
          <w:type w:val="continuous"/>
        </w:sectPr>
      </w:pP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60"/>
          </w:cols>
          <w:pgMar w:left="240" w:top="576" w:right="29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right="160"/>
        <w:spacing w:after="0" w:line="4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5"/>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October 28, 2016</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5"/>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October 28, 2016</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5"/>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574" w:right="239" w:bottom="1440" w:gutter="0" w:footer="0" w:header="0"/>
        </w:sectPr>
      </w:pPr>
    </w:p>
    <w:bookmarkStart w:id="49" w:name="page50"/>
    <w:bookmarkEnd w:id="49"/>
    <w:p>
      <w:pPr>
        <w:spacing w:after="0" w:line="211" w:lineRule="auto"/>
        <w:framePr w:w="8780" w:h="366" w:wrap="auto" w:vAnchor="page" w:hAnchor="page" w:x="2860" w:y="2408"/>
        <w:rPr>
          <w:rFonts w:ascii="Arial" w:cs="Arial" w:eastAsia="Arial" w:hAnsi="Arial"/>
          <w:sz w:val="18"/>
          <w:szCs w:val="18"/>
          <w:color w:val="auto"/>
        </w:rPr>
      </w:pPr>
      <w:r>
        <w:rPr>
          <w:rFonts w:ascii="Arial" w:cs="Arial" w:eastAsia="Arial" w:hAnsi="Arial"/>
          <w:sz w:val="18"/>
          <w:szCs w:val="18"/>
          <w:color w:val="auto"/>
        </w:rPr>
        <w:t>By-laws, as amended, are incorporated by reference to Exhibit 99 to the Company's Report on Form 8-K filed February 27, 2012.</w:t>
      </w:r>
    </w:p>
    <w:p>
      <w:pPr>
        <w:spacing w:after="0" w:line="188" w:lineRule="auto"/>
        <w:framePr w:w="5300" w:h="163" w:wrap="auto" w:vAnchor="page" w:hAnchor="page" w:x="2860" w:y="3191"/>
        <w:rPr>
          <w:rFonts w:ascii="Arial" w:cs="Arial" w:eastAsia="Arial" w:hAnsi="Arial"/>
          <w:sz w:val="18"/>
          <w:szCs w:val="18"/>
          <w:color w:val="auto"/>
        </w:rPr>
      </w:pPr>
      <w:r>
        <w:rPr>
          <w:rFonts w:ascii="Arial" w:cs="Arial" w:eastAsia="Arial" w:hAnsi="Arial"/>
          <w:sz w:val="18"/>
          <w:szCs w:val="18"/>
          <w:color w:val="auto"/>
        </w:rPr>
        <w:t>Statement re: Computation of Ratio of Earnings to Fixed Charges</w:t>
      </w:r>
    </w:p>
    <w:p>
      <w:pPr>
        <w:spacing w:after="0" w:line="200" w:lineRule="auto"/>
        <w:framePr w:w="8540" w:h="163" w:wrap="auto" w:vAnchor="page" w:hAnchor="page" w:x="2860" w:y="3772"/>
        <w:rPr>
          <w:rFonts w:ascii="Arial" w:cs="Arial" w:eastAsia="Arial" w:hAnsi="Arial"/>
          <w:sz w:val="17"/>
          <w:szCs w:val="17"/>
          <w:color w:val="auto"/>
        </w:rPr>
      </w:pPr>
      <w:r>
        <w:rPr>
          <w:rFonts w:ascii="Arial" w:cs="Arial" w:eastAsia="Arial" w:hAnsi="Arial"/>
          <w:sz w:val="17"/>
          <w:szCs w:val="17"/>
          <w:color w:val="auto"/>
        </w:rPr>
        <w:t>Rule 13a-14(a) Certification of John C. Lechleiter, Ph.D., Chairman, President, and Chief Executive Officer</w:t>
      </w:r>
    </w:p>
    <w:p>
      <w:pPr>
        <w:spacing w:after="0" w:line="211" w:lineRule="auto"/>
        <w:framePr w:w="8760" w:h="366" w:wrap="auto" w:vAnchor="page" w:hAnchor="page" w:x="2860" w:y="4353"/>
        <w:rPr>
          <w:rFonts w:ascii="Arial" w:cs="Arial" w:eastAsia="Arial" w:hAnsi="Arial"/>
          <w:sz w:val="18"/>
          <w:szCs w:val="18"/>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188" w:lineRule="auto"/>
        <w:framePr w:w="2140" w:h="163" w:wrap="auto" w:vAnchor="page" w:hAnchor="page" w:x="2860" w:y="5136"/>
        <w:rPr>
          <w:rFonts w:ascii="Arial" w:cs="Arial" w:eastAsia="Arial" w:hAnsi="Arial"/>
          <w:sz w:val="18"/>
          <w:szCs w:val="18"/>
          <w:color w:val="auto"/>
        </w:rPr>
      </w:pPr>
      <w:r>
        <w:rPr>
          <w:rFonts w:ascii="Arial" w:cs="Arial" w:eastAsia="Arial" w:hAnsi="Arial"/>
          <w:sz w:val="18"/>
          <w:szCs w:val="18"/>
          <w:color w:val="auto"/>
        </w:rPr>
        <w:t>Section 1350 Certification</w:t>
      </w:r>
    </w:p>
    <w:p>
      <w:pPr>
        <w:spacing w:after="0" w:line="188" w:lineRule="auto"/>
        <w:framePr w:w="1780" w:h="163" w:wrap="auto" w:vAnchor="page" w:hAnchor="page" w:x="2860" w:y="5717"/>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200" w:lineRule="auto"/>
        <w:framePr w:w="280" w:h="163" w:wrap="auto" w:vAnchor="page" w:hAnchor="page" w:x="5820" w:y="6189"/>
        <w:rPr>
          <w:rFonts w:ascii="Arial" w:cs="Arial" w:eastAsia="Arial" w:hAnsi="Arial"/>
          <w:sz w:val="17"/>
          <w:szCs w:val="17"/>
          <w:color w:val="auto"/>
        </w:rPr>
      </w:pPr>
      <w:r>
        <w:rPr>
          <w:rFonts w:ascii="Arial" w:cs="Arial" w:eastAsia="Arial" w:hAnsi="Arial"/>
          <w:sz w:val="17"/>
          <w:szCs w:val="17"/>
          <w:color w:val="auto"/>
        </w:rPr>
        <w:t>50</w:t>
      </w:r>
    </w:p>
    <w:p>
      <w:pPr>
        <w:spacing w:after="0" w:line="211" w:lineRule="auto"/>
        <w:framePr w:w="8580" w:h="366" w:wrap="auto" w:vAnchor="page" w:hAnchor="page" w:x="2860" w:y="1625"/>
        <w:rPr>
          <w:rFonts w:ascii="Arial" w:cs="Arial" w:eastAsia="Arial" w:hAnsi="Arial"/>
          <w:sz w:val="18"/>
          <w:szCs w:val="18"/>
          <w:color w:val="auto"/>
        </w:rPr>
      </w:pPr>
      <w:r>
        <w:rPr>
          <w:rFonts w:ascii="Arial" w:cs="Arial" w:eastAsia="Arial" w:hAnsi="Arial"/>
          <w:sz w:val="18"/>
          <w:szCs w:val="18"/>
          <w:color w:val="auto"/>
        </w:rPr>
        <w:t>Amended Articles of Incorporation are incorporated by reference to Exhibit 3.1 to the Company's Report on Form 10-K for the year ended December 31, 2013.</w:t>
      </w:r>
    </w:p>
    <w:p>
      <w:pPr>
        <w:spacing w:after="0"/>
        <w:rPr>
          <w:sz w:val="20"/>
          <w:szCs w:val="20"/>
          <w:color w:val="auto"/>
        </w:rPr>
      </w:pPr>
      <w:r>
        <w:rPr>
          <w:rFonts w:ascii="Arial" w:cs="Arial" w:eastAsia="Arial" w:hAnsi="Arial"/>
          <w:sz w:val="18"/>
          <w:szCs w:val="18"/>
          <w:b w:val="1"/>
          <w:bCs w:val="1"/>
          <w:color w:val="auto"/>
        </w:rPr>
        <w:t>Index to Exhibits</w:t>
      </w:r>
    </w:p>
    <w:p>
      <w:pPr>
        <w:spacing w:after="0" w:line="17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3.2</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12.</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31.1</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31.2</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32.</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101.</w:t>
      </w:r>
    </w:p>
    <w:p>
      <w:pPr>
        <w:sectPr>
          <w:pgSz w:w="11900" w:h="16838" w:orient="portrait"/>
          <w:cols w:equalWidth="0" w:num="1">
            <w:col w:w="10219"/>
          </w:cols>
          <w:pgMar w:left="240" w:top="574" w:right="1440" w:bottom="1440"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center"/>
        <w:ind w:left="260" w:right="2540"/>
        <w:spacing w:after="0" w:line="448" w:lineRule="auto"/>
        <w:rPr>
          <w:sz w:val="20"/>
          <w:szCs w:val="20"/>
          <w:color w:val="auto"/>
        </w:rPr>
      </w:pPr>
      <w:r>
        <w:rPr>
          <w:rFonts w:ascii="Arial" w:cs="Arial" w:eastAsia="Arial" w:hAnsi="Arial"/>
          <w:sz w:val="18"/>
          <w:szCs w:val="18"/>
          <w:color w:val="auto"/>
        </w:rPr>
        <w:t>EXHIBIT 12. Statement Re: Computation of Ratio of Earnings to Fixed Charges ELI LILLY AND COMPANY AND SUBSIDIARIES (Dollars 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40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2,482.0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2,790.0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3,000.3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5,889.3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5,408.2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5,349.5</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172.3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187.1</w:t>
            </w:r>
          </w:p>
        </w:tc>
        <w:tc>
          <w:tcPr>
            <w:tcW w:w="34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184.2</w:t>
            </w:r>
          </w:p>
        </w:tc>
        <w:tc>
          <w:tcPr>
            <w:tcW w:w="38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198.8</w:t>
            </w:r>
          </w:p>
        </w:tc>
        <w:tc>
          <w:tcPr>
            <w:tcW w:w="3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211.7</w:t>
            </w:r>
          </w:p>
        </w:tc>
      </w:tr>
      <w:tr>
        <w:trPr>
          <w:trHeight w:val="26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(38.3)</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71"/>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2,615.8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2,951.2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3,149.1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6,049.4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5,586.0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5,535.5</w:t>
            </w: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216.0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187.1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184.2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211.7</w:t>
            </w: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32.8</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w:t>
            </w:r>
          </w:p>
        </w:tc>
      </w:tr>
    </w:tbl>
    <w:p>
      <w:pPr>
        <w:spacing w:after="0" w:line="139" w:lineRule="exact"/>
        <w:rPr>
          <w:sz w:val="20"/>
          <w:szCs w:val="20"/>
          <w:color w:val="auto"/>
        </w:rPr>
      </w:pPr>
    </w:p>
    <w:p>
      <w:pPr>
        <w:ind w:left="500" w:right="180" w:hanging="465"/>
        <w:spacing w:after="0" w:line="232" w:lineRule="auto"/>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7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EXHIBIT 31.1 Rule 13a-14(a) Certification of John C. Lechleiter, Chairman, President, and Chief Executive Officer</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John C. Lechleiter, certify that:</w:t>
      </w:r>
    </w:p>
    <w:p>
      <w:pPr>
        <w:spacing w:after="0" w:line="17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7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20" w:hanging="332"/>
        <w:spacing w:after="0" w:line="323"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00" w:hanging="332"/>
        <w:spacing w:after="0" w:line="27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980" w:right="140" w:hanging="324"/>
        <w:spacing w:after="0" w:line="27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980" w:right="480" w:hanging="324"/>
        <w:spacing w:after="0" w:line="27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980" w:right="40" w:hanging="324"/>
        <w:spacing w:after="0" w:line="27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980" w:right="220" w:hanging="324"/>
        <w:spacing w:after="0" w:line="27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980" w:right="100" w:hanging="324"/>
        <w:spacing w:after="0" w:line="323"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980" w:right="320" w:hanging="324"/>
        <w:spacing w:after="0" w:line="292"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28, 2016</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28575</wp:posOffset>
            </wp:positionV>
            <wp:extent cx="3747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19"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certify that:</w:t>
      </w:r>
    </w:p>
    <w:p>
      <w:pPr>
        <w:spacing w:after="0" w:line="17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7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20" w:hanging="332"/>
        <w:spacing w:after="0" w:line="32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00" w:hanging="332"/>
        <w:spacing w:after="0" w:line="27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980" w:right="140" w:hanging="324"/>
        <w:spacing w:after="0" w:line="271"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980" w:right="480" w:hanging="324"/>
        <w:spacing w:after="0" w:line="271"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980" w:right="40" w:hanging="324"/>
        <w:spacing w:after="0" w:line="271"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980" w:right="220" w:hanging="324"/>
        <w:spacing w:after="0" w:line="271"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980" w:right="100" w:hanging="324"/>
        <w:spacing w:after="0" w:line="323"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980" w:right="320" w:hanging="324"/>
        <w:spacing w:after="0" w:line="292"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28, 2016</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28575</wp:posOffset>
            </wp:positionV>
            <wp:extent cx="3747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Derica W. Rice</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Global Services,</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819"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0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Quarterly Report on Form 10-Q for the quarter ended September 30, 2016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9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October 28, 2016</w:t>
      </w:r>
      <w:r>
        <w:rPr>
          <w:sz w:val="20"/>
          <w:szCs w:val="20"/>
          <w:color w:val="auto"/>
        </w:rPr>
        <w:tab/>
      </w:r>
      <w:r>
        <w:rPr>
          <w:rFonts w:ascii="Arial" w:cs="Arial" w:eastAsia="Arial" w:hAnsi="Arial"/>
          <w:sz w:val="17"/>
          <w:szCs w:val="17"/>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28575</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5680" w:type="dxa"/>
            <w:vAlign w:val="bottom"/>
          </w:tcPr>
          <w:p>
            <w:pPr>
              <w:spacing w:after="0"/>
              <w:rPr>
                <w:sz w:val="20"/>
                <w:szCs w:val="20"/>
                <w:color w:val="auto"/>
              </w:rPr>
            </w:pPr>
            <w:r>
              <w:rPr>
                <w:rFonts w:ascii="Arial" w:cs="Arial" w:eastAsia="Arial" w:hAnsi="Arial"/>
                <w:sz w:val="18"/>
                <w:szCs w:val="18"/>
                <w:color w:val="auto"/>
              </w:rPr>
              <w:t>Date:   October 28, 2016</w:t>
            </w:r>
          </w:p>
        </w:tc>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/s/Derica W. Rice</w:t>
            </w:r>
          </w:p>
        </w:tc>
      </w:tr>
      <w:tr>
        <w:trPr>
          <w:trHeight w:val="245"/>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Derica W. Rice</w:t>
            </w:r>
          </w:p>
        </w:tc>
      </w:tr>
      <w:tr>
        <w:trPr>
          <w:trHeight w:val="216"/>
        </w:trPr>
        <w:tc>
          <w:tcPr>
            <w:tcW w:w="56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Executive Vice President, Global Services, and Chief   Financial</w:t>
            </w:r>
          </w:p>
        </w:tc>
      </w:tr>
      <w:tr>
        <w:trPr>
          <w:trHeight w:val="243"/>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2019-12-29T09:15:29Z</dcterms:created>
  <dcterms:modified xsi:type="dcterms:W3CDTF">2019-12-29T09:15:29Z</dcterms:modified>
</cp:coreProperties>
</file>